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312" w:afterLines="10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高强度钢使用比例计算书</w:t>
      </w:r>
    </w:p>
    <w:p>
      <w:pPr>
        <w:spacing w:before="156" w:beforeLines="50" w:after="156" w:afterLines="50" w:line="36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项目名称：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>溪南中心小学新建教学楼工程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</w:p>
    <w:p>
      <w:pPr>
        <w:spacing w:before="156" w:beforeLines="50" w:after="156" w:afterLines="50" w:line="36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说明内容：</w:t>
      </w:r>
      <w:r>
        <w:rPr>
          <w:rFonts w:ascii="Times New Roman" w:hAnsi="Times New Roman"/>
          <w:sz w:val="24"/>
          <w:szCs w:val="24"/>
          <w:u w:val="single"/>
        </w:rPr>
        <w:t xml:space="preserve">HRB400级以上钢筋不少于受力钢筋总质量的85%           </w:t>
      </w:r>
    </w:p>
    <w:p>
      <w:pPr>
        <w:spacing w:before="156" w:beforeLines="50" w:after="156" w:afterLines="50" w:line="36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计算单位：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>广东新长安建筑设计院有限公司</w:t>
      </w:r>
      <w:r>
        <w:rPr>
          <w:rFonts w:ascii="Times New Roman" w:hAnsi="Times New Roman"/>
          <w:sz w:val="24"/>
          <w:szCs w:val="24"/>
          <w:u w:val="single"/>
        </w:rPr>
        <w:t xml:space="preserve">            </w:t>
      </w:r>
      <w:r>
        <w:rPr>
          <w:rFonts w:ascii="Times New Roman" w:hAnsi="Times New Roman"/>
          <w:kern w:val="0"/>
          <w:sz w:val="24"/>
          <w:szCs w:val="24"/>
          <w:u w:val="single"/>
        </w:rPr>
        <w:t xml:space="preserve">     </w:t>
      </w:r>
      <w:r>
        <w:rPr>
          <w:rFonts w:ascii="Times New Roman" w:hAnsi="Times New Roman"/>
          <w:sz w:val="24"/>
          <w:szCs w:val="24"/>
          <w:u w:val="single"/>
        </w:rPr>
        <w:t xml:space="preserve">          </w:t>
      </w:r>
    </w:p>
    <w:p>
      <w:pPr>
        <w:spacing w:before="156" w:beforeLines="50" w:after="156" w:afterLines="50" w:line="360" w:lineRule="auto"/>
        <w:ind w:left="1205" w:hanging="1205" w:hangingChars="50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对应条款：</w:t>
      </w:r>
      <w:r>
        <w:rPr>
          <w:rFonts w:ascii="Times New Roman" w:hAnsi="Times New Roman"/>
          <w:sz w:val="24"/>
          <w:szCs w:val="24"/>
          <w:u w:val="single"/>
        </w:rPr>
        <w:t>第7.2.1</w:t>
      </w:r>
      <w:r>
        <w:rPr>
          <w:rFonts w:hint="eastAsia" w:ascii="Times New Roman" w:hAnsi="Times New Roman"/>
          <w:sz w:val="24"/>
          <w:szCs w:val="24"/>
          <w:u w:val="single"/>
          <w:lang w:val="en-US" w:eastAsia="zh-CN"/>
        </w:rPr>
        <w:t>0</w:t>
      </w:r>
      <w:r>
        <w:rPr>
          <w:rFonts w:ascii="Times New Roman" w:hAnsi="Times New Roman"/>
          <w:sz w:val="24"/>
          <w:szCs w:val="24"/>
          <w:u w:val="single"/>
        </w:rPr>
        <w:t xml:space="preserve">条400MPa级及以上受力普通钢筋达到总量的85%   </w:t>
      </w:r>
    </w:p>
    <w:p>
      <w:pPr>
        <w:rPr>
          <w:rFonts w:ascii="Times New Roman" w:hAnsi="Times New Roman"/>
          <w:sz w:val="24"/>
          <w:szCs w:val="24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ascii="Times New Roman" w:hAnsi="Times New Roman"/>
          <w:color w:val="000000"/>
          <w:kern w:val="0"/>
          <w:sz w:val="24"/>
          <w:shd w:val="clear" w:color="auto" w:fill="FFFFFF"/>
        </w:rPr>
      </w:pPr>
      <w:r>
        <w:rPr>
          <w:rFonts w:hint="eastAsia" w:ascii="Times New Roman" w:hAnsi="Times New Roman"/>
          <w:sz w:val="24"/>
          <w:szCs w:val="24"/>
        </w:rPr>
        <w:t>本项目位于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广东省汕头市澄海区</w:t>
      </w:r>
      <w:r>
        <w:rPr>
          <w:rFonts w:hint="eastAsia" w:ascii="Times New Roman" w:hAnsi="Times New Roman"/>
          <w:sz w:val="24"/>
          <w:szCs w:val="24"/>
        </w:rPr>
        <w:t>，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项目属于学校建筑，</w:t>
      </w:r>
      <w:r>
        <w:rPr>
          <w:rFonts w:hint="eastAsia" w:ascii="Times New Roman" w:hAnsi="Times New Roman"/>
          <w:sz w:val="24"/>
          <w:szCs w:val="24"/>
        </w:rPr>
        <w:t>项目总建筑面积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2248.55</w:t>
      </w:r>
      <w:r>
        <w:rPr>
          <w:rFonts w:hint="eastAsia" w:ascii="Times New Roman" w:hAnsi="Times New Roman"/>
          <w:sz w:val="24"/>
          <w:szCs w:val="24"/>
        </w:rPr>
        <w:t>㎡，</w:t>
      </w:r>
      <w:r>
        <w:rPr>
          <w:rFonts w:hint="eastAsia" w:ascii="Times New Roman" w:hAnsi="Times New Roman"/>
          <w:sz w:val="24"/>
          <w:szCs w:val="24"/>
          <w:lang w:eastAsia="zh-CN"/>
        </w:rPr>
        <w:t>规划总用地面积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11364.70</w:t>
      </w:r>
      <w:r>
        <w:rPr>
          <w:rFonts w:hint="eastAsia" w:ascii="Times New Roman" w:hAnsi="Times New Roman"/>
          <w:sz w:val="24"/>
          <w:szCs w:val="24"/>
        </w:rPr>
        <w:t>㎡</w:t>
      </w:r>
      <w:r>
        <w:rPr>
          <w:rFonts w:hint="eastAsia" w:ascii="Times New Roman" w:hAnsi="Times New Roman"/>
          <w:sz w:val="24"/>
          <w:szCs w:val="24"/>
          <w:lang w:eastAsia="zh-CN"/>
        </w:rPr>
        <w:t>，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地上3层，建筑高度为13.15m。</w:t>
      </w:r>
    </w:p>
    <w:p>
      <w:pPr>
        <w:pStyle w:val="9"/>
        <w:ind w:firstLine="480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bookmarkStart w:id="0" w:name="_Toc468192618"/>
      <w:bookmarkStart w:id="1" w:name="_Toc492392922"/>
      <w:bookmarkStart w:id="2" w:name="_Toc468182180"/>
      <w:bookmarkStart w:id="3" w:name="_Toc474919086"/>
      <w:bookmarkStart w:id="4" w:name="_Toc468182085"/>
      <w:bookmarkStart w:id="5" w:name="_Toc477438253"/>
      <w:r>
        <w:rPr>
          <w:rFonts w:ascii="Times New Roman" w:hAnsi="Times New Roman"/>
          <w:sz w:val="24"/>
          <w:szCs w:val="24"/>
        </w:rPr>
        <w:t>一、钢筋工程量依据以下资料计算：</w:t>
      </w:r>
      <w:bookmarkEnd w:id="0"/>
      <w:bookmarkEnd w:id="1"/>
      <w:bookmarkEnd w:id="2"/>
      <w:bookmarkEnd w:id="3"/>
      <w:bookmarkEnd w:id="4"/>
      <w:bookmarkEnd w:id="5"/>
    </w:p>
    <w:p>
      <w:pPr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溪南中心小学新建教学楼工程</w:t>
      </w:r>
      <w:r>
        <w:rPr>
          <w:rFonts w:ascii="Times New Roman" w:hAnsi="Times New Roman"/>
          <w:sz w:val="24"/>
          <w:szCs w:val="24"/>
        </w:rPr>
        <w:t>施工图；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2、工程量清单与计价表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bookmarkStart w:id="6" w:name="_Toc477438254"/>
      <w:bookmarkStart w:id="7" w:name="_Toc474919087"/>
      <w:bookmarkStart w:id="8" w:name="_Toc492392923"/>
      <w:bookmarkStart w:id="9" w:name="_Toc468192619"/>
      <w:bookmarkStart w:id="10" w:name="_Toc468182181"/>
      <w:bookmarkStart w:id="11" w:name="_Toc468182086"/>
      <w:r>
        <w:rPr>
          <w:rFonts w:ascii="Times New Roman" w:hAnsi="Times New Roman"/>
          <w:sz w:val="24"/>
          <w:szCs w:val="24"/>
        </w:rPr>
        <w:t>二、：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溪南中心小学新建教学楼工程</w:t>
      </w:r>
      <w:r>
        <w:rPr>
          <w:rFonts w:ascii="Times New Roman" w:hAnsi="Times New Roman"/>
          <w:sz w:val="24"/>
          <w:szCs w:val="24"/>
        </w:rPr>
        <w:t>HRB400级以上钢筋含量：</w:t>
      </w:r>
      <w:bookmarkEnd w:id="6"/>
      <w:bookmarkEnd w:id="7"/>
      <w:bookmarkEnd w:id="8"/>
      <w:bookmarkEnd w:id="9"/>
      <w:bookmarkEnd w:id="10"/>
      <w:bookmarkEnd w:id="11"/>
    </w:p>
    <w:p>
      <w:pPr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本项目所有受力钢筋均为三级钢（或以上），钢筋总重量约为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7.54</w:t>
      </w:r>
      <w:r>
        <w:rPr>
          <w:rFonts w:ascii="Times New Roman" w:hAnsi="Times New Roman"/>
          <w:sz w:val="24"/>
          <w:szCs w:val="24"/>
        </w:rPr>
        <w:t>t，HRB400级以上钢筋含量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为</w:t>
      </w:r>
      <w:bookmarkStart w:id="18" w:name="_GoBack"/>
      <w:bookmarkEnd w:id="18"/>
      <w:r>
        <w:rPr>
          <w:rFonts w:ascii="Times New Roman" w:hAnsi="Times New Roman"/>
          <w:sz w:val="24"/>
          <w:szCs w:val="24"/>
        </w:rPr>
        <w:t>100%</w:t>
      </w:r>
    </w:p>
    <w:p>
      <w:pPr>
        <w:spacing w:line="360" w:lineRule="auto"/>
        <w:ind w:left="360"/>
        <w:rPr>
          <w:rFonts w:ascii="Times New Roman" w:hAnsi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bookmarkStart w:id="12" w:name="_Toc477438255"/>
      <w:bookmarkStart w:id="13" w:name="_Toc492392924"/>
      <w:bookmarkStart w:id="14" w:name="_Toc474919088"/>
      <w:bookmarkStart w:id="15" w:name="_Toc468182087"/>
      <w:bookmarkStart w:id="16" w:name="_Toc468192620"/>
      <w:bookmarkStart w:id="17" w:name="_Toc468182182"/>
      <w:r>
        <w:rPr>
          <w:rFonts w:ascii="Times New Roman" w:hAnsi="Times New Roman"/>
          <w:sz w:val="24"/>
          <w:szCs w:val="24"/>
        </w:rPr>
        <w:t>三、达标判断</w:t>
      </w:r>
      <w:bookmarkEnd w:id="12"/>
      <w:bookmarkEnd w:id="13"/>
      <w:bookmarkEnd w:id="14"/>
      <w:bookmarkEnd w:id="15"/>
      <w:bookmarkEnd w:id="16"/>
      <w:bookmarkEnd w:id="17"/>
    </w:p>
    <w:p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本项目满足</w:t>
      </w:r>
      <w:r>
        <w:rPr>
          <w:rFonts w:hint="eastAsia" w:ascii="Times New Roman" w:hAnsi="Times New Roman"/>
          <w:sz w:val="24"/>
        </w:rPr>
        <w:t>《绿色建筑评价标准》</w:t>
      </w:r>
      <w:r>
        <w:rPr>
          <w:rFonts w:hint="eastAsia" w:ascii="Times New Roman" w:hAnsi="Times New Roman"/>
          <w:sz w:val="24"/>
          <w:lang w:val="en-US" w:eastAsia="zh-CN"/>
        </w:rPr>
        <w:t>GN50378-2014</w:t>
      </w:r>
      <w:r>
        <w:rPr>
          <w:rFonts w:ascii="Times New Roman" w:hAnsi="Times New Roman"/>
          <w:sz w:val="24"/>
          <w:szCs w:val="24"/>
        </w:rPr>
        <w:t>第7.2.1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0</w:t>
      </w:r>
      <w:r>
        <w:rPr>
          <w:rFonts w:ascii="Times New Roman" w:hAnsi="Times New Roman"/>
          <w:sz w:val="24"/>
          <w:szCs w:val="24"/>
        </w:rPr>
        <w:t>条规定建筑结构材料合理采用高强度钢，钢筋混凝土主体结构使用HRB400以上受力普通钢筋达到总量的100%。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321E8C"/>
    <w:multiLevelType w:val="multilevel"/>
    <w:tmpl w:val="43321E8C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746E6389"/>
    <w:multiLevelType w:val="multilevel"/>
    <w:tmpl w:val="746E6389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53B"/>
    <w:rsid w:val="001B54B7"/>
    <w:rsid w:val="00232D2B"/>
    <w:rsid w:val="002F6D74"/>
    <w:rsid w:val="00370147"/>
    <w:rsid w:val="004178B3"/>
    <w:rsid w:val="00457523"/>
    <w:rsid w:val="00473FF5"/>
    <w:rsid w:val="004B2434"/>
    <w:rsid w:val="004B27D8"/>
    <w:rsid w:val="004C0899"/>
    <w:rsid w:val="004D1857"/>
    <w:rsid w:val="00521A67"/>
    <w:rsid w:val="0063321B"/>
    <w:rsid w:val="00753BA1"/>
    <w:rsid w:val="007E5204"/>
    <w:rsid w:val="008A71E9"/>
    <w:rsid w:val="00965378"/>
    <w:rsid w:val="009C3E3F"/>
    <w:rsid w:val="009D2360"/>
    <w:rsid w:val="00B01C2F"/>
    <w:rsid w:val="00B3365A"/>
    <w:rsid w:val="00B411AC"/>
    <w:rsid w:val="00B922C4"/>
    <w:rsid w:val="00C0466F"/>
    <w:rsid w:val="00C65E50"/>
    <w:rsid w:val="00C71EAC"/>
    <w:rsid w:val="00CF7BFB"/>
    <w:rsid w:val="00D37143"/>
    <w:rsid w:val="00D40098"/>
    <w:rsid w:val="00DD2CC7"/>
    <w:rsid w:val="00DE5E82"/>
    <w:rsid w:val="00DF0EEC"/>
    <w:rsid w:val="00F0747E"/>
    <w:rsid w:val="00F24FD4"/>
    <w:rsid w:val="00F5453B"/>
    <w:rsid w:val="00FA7045"/>
    <w:rsid w:val="17C71FBC"/>
    <w:rsid w:val="233F45EE"/>
    <w:rsid w:val="27DA51C5"/>
    <w:rsid w:val="29A97082"/>
    <w:rsid w:val="2EEA13C8"/>
    <w:rsid w:val="360E7F1C"/>
    <w:rsid w:val="4F83400C"/>
    <w:rsid w:val="51823144"/>
    <w:rsid w:val="5CA32A7E"/>
    <w:rsid w:val="60A94CB3"/>
    <w:rsid w:val="63AB0506"/>
    <w:rsid w:val="67257C5B"/>
    <w:rsid w:val="67A87021"/>
    <w:rsid w:val="68F13DF5"/>
    <w:rsid w:val="729B76AD"/>
    <w:rsid w:val="7AA11ABC"/>
    <w:rsid w:val="7FC33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before="480" w:line="276" w:lineRule="auto"/>
      <w:contextualSpacing/>
      <w:jc w:val="left"/>
      <w:outlineLvl w:val="0"/>
    </w:pPr>
    <w:rPr>
      <w:rFonts w:ascii="Cambria" w:hAnsi="Cambria"/>
      <w:b/>
      <w:bCs/>
      <w:kern w:val="0"/>
      <w:sz w:val="28"/>
      <w:szCs w:val="2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link w:val="4"/>
    <w:uiPriority w:val="0"/>
    <w:rPr>
      <w:kern w:val="2"/>
      <w:sz w:val="18"/>
      <w:szCs w:val="18"/>
    </w:rPr>
  </w:style>
  <w:style w:type="character" w:customStyle="1" w:styleId="8">
    <w:name w:val="页脚 字符"/>
    <w:link w:val="3"/>
    <w:uiPriority w:val="0"/>
    <w:rPr>
      <w:kern w:val="2"/>
      <w:sz w:val="18"/>
      <w:szCs w:val="18"/>
    </w:rPr>
  </w:style>
  <w:style w:type="paragraph" w:customStyle="1" w:styleId="9">
    <w:name w:val="lj正文"/>
    <w:qFormat/>
    <w:uiPriority w:val="0"/>
    <w:pPr>
      <w:spacing w:line="360" w:lineRule="auto"/>
      <w:ind w:firstLine="200" w:firstLineChars="200"/>
    </w:pPr>
    <w:rPr>
      <w:rFonts w:ascii="宋体" w:hAnsi="宋体" w:eastAsia="宋体" w:cs="Times New Roman"/>
      <w:color w:val="000000"/>
      <w:sz w:val="24"/>
      <w:szCs w:val="24"/>
      <w:shd w:val="clear" w:color="auto" w:fill="FFFFFF"/>
      <w:lang w:val="en-US" w:eastAsia="zh-CN" w:bidi="ar-SA"/>
    </w:rPr>
  </w:style>
  <w:style w:type="character" w:customStyle="1" w:styleId="10">
    <w:name w:val="Font Style51"/>
    <w:qFormat/>
    <w:uiPriority w:val="0"/>
    <w:rPr>
      <w:rFonts w:ascii="宋体" w:eastAsia="宋体" w:cs="宋体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104</Words>
  <Characters>599</Characters>
  <Lines>4</Lines>
  <Paragraphs>1</Paragraphs>
  <TotalTime>1</TotalTime>
  <ScaleCrop>false</ScaleCrop>
  <LinksUpToDate>false</LinksUpToDate>
  <CharactersWithSpaces>702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2018-08-13T05:07:00Z</dcterms:created>
  <dc:creator>DELL</dc:creator>
  <cp:lastModifiedBy>_ 李漂亮 _</cp:lastModifiedBy>
  <dcterms:modified xsi:type="dcterms:W3CDTF">2019-06-29T13:52:52Z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