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cs="Calibri"/>
          <w:b/>
          <w:bCs/>
          <w:sz w:val="44"/>
          <w:szCs w:val="44"/>
        </w:rPr>
      </w:pPr>
    </w:p>
    <w:p>
      <w:pPr>
        <w:widowControl/>
        <w:jc w:val="left"/>
        <w:rPr>
          <w:rFonts w:cs="Calibri"/>
          <w:b/>
          <w:color w:val="000000"/>
          <w:sz w:val="24"/>
          <w:szCs w:val="21"/>
        </w:rPr>
      </w:pPr>
    </w:p>
    <w:p>
      <w:pPr>
        <w:widowControl/>
        <w:jc w:val="left"/>
        <w:rPr>
          <w:rFonts w:cs="Calibri"/>
          <w:b/>
          <w:color w:val="000000"/>
          <w:sz w:val="24"/>
          <w:szCs w:val="21"/>
        </w:rPr>
      </w:pPr>
    </w:p>
    <w:p>
      <w:pPr>
        <w:widowControl/>
        <w:jc w:val="left"/>
        <w:rPr>
          <w:rFonts w:cs="Calibri"/>
          <w:b/>
          <w:color w:val="000000"/>
          <w:sz w:val="24"/>
          <w:szCs w:val="21"/>
        </w:rPr>
      </w:pPr>
      <w:r>
        <w:rPr>
          <w:rFonts w:cs="Calibri"/>
          <w:szCs w:val="21"/>
        </w:rPr>
        <w:pict>
          <v:shape id="_x0000_s1027" o:spid="_x0000_s1027" o:spt="202" type="#_x0000_t202" style="position:absolute;left:0pt;margin-left:-10.15pt;margin-top:12.3pt;height:49.55pt;width:436.85pt;z-index:1024;mso-width-relative:page;mso-height-relative:page;" fillcolor="#FFFFFF" filled="t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">
            <v:path/>
            <v:fill on="t" color2="#FFFFFF" focussize="0,0"/>
            <v:stroke on="f"/>
            <v:imagedata o:title=""/>
            <o:lock v:ext="edit" aspectratio="f"/>
            <v:textbox>
              <w:txbxContent>
                <w:p>
                  <w:pPr>
                    <w:widowControl/>
                    <w:jc w:val="center"/>
                    <w:rPr>
                      <w:rFonts w:hint="eastAsia" w:ascii="微软雅黑" w:hAnsi="微软雅黑" w:eastAsia="微软雅黑" w:cs="微软雅黑"/>
                      <w:b/>
                      <w:sz w:val="44"/>
                      <w:szCs w:val="44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kern w:val="0"/>
                      <w:sz w:val="44"/>
                      <w:szCs w:val="44"/>
                      <w:lang w:bidi="ar"/>
                    </w:rPr>
                    <w:t>交通设施与公共服务分析</w:t>
                  </w:r>
                </w:p>
              </w:txbxContent>
            </v:textbox>
          </v:shape>
        </w:pict>
      </w:r>
    </w:p>
    <w:p>
      <w:pPr>
        <w:widowControl/>
        <w:spacing w:line="360" w:lineRule="exact"/>
        <w:jc w:val="left"/>
        <w:rPr>
          <w:rFonts w:cs="Calibri"/>
          <w:b/>
          <w:color w:val="000000"/>
          <w:sz w:val="24"/>
          <w:szCs w:val="21"/>
          <w:lang w:val="zh-CN"/>
        </w:rPr>
      </w:pPr>
    </w:p>
    <w:p>
      <w:pPr>
        <w:widowControl/>
        <w:spacing w:line="360" w:lineRule="exact"/>
        <w:jc w:val="left"/>
        <w:rPr>
          <w:rFonts w:cs="Calibri"/>
          <w:b/>
          <w:color w:val="000000"/>
          <w:sz w:val="24"/>
          <w:szCs w:val="21"/>
          <w:lang w:val="zh-CN"/>
        </w:rPr>
      </w:pPr>
    </w:p>
    <w:p>
      <w:pPr>
        <w:widowControl/>
        <w:spacing w:line="360" w:lineRule="exact"/>
        <w:jc w:val="left"/>
        <w:rPr>
          <w:rFonts w:cs="Calibri"/>
          <w:b/>
          <w:color w:val="000000"/>
          <w:sz w:val="24"/>
          <w:szCs w:val="21"/>
          <w:lang w:val="zh-CN"/>
        </w:rPr>
      </w:pPr>
    </w:p>
    <w:p>
      <w:pPr>
        <w:widowControl/>
        <w:spacing w:line="360" w:lineRule="exact"/>
        <w:jc w:val="left"/>
        <w:rPr>
          <w:rFonts w:cs="Calibri"/>
          <w:b/>
          <w:color w:val="000000"/>
          <w:sz w:val="24"/>
          <w:szCs w:val="21"/>
          <w:lang w:val="zh-CN"/>
        </w:rPr>
      </w:pPr>
    </w:p>
    <w:p>
      <w:pPr>
        <w:widowControl/>
        <w:spacing w:line="360" w:lineRule="exact"/>
        <w:jc w:val="left"/>
        <w:rPr>
          <w:rFonts w:cs="Calibri"/>
          <w:b/>
          <w:color w:val="000000"/>
          <w:sz w:val="24"/>
          <w:szCs w:val="21"/>
          <w:lang w:val="zh-CN"/>
        </w:rPr>
      </w:pPr>
    </w:p>
    <w:p>
      <w:pPr>
        <w:widowControl/>
        <w:spacing w:line="360" w:lineRule="exact"/>
        <w:jc w:val="left"/>
        <w:rPr>
          <w:rFonts w:cs="Calibri"/>
          <w:b/>
          <w:color w:val="000000"/>
          <w:sz w:val="24"/>
          <w:szCs w:val="21"/>
          <w:lang w:val="zh-CN"/>
        </w:rPr>
      </w:pPr>
    </w:p>
    <w:p>
      <w:pPr>
        <w:widowControl/>
        <w:spacing w:line="360" w:lineRule="exact"/>
        <w:jc w:val="left"/>
        <w:rPr>
          <w:rFonts w:cs="Calibri"/>
          <w:b/>
          <w:color w:val="000000"/>
          <w:sz w:val="24"/>
          <w:szCs w:val="21"/>
          <w:lang w:val="zh-CN"/>
        </w:rPr>
      </w:pPr>
    </w:p>
    <w:p>
      <w:pPr>
        <w:widowControl/>
        <w:spacing w:line="360" w:lineRule="exact"/>
        <w:jc w:val="left"/>
        <w:rPr>
          <w:rFonts w:cs="Calibri"/>
          <w:b/>
          <w:color w:val="000000"/>
          <w:sz w:val="24"/>
          <w:szCs w:val="21"/>
          <w:lang w:val="zh-CN"/>
        </w:rPr>
      </w:pPr>
    </w:p>
    <w:p>
      <w:pPr>
        <w:widowControl/>
        <w:spacing w:line="360" w:lineRule="exact"/>
        <w:jc w:val="left"/>
        <w:rPr>
          <w:rFonts w:cs="Calibri"/>
          <w:b/>
          <w:color w:val="000000"/>
          <w:sz w:val="24"/>
          <w:szCs w:val="21"/>
          <w:lang w:val="zh-CN"/>
        </w:rPr>
      </w:pPr>
    </w:p>
    <w:p>
      <w:pPr>
        <w:widowControl/>
        <w:spacing w:line="360" w:lineRule="exact"/>
        <w:jc w:val="left"/>
        <w:rPr>
          <w:rFonts w:cs="Calibri"/>
          <w:b/>
          <w:color w:val="000000"/>
          <w:sz w:val="24"/>
          <w:szCs w:val="21"/>
          <w:lang w:val="zh-CN"/>
        </w:rPr>
      </w:pPr>
    </w:p>
    <w:p>
      <w:pPr>
        <w:widowControl/>
        <w:spacing w:line="360" w:lineRule="exact"/>
        <w:jc w:val="left"/>
        <w:rPr>
          <w:rFonts w:cs="Calibri"/>
          <w:b/>
          <w:color w:val="000000"/>
          <w:sz w:val="24"/>
          <w:szCs w:val="21"/>
          <w:lang w:val="zh-CN"/>
        </w:rPr>
      </w:pPr>
    </w:p>
    <w:p>
      <w:pPr>
        <w:widowControl/>
        <w:spacing w:line="360" w:lineRule="exact"/>
        <w:jc w:val="left"/>
        <w:rPr>
          <w:rFonts w:cs="Calibri"/>
          <w:b/>
          <w:color w:val="000000"/>
          <w:sz w:val="24"/>
          <w:szCs w:val="21"/>
          <w:lang w:val="zh-CN"/>
        </w:rPr>
      </w:pPr>
    </w:p>
    <w:p>
      <w:pPr>
        <w:widowControl/>
        <w:spacing w:line="360" w:lineRule="exact"/>
        <w:jc w:val="left"/>
        <w:rPr>
          <w:rFonts w:cs="Calibri"/>
          <w:b/>
          <w:color w:val="000000"/>
          <w:sz w:val="24"/>
          <w:szCs w:val="21"/>
          <w:lang w:val="zh-CN"/>
        </w:rPr>
      </w:pPr>
      <w:bookmarkStart w:id="7" w:name="_GoBack"/>
      <w:bookmarkEnd w:id="7"/>
    </w:p>
    <w:p>
      <w:pPr>
        <w:widowControl/>
        <w:spacing w:line="360" w:lineRule="exact"/>
        <w:jc w:val="left"/>
        <w:rPr>
          <w:rFonts w:cs="Calibri"/>
          <w:b/>
          <w:color w:val="000000"/>
          <w:sz w:val="24"/>
          <w:szCs w:val="21"/>
          <w:lang w:val="zh-CN"/>
        </w:rPr>
      </w:pPr>
    </w:p>
    <w:p>
      <w:pPr>
        <w:widowControl/>
        <w:spacing w:line="360" w:lineRule="exact"/>
        <w:jc w:val="left"/>
        <w:rPr>
          <w:rFonts w:cs="Calibri"/>
          <w:b/>
          <w:color w:val="000000"/>
          <w:sz w:val="24"/>
          <w:szCs w:val="21"/>
          <w:lang w:val="zh-CN"/>
        </w:rPr>
      </w:pPr>
    </w:p>
    <w:tbl>
      <w:tblPr>
        <w:tblStyle w:val="6"/>
        <w:tblW w:w="760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4"/>
        <w:gridCol w:w="526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234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40" w:lineRule="exact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项 目 名 称：</w:t>
            </w:r>
          </w:p>
        </w:tc>
        <w:tc>
          <w:tcPr>
            <w:tcW w:w="526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40" w:lineRule="exact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溪南中心小学新建教学楼工程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234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cs="Calibri"/>
                <w:b/>
                <w:color w:val="000000"/>
                <w:sz w:val="30"/>
                <w:szCs w:val="30"/>
              </w:rPr>
            </w:pP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委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托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单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位：</w:t>
            </w:r>
          </w:p>
        </w:tc>
        <w:tc>
          <w:tcPr>
            <w:tcW w:w="526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40" w:lineRule="exact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汕头市澄海溪南中心小学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234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cs="Calibri"/>
                <w:b/>
                <w:color w:val="000000"/>
                <w:sz w:val="30"/>
                <w:szCs w:val="30"/>
              </w:rPr>
            </w:pP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咨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询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单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位：</w:t>
            </w:r>
          </w:p>
        </w:tc>
        <w:tc>
          <w:tcPr>
            <w:tcW w:w="526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kern w:val="0"/>
                <w:sz w:val="30"/>
                <w:szCs w:val="30"/>
                <w:lang w:val="en-US" w:eastAsia="zh-CN" w:bidi="ar"/>
              </w:rPr>
              <w:t>广东新长安建筑设计院</w:t>
            </w:r>
            <w:r>
              <w:rPr>
                <w:rFonts w:hint="eastAsia"/>
                <w:b/>
                <w:kern w:val="0"/>
                <w:sz w:val="30"/>
                <w:szCs w:val="30"/>
                <w:lang w:bidi="ar"/>
              </w:rPr>
              <w:t>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234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cs="Calibri"/>
                <w:b/>
                <w:color w:val="000000"/>
                <w:sz w:val="30"/>
                <w:szCs w:val="30"/>
              </w:rPr>
            </w:pP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报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告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日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期：</w:t>
            </w:r>
          </w:p>
        </w:tc>
        <w:tc>
          <w:tcPr>
            <w:tcW w:w="526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>201</w:t>
            </w:r>
            <w:r>
              <w:rPr>
                <w:rFonts w:hint="eastAsia"/>
                <w:b/>
                <w:color w:val="000000"/>
                <w:kern w:val="0"/>
                <w:sz w:val="30"/>
                <w:szCs w:val="30"/>
                <w:lang w:val="en-US" w:eastAsia="zh-CN" w:bidi="ar"/>
              </w:rPr>
              <w:t>9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>年0</w:t>
            </w:r>
            <w:r>
              <w:rPr>
                <w:rFonts w:hint="eastAsia"/>
                <w:b/>
                <w:color w:val="000000"/>
                <w:kern w:val="0"/>
                <w:sz w:val="30"/>
                <w:szCs w:val="30"/>
                <w:lang w:val="en-US" w:eastAsia="zh-CN" w:bidi="ar"/>
              </w:rPr>
              <w:t>6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>月</w:t>
            </w:r>
            <w:r>
              <w:rPr>
                <w:rFonts w:hint="eastAsia"/>
                <w:b/>
                <w:color w:val="000000"/>
                <w:kern w:val="0"/>
                <w:sz w:val="30"/>
                <w:szCs w:val="30"/>
                <w:lang w:val="en-US" w:eastAsia="zh-CN" w:bidi="ar"/>
              </w:rPr>
              <w:t>29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2344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Calibri"/>
                <w:b/>
                <w:color w:val="000000"/>
                <w:sz w:val="30"/>
                <w:szCs w:val="30"/>
              </w:rPr>
            </w:pPr>
          </w:p>
        </w:tc>
        <w:tc>
          <w:tcPr>
            <w:tcW w:w="526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Calibri"/>
                <w:color w:val="000000"/>
                <w:sz w:val="30"/>
                <w:szCs w:val="30"/>
              </w:rPr>
            </w:pPr>
          </w:p>
        </w:tc>
      </w:tr>
    </w:tbl>
    <w:p>
      <w:pPr>
        <w:widowControl/>
        <w:jc w:val="left"/>
        <w:rPr>
          <w:rFonts w:cs="Calibri"/>
          <w:color w:val="000000"/>
          <w:sz w:val="24"/>
          <w:szCs w:val="21"/>
        </w:rPr>
      </w:pPr>
    </w:p>
    <w:p>
      <w:pPr>
        <w:widowControl/>
        <w:jc w:val="left"/>
        <w:rPr>
          <w:rFonts w:cs="Calibri"/>
          <w:color w:val="000000"/>
          <w:sz w:val="24"/>
          <w:szCs w:val="21"/>
        </w:rPr>
      </w:pPr>
    </w:p>
    <w:p>
      <w:pPr>
        <w:spacing w:line="360" w:lineRule="auto"/>
        <w:jc w:val="center"/>
        <w:rPr>
          <w:rFonts w:eastAsia="黑体" w:cs="Calibri"/>
          <w:color w:val="000000"/>
          <w:sz w:val="36"/>
          <w:szCs w:val="36"/>
        </w:rPr>
      </w:pPr>
    </w:p>
    <w:p>
      <w:pPr>
        <w:spacing w:line="360" w:lineRule="auto"/>
        <w:jc w:val="center"/>
        <w:rPr>
          <w:rFonts w:eastAsia="黑体" w:cs="Calibri"/>
          <w:color w:val="000000"/>
          <w:sz w:val="36"/>
          <w:szCs w:val="36"/>
        </w:rPr>
      </w:pPr>
    </w:p>
    <w:p>
      <w:pPr>
        <w:spacing w:line="360" w:lineRule="auto"/>
        <w:jc w:val="center"/>
        <w:rPr>
          <w:rFonts w:eastAsia="黑体" w:cs="Calibri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rightChars="0" w:firstLine="0" w:firstLineChars="0"/>
        <w:jc w:val="center"/>
        <w:textAlignment w:val="auto"/>
        <w:rPr>
          <w:sz w:val="48"/>
          <w:szCs w:val="48"/>
        </w:rPr>
      </w:pPr>
      <w:bookmarkStart w:id="0" w:name="_Toc3805_WPSOffice_Type1"/>
      <w:r>
        <w:rPr>
          <w:rFonts w:ascii="宋体" w:hAnsi="宋体" w:eastAsia="宋体"/>
          <w:sz w:val="48"/>
          <w:szCs w:val="48"/>
        </w:rPr>
        <w:t>目录</w:t>
      </w:r>
    </w:p>
    <w:p>
      <w:pPr>
        <w:pStyle w:val="18"/>
        <w:keepNext w:val="0"/>
        <w:keepLines w:val="0"/>
        <w:pageBreakBefore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_Toc13483_WPSOffice_Level1 </w:instrText>
      </w:r>
      <w:r>
        <w:rPr>
          <w:sz w:val="24"/>
          <w:szCs w:val="24"/>
        </w:rPr>
        <w:fldChar w:fldCharType="separate"/>
      </w:r>
      <w:r>
        <w:rPr>
          <w:rFonts w:hint="eastAsia" w:ascii="宋体" w:hAnsi="宋体" w:eastAsia="宋体" w:cs="Times New Roman"/>
          <w:sz w:val="24"/>
          <w:szCs w:val="24"/>
        </w:rPr>
        <w:t>1 项目概况</w:t>
      </w:r>
      <w:r>
        <w:rPr>
          <w:sz w:val="24"/>
          <w:szCs w:val="24"/>
        </w:rPr>
        <w:tab/>
      </w:r>
      <w:bookmarkStart w:id="1" w:name="_Toc13483_WPSOffice_Level1Page"/>
      <w:r>
        <w:rPr>
          <w:sz w:val="24"/>
          <w:szCs w:val="24"/>
        </w:rPr>
        <w:t>3</w:t>
      </w:r>
      <w:bookmarkEnd w:id="1"/>
      <w:r>
        <w:rPr>
          <w:sz w:val="24"/>
          <w:szCs w:val="24"/>
        </w:rPr>
        <w:fldChar w:fldCharType="end"/>
      </w:r>
    </w:p>
    <w:p>
      <w:pPr>
        <w:pStyle w:val="18"/>
        <w:keepNext w:val="0"/>
        <w:keepLines w:val="0"/>
        <w:pageBreakBefore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_Toc27309_WPSOffice_Level1 </w:instrText>
      </w:r>
      <w:r>
        <w:rPr>
          <w:sz w:val="24"/>
          <w:szCs w:val="24"/>
        </w:rPr>
        <w:fldChar w:fldCharType="separate"/>
      </w:r>
      <w:r>
        <w:rPr>
          <w:rFonts w:hint="eastAsia" w:ascii="宋体" w:hAnsi="宋体" w:eastAsia="宋体" w:cs="Times New Roman"/>
          <w:sz w:val="24"/>
          <w:szCs w:val="24"/>
        </w:rPr>
        <w:t>2</w:t>
      </w:r>
      <w:r>
        <w:rPr>
          <w:rFonts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</w:rPr>
        <w:t>场地与公共交通设施具有便捷的联系</w:t>
      </w:r>
      <w:r>
        <w:rPr>
          <w:sz w:val="24"/>
          <w:szCs w:val="24"/>
        </w:rPr>
        <w:tab/>
      </w:r>
      <w:bookmarkStart w:id="2" w:name="_Toc27309_WPSOffice_Level1Page"/>
      <w:r>
        <w:rPr>
          <w:sz w:val="24"/>
          <w:szCs w:val="24"/>
        </w:rPr>
        <w:t>3</w:t>
      </w:r>
      <w:bookmarkEnd w:id="2"/>
      <w:r>
        <w:rPr>
          <w:sz w:val="24"/>
          <w:szCs w:val="24"/>
        </w:rPr>
        <w:fldChar w:fldCharType="end"/>
      </w:r>
    </w:p>
    <w:p>
      <w:pPr>
        <w:pStyle w:val="18"/>
        <w:keepNext w:val="0"/>
        <w:keepLines w:val="0"/>
        <w:pageBreakBefore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_Toc31209_WPSOffice_Level1 </w:instrText>
      </w:r>
      <w:r>
        <w:rPr>
          <w:sz w:val="24"/>
          <w:szCs w:val="24"/>
        </w:rPr>
        <w:fldChar w:fldCharType="separate"/>
      </w:r>
      <w:r>
        <w:rPr>
          <w:rFonts w:hint="eastAsia" w:ascii="宋体" w:hAnsi="宋体" w:eastAsia="宋体" w:cs="Times New Roman"/>
          <w:sz w:val="24"/>
          <w:szCs w:val="24"/>
        </w:rPr>
        <w:t>3</w:t>
      </w:r>
      <w:r>
        <w:rPr>
          <w:rFonts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</w:rPr>
        <w:t>结论</w:t>
      </w:r>
      <w:r>
        <w:rPr>
          <w:sz w:val="24"/>
          <w:szCs w:val="24"/>
        </w:rPr>
        <w:tab/>
      </w:r>
      <w:bookmarkStart w:id="3" w:name="_Toc31209_WPSOffice_Level1Page"/>
      <w:r>
        <w:rPr>
          <w:sz w:val="24"/>
          <w:szCs w:val="24"/>
        </w:rPr>
        <w:t>4</w:t>
      </w:r>
      <w:bookmarkEnd w:id="3"/>
      <w:r>
        <w:rPr>
          <w:sz w:val="24"/>
          <w:szCs w:val="24"/>
        </w:rPr>
        <w:fldChar w:fldCharType="end"/>
      </w:r>
      <w:bookmarkEnd w:id="0"/>
    </w:p>
    <w:p>
      <w:pPr>
        <w:pStyle w:val="2"/>
        <w:rPr>
          <w:rFonts w:eastAsia="黑体" w:cs="Calibri"/>
          <w:color w:val="000000"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rPr>
          <w:rFonts w:ascii="宋体" w:hAnsi="宋体"/>
          <w:sz w:val="24"/>
          <w:szCs w:val="24"/>
        </w:rPr>
      </w:pPr>
      <w:bookmarkStart w:id="4" w:name="_Toc13483_WPSOffice_Level1"/>
      <w:r>
        <w:rPr>
          <w:rFonts w:hint="eastAsia" w:ascii="宋体" w:hAnsi="宋体"/>
          <w:sz w:val="24"/>
          <w:szCs w:val="24"/>
        </w:rPr>
        <w:t>1 项目概况</w:t>
      </w:r>
      <w:bookmarkEnd w:id="4"/>
    </w:p>
    <w:p>
      <w:pPr>
        <w:pStyle w:val="16"/>
        <w:ind w:firstLine="480"/>
        <w:rPr>
          <w:color w:val="000000"/>
          <w:kern w:val="0"/>
          <w:sz w:val="24"/>
          <w:shd w:val="clear" w:color="auto" w:fill="FFFFFF"/>
        </w:rPr>
      </w:pPr>
      <w:r>
        <w:rPr>
          <w:rFonts w:hint="eastAsia"/>
        </w:rPr>
        <w:t>本项目位于</w:t>
      </w:r>
      <w:r>
        <w:rPr>
          <w:rFonts w:hint="eastAsia"/>
          <w:lang w:val="en-US" w:eastAsia="zh-CN"/>
        </w:rPr>
        <w:t>广东省汕头市澄海区</w:t>
      </w:r>
      <w:r>
        <w:rPr>
          <w:rStyle w:val="13"/>
          <w:rFonts w:hint="eastAsia"/>
          <w:sz w:val="24"/>
          <w:szCs w:val="24"/>
        </w:rPr>
        <w:t>，</w:t>
      </w:r>
      <w:r>
        <w:rPr>
          <w:rStyle w:val="13"/>
          <w:rFonts w:hint="eastAsia"/>
          <w:sz w:val="24"/>
          <w:szCs w:val="24"/>
          <w:lang w:val="en-US" w:eastAsia="zh-CN"/>
        </w:rPr>
        <w:t>项目属于学校建筑，</w:t>
      </w:r>
      <w:r>
        <w:rPr>
          <w:rStyle w:val="13"/>
          <w:rFonts w:hint="eastAsia"/>
          <w:sz w:val="24"/>
          <w:szCs w:val="24"/>
        </w:rPr>
        <w:t>项目总建筑面积</w:t>
      </w:r>
      <w:r>
        <w:rPr>
          <w:rStyle w:val="13"/>
          <w:rFonts w:hint="eastAsia"/>
          <w:sz w:val="24"/>
          <w:szCs w:val="24"/>
          <w:lang w:val="en-US" w:eastAsia="zh-CN"/>
        </w:rPr>
        <w:t>2248.55</w:t>
      </w:r>
      <w:r>
        <w:rPr>
          <w:rStyle w:val="13"/>
          <w:rFonts w:hint="eastAsia"/>
          <w:sz w:val="24"/>
          <w:szCs w:val="24"/>
        </w:rPr>
        <w:t>㎡，</w:t>
      </w:r>
      <w:r>
        <w:rPr>
          <w:rStyle w:val="13"/>
          <w:rFonts w:hint="eastAsia" w:eastAsia="宋体"/>
          <w:sz w:val="24"/>
          <w:szCs w:val="24"/>
          <w:lang w:eastAsia="zh-CN"/>
        </w:rPr>
        <w:t>规划总用地面积</w:t>
      </w:r>
      <w:r>
        <w:rPr>
          <w:rStyle w:val="13"/>
          <w:rFonts w:hint="eastAsia"/>
          <w:sz w:val="24"/>
          <w:szCs w:val="24"/>
          <w:lang w:val="en-US" w:eastAsia="zh-CN"/>
        </w:rPr>
        <w:t>11364.70</w:t>
      </w:r>
      <w:r>
        <w:rPr>
          <w:rStyle w:val="13"/>
          <w:rFonts w:hint="eastAsia"/>
          <w:sz w:val="24"/>
          <w:szCs w:val="24"/>
        </w:rPr>
        <w:t>㎡</w:t>
      </w:r>
      <w:r>
        <w:rPr>
          <w:rStyle w:val="13"/>
          <w:rFonts w:hint="eastAsia" w:eastAsia="宋体"/>
          <w:sz w:val="24"/>
          <w:szCs w:val="24"/>
          <w:lang w:eastAsia="zh-CN"/>
        </w:rPr>
        <w:t>，</w:t>
      </w:r>
      <w:r>
        <w:rPr>
          <w:rStyle w:val="13"/>
          <w:rFonts w:hint="eastAsia" w:eastAsia="宋体"/>
          <w:sz w:val="24"/>
          <w:szCs w:val="24"/>
          <w:lang w:val="en-US" w:eastAsia="zh-CN"/>
        </w:rPr>
        <w:t>地上</w:t>
      </w:r>
      <w:r>
        <w:rPr>
          <w:rStyle w:val="13"/>
          <w:rFonts w:hint="eastAsia"/>
          <w:sz w:val="24"/>
          <w:szCs w:val="24"/>
          <w:lang w:val="en-US" w:eastAsia="zh-CN"/>
        </w:rPr>
        <w:t>3</w:t>
      </w:r>
      <w:r>
        <w:rPr>
          <w:rStyle w:val="13"/>
          <w:rFonts w:hint="eastAsia" w:eastAsia="宋体"/>
          <w:sz w:val="24"/>
          <w:szCs w:val="24"/>
          <w:lang w:val="en-US" w:eastAsia="zh-CN"/>
        </w:rPr>
        <w:t>层</w:t>
      </w:r>
      <w:r>
        <w:rPr>
          <w:rStyle w:val="13"/>
          <w:rFonts w:hint="eastAsia"/>
          <w:sz w:val="24"/>
          <w:szCs w:val="24"/>
          <w:lang w:val="en-US" w:eastAsia="zh-CN"/>
        </w:rPr>
        <w:t>，建筑高度为13.15m</w:t>
      </w:r>
      <w:r>
        <w:rPr>
          <w:rStyle w:val="13"/>
          <w:rFonts w:hint="eastAsia" w:eastAsia="宋体"/>
          <w:sz w:val="24"/>
          <w:szCs w:val="24"/>
          <w:lang w:val="en-US" w:eastAsia="zh-CN"/>
        </w:rPr>
        <w:t>。</w:t>
      </w:r>
    </w:p>
    <w:p>
      <w:pPr>
        <w:jc w:val="center"/>
        <w:rPr>
          <w:szCs w:val="21"/>
        </w:rPr>
      </w:pPr>
      <w:r>
        <w:pict>
          <v:shape id="_x0000_i1025" o:spt="75" type="#_x0000_t75" style="height:366.35pt;width:415.15pt;" filled="f" o:preferrelative="t" stroked="t" coordsize="21600,21600">
            <v:path/>
            <v:fill on="f" focussize="0,0"/>
            <v:stroke color="#0000FF" joinstyle="round"/>
            <v:imagedata r:id="rId4" o:title=""/>
            <o:lock v:ext="edit" aspectratio="t"/>
            <w10:wrap type="none"/>
            <w10:anchorlock/>
          </v:shape>
        </w:pict>
      </w:r>
    </w:p>
    <w:p>
      <w:pPr>
        <w:jc w:val="center"/>
        <w:rPr>
          <w:szCs w:val="21"/>
        </w:rPr>
      </w:pPr>
      <w:r>
        <w:rPr>
          <w:szCs w:val="21"/>
        </w:rPr>
        <w:t>图一 项目总平面</w:t>
      </w:r>
    </w:p>
    <w:p>
      <w:pPr>
        <w:spacing w:line="360" w:lineRule="auto"/>
        <w:rPr>
          <w:rFonts w:ascii="宋体"/>
          <w:sz w:val="24"/>
          <w:szCs w:val="21"/>
        </w:rPr>
      </w:pPr>
    </w:p>
    <w:p>
      <w:pPr>
        <w:pStyle w:val="2"/>
        <w:rPr>
          <w:rFonts w:ascii="宋体" w:hAnsi="宋体"/>
          <w:sz w:val="24"/>
          <w:szCs w:val="24"/>
        </w:rPr>
      </w:pPr>
      <w:bookmarkStart w:id="5" w:name="_Toc27309_WPSOffice_Level1"/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场地与公共交通设施具有便捷的联系</w:t>
      </w:r>
      <w:bookmarkEnd w:id="5"/>
    </w:p>
    <w:p>
      <w:pPr>
        <w:pStyle w:val="16"/>
        <w:ind w:firstLine="480"/>
      </w:pPr>
      <w:r>
        <w:rPr>
          <w:rFonts w:hint="eastAsia"/>
        </w:rPr>
        <w:t>距离本项目主入口不想距离5</w:t>
      </w:r>
      <w:r>
        <w:t>00</w:t>
      </w:r>
      <w:r>
        <w:rPr>
          <w:rFonts w:hint="eastAsia"/>
        </w:rPr>
        <w:t>m内多个公交站，如步行距离1</w:t>
      </w:r>
      <w:r>
        <w:t>16</w:t>
      </w:r>
      <w:r>
        <w:rPr>
          <w:rFonts w:hint="eastAsia"/>
        </w:rPr>
        <w:t>m华夏大道药城路站，步行距离</w:t>
      </w:r>
      <w:r>
        <w:t>184</w:t>
      </w:r>
      <w:r>
        <w:rPr>
          <w:rFonts w:hint="eastAsia"/>
        </w:rPr>
        <w:t>m处有华夏大道陶城西路公交站。华夏大道陶城西路公交站，有</w:t>
      </w:r>
      <w:r>
        <w:t>2</w:t>
      </w:r>
      <w:r>
        <w:rPr>
          <w:rFonts w:hint="eastAsia"/>
        </w:rPr>
        <w:t>条公交线路。</w:t>
      </w:r>
    </w:p>
    <w:p>
      <w:r>
        <w:pict>
          <v:shape id="_x0000_i1026" o:spt="75" type="#_x0000_t75" style="height:262.85pt;width:414.7pt;" filled="f" o:preferrelative="t" stroked="t" coordsize="21600,21600">
            <v:path/>
            <v:fill on="f" focussize="0,0"/>
            <v:stroke color="#0000FF"/>
            <v:imagedata r:id="rId5" o:title=""/>
            <o:lock v:ext="edit" aspectratio="t"/>
            <w10:wrap type="none"/>
            <w10:anchorlock/>
          </v:shape>
        </w:pict>
      </w:r>
    </w:p>
    <w:p>
      <w:pPr>
        <w:pStyle w:val="17"/>
      </w:pPr>
      <w:r>
        <w:t>图</w:t>
      </w:r>
      <w:r>
        <w:rPr>
          <w:rFonts w:hint="eastAsia"/>
        </w:rPr>
        <w:t>二</w:t>
      </w:r>
      <w:r>
        <w:t xml:space="preserve"> </w:t>
      </w:r>
      <w:r>
        <w:rPr>
          <w:rFonts w:hint="eastAsia"/>
          <w:lang w:val="en-US" w:eastAsia="zh-CN"/>
        </w:rPr>
        <w:t>学校周边公交站</w:t>
      </w:r>
    </w:p>
    <w:p>
      <w:r>
        <w:pict>
          <v:shape id="_x0000_i1027" o:spt="75" type="#_x0000_t75" style="height:237.55pt;width:415.1pt;" filled="f" o:preferrelative="t" stroked="t" coordsize="21600,21600">
            <v:path/>
            <v:fill on="f" focussize="0,0"/>
            <v:stroke color="#0000FF"/>
            <v:imagedata r:id="rId6" o:title=""/>
            <o:lock v:ext="edit" aspectratio="t"/>
            <w10:wrap type="none"/>
            <w10:anchorlock/>
          </v:shape>
        </w:pict>
      </w:r>
    </w:p>
    <w:p>
      <w:pPr>
        <w:pStyle w:val="17"/>
      </w:pPr>
      <w:r>
        <w:t>图</w:t>
      </w:r>
      <w:r>
        <w:rPr>
          <w:rFonts w:hint="eastAsia"/>
          <w:lang w:val="en-US" w:eastAsia="zh-CN"/>
        </w:rPr>
        <w:t>三</w:t>
      </w:r>
      <w:r>
        <w:t xml:space="preserve"> </w:t>
      </w:r>
      <w:r>
        <w:rPr>
          <w:rFonts w:hint="eastAsia"/>
          <w:lang w:val="en-US" w:eastAsia="zh-CN"/>
        </w:rPr>
        <w:t>学校周边公交站</w:t>
      </w:r>
    </w:p>
    <w:p>
      <w:pPr>
        <w:pStyle w:val="2"/>
        <w:rPr>
          <w:rFonts w:ascii="宋体" w:hAnsi="宋体"/>
          <w:sz w:val="24"/>
          <w:szCs w:val="24"/>
        </w:rPr>
      </w:pPr>
      <w:bookmarkStart w:id="6" w:name="_Toc31209_WPSOffice_Level1"/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结论</w:t>
      </w:r>
      <w:bookmarkEnd w:id="6"/>
    </w:p>
    <w:p>
      <w:pPr>
        <w:pStyle w:val="16"/>
        <w:ind w:firstLine="480"/>
      </w:pPr>
      <w:r>
        <w:rPr>
          <w:rFonts w:hint="eastAsia"/>
        </w:rPr>
        <w:t>项目</w:t>
      </w:r>
      <w:r>
        <w:t>场地出入口到达公共汽车站的步行距离不</w:t>
      </w:r>
      <w:r>
        <w:rPr>
          <w:rFonts w:hint="eastAsia"/>
        </w:rPr>
        <w:t>大于</w:t>
      </w:r>
      <w:r>
        <w:t>500m</w:t>
      </w:r>
      <w:r>
        <w:rPr>
          <w:rFonts w:hint="eastAsia"/>
        </w:rPr>
        <w:t>，</w:t>
      </w:r>
      <w:r>
        <w:t>场地出入口步行距离800m范围内设有2条及以上线路的公共交通站点</w:t>
      </w:r>
      <w:r>
        <w:rPr>
          <w:rFonts w:hint="eastAsia"/>
        </w:rPr>
        <w:t>；满足《绿色建筑评价标准》</w:t>
      </w:r>
      <w:r>
        <w:rPr>
          <w:rFonts w:hint="eastAsia"/>
          <w:lang w:val="en-US" w:eastAsia="zh-CN"/>
        </w:rPr>
        <w:t>GB50378中</w:t>
      </w:r>
      <w:r>
        <w:t>4.2.8</w:t>
      </w:r>
      <w:r>
        <w:rPr>
          <w:rFonts w:hint="eastAsia"/>
        </w:rPr>
        <w:t>条</w:t>
      </w:r>
      <w:r>
        <w:rPr>
          <w:rFonts w:hint="eastAsia"/>
          <w:lang w:eastAsia="zh-CN"/>
        </w:rPr>
        <w:t>“</w:t>
      </w:r>
      <w:r>
        <w:t>场地与公共交通设施具有便捷的联系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的要求</w:t>
      </w:r>
      <w:r>
        <w:rPr>
          <w:rFonts w:hint="eastAsia"/>
          <w:b/>
          <w:bCs/>
        </w:rPr>
        <w:t>。得</w:t>
      </w:r>
      <w:r>
        <w:rPr>
          <w:b/>
          <w:bCs/>
        </w:rPr>
        <w:t>6</w:t>
      </w:r>
      <w:r>
        <w:rPr>
          <w:rFonts w:hint="eastAsia"/>
          <w:b/>
          <w:bCs/>
        </w:rPr>
        <w:t>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65CA"/>
    <w:rsid w:val="000042B3"/>
    <w:rsid w:val="00034547"/>
    <w:rsid w:val="000705D2"/>
    <w:rsid w:val="00080383"/>
    <w:rsid w:val="000A4830"/>
    <w:rsid w:val="000B3845"/>
    <w:rsid w:val="000D1E4A"/>
    <w:rsid w:val="000E2183"/>
    <w:rsid w:val="00101834"/>
    <w:rsid w:val="00121217"/>
    <w:rsid w:val="001227EF"/>
    <w:rsid w:val="001240C6"/>
    <w:rsid w:val="001341CF"/>
    <w:rsid w:val="001406A1"/>
    <w:rsid w:val="00140780"/>
    <w:rsid w:val="001452EE"/>
    <w:rsid w:val="001520E1"/>
    <w:rsid w:val="00175086"/>
    <w:rsid w:val="0019097A"/>
    <w:rsid w:val="00194B36"/>
    <w:rsid w:val="001D26A2"/>
    <w:rsid w:val="001D320F"/>
    <w:rsid w:val="001E703B"/>
    <w:rsid w:val="002521EA"/>
    <w:rsid w:val="00265AB5"/>
    <w:rsid w:val="002758CA"/>
    <w:rsid w:val="002B4FD1"/>
    <w:rsid w:val="002F32EA"/>
    <w:rsid w:val="00321691"/>
    <w:rsid w:val="00322558"/>
    <w:rsid w:val="00357391"/>
    <w:rsid w:val="00360849"/>
    <w:rsid w:val="003C65CA"/>
    <w:rsid w:val="003C7A01"/>
    <w:rsid w:val="003D6FEA"/>
    <w:rsid w:val="003E1D62"/>
    <w:rsid w:val="003F49B3"/>
    <w:rsid w:val="003F7A60"/>
    <w:rsid w:val="004020E5"/>
    <w:rsid w:val="00432A75"/>
    <w:rsid w:val="0044057B"/>
    <w:rsid w:val="00466D37"/>
    <w:rsid w:val="0047449D"/>
    <w:rsid w:val="004C6BCD"/>
    <w:rsid w:val="004D7ABF"/>
    <w:rsid w:val="00544467"/>
    <w:rsid w:val="0055226E"/>
    <w:rsid w:val="005674B4"/>
    <w:rsid w:val="00593ECC"/>
    <w:rsid w:val="005C2831"/>
    <w:rsid w:val="005C4F19"/>
    <w:rsid w:val="005C5DBC"/>
    <w:rsid w:val="005D06A8"/>
    <w:rsid w:val="005D4906"/>
    <w:rsid w:val="005E4C3F"/>
    <w:rsid w:val="005F3024"/>
    <w:rsid w:val="005F5456"/>
    <w:rsid w:val="005F70C1"/>
    <w:rsid w:val="0060099C"/>
    <w:rsid w:val="0061287D"/>
    <w:rsid w:val="0061338F"/>
    <w:rsid w:val="0064468B"/>
    <w:rsid w:val="00667EEF"/>
    <w:rsid w:val="006809A6"/>
    <w:rsid w:val="006845B9"/>
    <w:rsid w:val="00684F0C"/>
    <w:rsid w:val="006875C4"/>
    <w:rsid w:val="006A150C"/>
    <w:rsid w:val="006B489F"/>
    <w:rsid w:val="006D62AE"/>
    <w:rsid w:val="006E0A05"/>
    <w:rsid w:val="006E1F2C"/>
    <w:rsid w:val="0075422D"/>
    <w:rsid w:val="00760AB6"/>
    <w:rsid w:val="00787CFC"/>
    <w:rsid w:val="00792F51"/>
    <w:rsid w:val="007B2641"/>
    <w:rsid w:val="007D4D3D"/>
    <w:rsid w:val="00824AC0"/>
    <w:rsid w:val="008429B9"/>
    <w:rsid w:val="00852F36"/>
    <w:rsid w:val="00855F96"/>
    <w:rsid w:val="0086331E"/>
    <w:rsid w:val="00880F33"/>
    <w:rsid w:val="00897765"/>
    <w:rsid w:val="008A288F"/>
    <w:rsid w:val="008D0523"/>
    <w:rsid w:val="008E091A"/>
    <w:rsid w:val="008F48A1"/>
    <w:rsid w:val="008F7509"/>
    <w:rsid w:val="009007E1"/>
    <w:rsid w:val="00925626"/>
    <w:rsid w:val="00925A3D"/>
    <w:rsid w:val="00947D07"/>
    <w:rsid w:val="00966BC1"/>
    <w:rsid w:val="009A3807"/>
    <w:rsid w:val="009B5FA1"/>
    <w:rsid w:val="009B7DB9"/>
    <w:rsid w:val="009D0397"/>
    <w:rsid w:val="009E146A"/>
    <w:rsid w:val="00A355BD"/>
    <w:rsid w:val="00A70638"/>
    <w:rsid w:val="00A86AFD"/>
    <w:rsid w:val="00AA1CCB"/>
    <w:rsid w:val="00AC35E8"/>
    <w:rsid w:val="00AD3169"/>
    <w:rsid w:val="00AD7447"/>
    <w:rsid w:val="00AF1740"/>
    <w:rsid w:val="00B20F8F"/>
    <w:rsid w:val="00B22177"/>
    <w:rsid w:val="00B60740"/>
    <w:rsid w:val="00B91E87"/>
    <w:rsid w:val="00BB2170"/>
    <w:rsid w:val="00BE3FDF"/>
    <w:rsid w:val="00BF21EA"/>
    <w:rsid w:val="00BF5531"/>
    <w:rsid w:val="00C03332"/>
    <w:rsid w:val="00C03E7D"/>
    <w:rsid w:val="00C31F98"/>
    <w:rsid w:val="00C33A7E"/>
    <w:rsid w:val="00C4449D"/>
    <w:rsid w:val="00C642E3"/>
    <w:rsid w:val="00C7759D"/>
    <w:rsid w:val="00C831FD"/>
    <w:rsid w:val="00C83B32"/>
    <w:rsid w:val="00C93B4E"/>
    <w:rsid w:val="00CE0367"/>
    <w:rsid w:val="00D078CB"/>
    <w:rsid w:val="00D14144"/>
    <w:rsid w:val="00D23189"/>
    <w:rsid w:val="00D23297"/>
    <w:rsid w:val="00D35A30"/>
    <w:rsid w:val="00D415E6"/>
    <w:rsid w:val="00D70F54"/>
    <w:rsid w:val="00D9464B"/>
    <w:rsid w:val="00DA52C2"/>
    <w:rsid w:val="00DB438E"/>
    <w:rsid w:val="00DC3F7E"/>
    <w:rsid w:val="00DD1D4D"/>
    <w:rsid w:val="00DD3DD4"/>
    <w:rsid w:val="00DE7037"/>
    <w:rsid w:val="00E05C77"/>
    <w:rsid w:val="00E17E0C"/>
    <w:rsid w:val="00E3435D"/>
    <w:rsid w:val="00E4293D"/>
    <w:rsid w:val="00E561FA"/>
    <w:rsid w:val="00EE24EA"/>
    <w:rsid w:val="00EE44D6"/>
    <w:rsid w:val="00EF58F3"/>
    <w:rsid w:val="00F65265"/>
    <w:rsid w:val="00F73E2D"/>
    <w:rsid w:val="00F746B7"/>
    <w:rsid w:val="00F82856"/>
    <w:rsid w:val="00F92052"/>
    <w:rsid w:val="00F935E2"/>
    <w:rsid w:val="00FC2483"/>
    <w:rsid w:val="00FC52A5"/>
    <w:rsid w:val="00FD228B"/>
    <w:rsid w:val="05A012C8"/>
    <w:rsid w:val="06EE69EC"/>
    <w:rsid w:val="08712629"/>
    <w:rsid w:val="088D2C15"/>
    <w:rsid w:val="0B5C634A"/>
    <w:rsid w:val="0D8E3FCC"/>
    <w:rsid w:val="15D418DD"/>
    <w:rsid w:val="17B730F8"/>
    <w:rsid w:val="19A631E6"/>
    <w:rsid w:val="1BFE50CE"/>
    <w:rsid w:val="1C6676A1"/>
    <w:rsid w:val="1F0D3D48"/>
    <w:rsid w:val="2206794C"/>
    <w:rsid w:val="29102389"/>
    <w:rsid w:val="2B4323C0"/>
    <w:rsid w:val="2BCB00FF"/>
    <w:rsid w:val="2D69660C"/>
    <w:rsid w:val="2E50690A"/>
    <w:rsid w:val="2ED21461"/>
    <w:rsid w:val="33BF74F4"/>
    <w:rsid w:val="3AF578A4"/>
    <w:rsid w:val="3B530361"/>
    <w:rsid w:val="3E0F59D2"/>
    <w:rsid w:val="3F3F3FB0"/>
    <w:rsid w:val="43450C35"/>
    <w:rsid w:val="43CC7746"/>
    <w:rsid w:val="44E43A96"/>
    <w:rsid w:val="465E7A7F"/>
    <w:rsid w:val="4CDB5DA5"/>
    <w:rsid w:val="4D611881"/>
    <w:rsid w:val="4F203DE0"/>
    <w:rsid w:val="50120DEA"/>
    <w:rsid w:val="53987432"/>
    <w:rsid w:val="551B596B"/>
    <w:rsid w:val="55622BA4"/>
    <w:rsid w:val="55CA648B"/>
    <w:rsid w:val="5B4B4D21"/>
    <w:rsid w:val="5C4E40FD"/>
    <w:rsid w:val="64756D96"/>
    <w:rsid w:val="65ED3124"/>
    <w:rsid w:val="67FC4329"/>
    <w:rsid w:val="6C165A89"/>
    <w:rsid w:val="6D3131CC"/>
    <w:rsid w:val="6F0312AE"/>
    <w:rsid w:val="70B0231A"/>
    <w:rsid w:val="74FD4DFC"/>
    <w:rsid w:val="7519472C"/>
    <w:rsid w:val="75E013B5"/>
    <w:rsid w:val="76C543E8"/>
    <w:rsid w:val="77323732"/>
    <w:rsid w:val="7D171A9E"/>
    <w:rsid w:val="7E38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220" w:after="210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Default"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link w:val="5"/>
    <w:uiPriority w:val="99"/>
    <w:rPr>
      <w:sz w:val="18"/>
      <w:szCs w:val="18"/>
    </w:rPr>
  </w:style>
  <w:style w:type="character" w:customStyle="1" w:styleId="12">
    <w:name w:val="页脚 字符"/>
    <w:link w:val="4"/>
    <w:uiPriority w:val="99"/>
    <w:rPr>
      <w:sz w:val="18"/>
      <w:szCs w:val="18"/>
    </w:rPr>
  </w:style>
  <w:style w:type="character" w:customStyle="1" w:styleId="13">
    <w:name w:val="Font Style51"/>
    <w:uiPriority w:val="0"/>
    <w:rPr>
      <w:rFonts w:ascii="宋体" w:eastAsia="宋体" w:cs="宋体"/>
      <w:sz w:val="22"/>
      <w:szCs w:val="22"/>
    </w:rPr>
  </w:style>
  <w:style w:type="character" w:customStyle="1" w:styleId="14">
    <w:name w:val="标题 1 字符"/>
    <w:link w:val="2"/>
    <w:qFormat/>
    <w:uiPriority w:val="9"/>
    <w:rPr>
      <w:rFonts w:ascii="Calibri" w:hAnsi="Calibri"/>
      <w:b/>
      <w:bCs/>
      <w:kern w:val="44"/>
      <w:sz w:val="44"/>
      <w:szCs w:val="44"/>
    </w:rPr>
  </w:style>
  <w:style w:type="character" w:customStyle="1" w:styleId="15">
    <w:name w:val="批注框文本 字符"/>
    <w:link w:val="3"/>
    <w:semiHidden/>
    <w:qFormat/>
    <w:uiPriority w:val="99"/>
    <w:rPr>
      <w:sz w:val="18"/>
      <w:szCs w:val="18"/>
    </w:rPr>
  </w:style>
  <w:style w:type="paragraph" w:customStyle="1" w:styleId="16">
    <w:name w:val="lj正文"/>
    <w:qFormat/>
    <w:uiPriority w:val="0"/>
    <w:pPr>
      <w:spacing w:line="360" w:lineRule="auto"/>
      <w:ind w:firstLine="200" w:firstLineChars="200"/>
    </w:pPr>
    <w:rPr>
      <w:rFonts w:ascii="宋体" w:hAnsi="宋体" w:eastAsia="宋体" w:cs="Times New Roman"/>
      <w:color w:val="000000"/>
      <w:sz w:val="24"/>
      <w:szCs w:val="24"/>
      <w:shd w:val="clear" w:color="auto" w:fill="FFFFFF"/>
      <w:lang w:val="en-US" w:eastAsia="zh-CN" w:bidi="ar-SA"/>
    </w:rPr>
  </w:style>
  <w:style w:type="paragraph" w:customStyle="1" w:styleId="17">
    <w:name w:val="lj 图表标题"/>
    <w:qFormat/>
    <w:uiPriority w:val="0"/>
    <w:pPr>
      <w:autoSpaceDE w:val="0"/>
      <w:autoSpaceDN w:val="0"/>
      <w:adjustRightInd w:val="0"/>
      <w:spacing w:line="360" w:lineRule="auto"/>
      <w:jc w:val="center"/>
    </w:pPr>
    <w:rPr>
      <w:rFonts w:ascii="Calibri" w:hAnsi="Calibri" w:eastAsia="宋体" w:cs="宋体"/>
      <w:sz w:val="21"/>
      <w:szCs w:val="24"/>
      <w:lang w:val="en-US" w:eastAsia="zh-CN" w:bidi="ar-SA"/>
    </w:rPr>
  </w:style>
  <w:style w:type="paragraph" w:customStyle="1" w:styleId="18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赛格装机联盟</Company>
  <Pages>6</Pages>
  <Words>177</Words>
  <Characters>1011</Characters>
  <Lines>8</Lines>
  <Paragraphs>2</Paragraphs>
  <TotalTime>0</TotalTime>
  <ScaleCrop>false</ScaleCrop>
  <LinksUpToDate>false</LinksUpToDate>
  <CharactersWithSpaces>1186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2014-06-12T06:55:00Z</dcterms:created>
  <dc:creator>微软用户</dc:creator>
  <cp:lastModifiedBy>_ 李漂亮 _</cp:lastModifiedBy>
  <cp:lastPrinted>2016-04-05T01:50:00Z</cp:lastPrinted>
  <dcterms:modified xsi:type="dcterms:W3CDTF">2019-06-30T09:01:20Z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