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Calibri" w:hAnsi="Calibri" w:cs="Calibri"/>
          <w:b/>
          <w:bCs/>
          <w:sz w:val="44"/>
          <w:szCs w:val="44"/>
        </w:rPr>
      </w:pPr>
    </w:p>
    <w:p>
      <w:pPr>
        <w:widowControl/>
        <w:jc w:val="center"/>
        <w:rPr>
          <w:rFonts w:eastAsia="黑体" w:cs="Calibri"/>
          <w:b/>
          <w:color w:val="000000"/>
          <w:sz w:val="24"/>
          <w:szCs w:val="20"/>
        </w:rPr>
      </w:pPr>
    </w:p>
    <w:p>
      <w:pPr>
        <w:widowControl/>
        <w:jc w:val="left"/>
        <w:rPr>
          <w:rFonts w:cs="Calibri"/>
          <w:b/>
          <w:color w:val="000000"/>
          <w:sz w:val="24"/>
          <w:szCs w:val="21"/>
        </w:rPr>
      </w:pPr>
    </w:p>
    <w:p>
      <w:pPr>
        <w:widowControl/>
        <w:jc w:val="left"/>
        <w:rPr>
          <w:rFonts w:cs="Calibri"/>
          <w:b/>
          <w:color w:val="000000"/>
          <w:sz w:val="24"/>
          <w:szCs w:val="21"/>
        </w:rPr>
      </w:pPr>
    </w:p>
    <w:p>
      <w:pPr>
        <w:widowControl/>
        <w:jc w:val="left"/>
        <w:rPr>
          <w:rFonts w:cs="Calibri"/>
          <w:b/>
          <w:color w:val="000000"/>
          <w:sz w:val="24"/>
          <w:szCs w:val="21"/>
        </w:rPr>
      </w:pPr>
      <w:r>
        <w:rPr>
          <w:rFonts w:ascii="Calibri" w:hAnsi="Calibri" w:cs="Calibri"/>
          <w:szCs w:val="21"/>
        </w:rPr>
        <mc:AlternateContent>
          <mc:Choice Requires="wps">
            <w:drawing>
              <wp:anchor distT="0" distB="0" distL="114300" distR="114300" simplePos="0" relativeHeight="251658240" behindDoc="0" locked="0" layoutInCell="1" allowOverlap="1">
                <wp:simplePos x="0" y="0"/>
                <wp:positionH relativeFrom="column">
                  <wp:posOffset>44450</wp:posOffset>
                </wp:positionH>
                <wp:positionV relativeFrom="paragraph">
                  <wp:posOffset>156210</wp:posOffset>
                </wp:positionV>
                <wp:extent cx="5188585" cy="629285"/>
                <wp:effectExtent l="0" t="0" r="12065" b="18415"/>
                <wp:wrapNone/>
                <wp:docPr id="6" name="文本框 3"/>
                <wp:cNvGraphicFramePr/>
                <a:graphic xmlns:a="http://schemas.openxmlformats.org/drawingml/2006/main">
                  <a:graphicData uri="http://schemas.microsoft.com/office/word/2010/wordprocessingShape">
                    <wps:wsp>
                      <wps:cNvSpPr txBox="1">
                        <a:spLocks noChangeArrowheads="1"/>
                      </wps:cNvSpPr>
                      <wps:spPr bwMode="auto">
                        <a:xfrm>
                          <a:off x="0" y="0"/>
                          <a:ext cx="5188585" cy="629285"/>
                        </a:xfrm>
                        <a:prstGeom prst="rect">
                          <a:avLst/>
                        </a:prstGeom>
                        <a:solidFill>
                          <a:srgbClr val="FFFFFF"/>
                        </a:solidFill>
                        <a:ln>
                          <a:noFill/>
                        </a:ln>
                        <a:effectLst/>
                      </wps:spPr>
                      <wps:txbx>
                        <w:txbxContent>
                          <w:p>
                            <w:pPr>
                              <w:widowControl/>
                              <w:jc w:val="center"/>
                              <w:rPr>
                                <w:rFonts w:hint="eastAsia" w:ascii="微软雅黑" w:hAnsi="微软雅黑" w:eastAsia="微软雅黑" w:cs="微软雅黑"/>
                                <w:b/>
                                <w:sz w:val="44"/>
                                <w:szCs w:val="44"/>
                              </w:rPr>
                            </w:pPr>
                            <w:r>
                              <w:rPr>
                                <w:rFonts w:hint="eastAsia" w:ascii="微软雅黑" w:hAnsi="微软雅黑" w:eastAsia="微软雅黑" w:cs="微软雅黑"/>
                                <w:b/>
                                <w:kern w:val="0"/>
                                <w:sz w:val="44"/>
                                <w:szCs w:val="44"/>
                                <w:lang w:bidi="ar"/>
                              </w:rPr>
                              <w:t>日照模拟分析报告</w:t>
                            </w:r>
                          </w:p>
                        </w:txbxContent>
                      </wps:txbx>
                      <wps:bodyPr rot="0" vert="horz" wrap="square" lIns="91440" tIns="45720" rIns="91440" bIns="45720" anchor="t" anchorCtr="0" upright="1">
                        <a:noAutofit/>
                      </wps:bodyPr>
                    </wps:wsp>
                  </a:graphicData>
                </a:graphic>
              </wp:anchor>
            </w:drawing>
          </mc:Choice>
          <mc:Fallback>
            <w:pict>
              <v:shape id="文本框 3" o:spid="_x0000_s1026" o:spt="202" type="#_x0000_t202" style="position:absolute;left:0pt;margin-left:3.5pt;margin-top:12.3pt;height:49.55pt;width:408.55pt;z-index:251658240;mso-width-relative:page;mso-height-relative:page;" fillcolor="#FFFFFF" filled="t" stroked="f" coordsize="21600,21600" o:gfxdata="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EXIWU3WAAAACAEAAA8AAAAAAAAA&#10;AQAgAAAAIgAAAGRycy9kb3ducmV2LnhtbFBLAQIUABQAAAAIAIdO4kCIujKVEwIAAP4DAAAOAAAA&#10;AAAAAAEAIAAAACUBAABkcnMvZTJvRG9jLnhtbFBLBQYAAAAABgAGAFkBAACqBQAAAAA=&#10;">
                <v:fill on="t" focussize="0,0"/>
                <v:stroke on="f"/>
                <v:imagedata o:title=""/>
                <o:lock v:ext="edit" aspectratio="f"/>
                <v:textbox>
                  <w:txbxContent>
                    <w:p>
                      <w:pPr>
                        <w:widowControl/>
                        <w:jc w:val="center"/>
                        <w:rPr>
                          <w:rFonts w:hint="eastAsia" w:ascii="微软雅黑" w:hAnsi="微软雅黑" w:eastAsia="微软雅黑" w:cs="微软雅黑"/>
                          <w:b/>
                          <w:sz w:val="44"/>
                          <w:szCs w:val="44"/>
                        </w:rPr>
                      </w:pPr>
                      <w:r>
                        <w:rPr>
                          <w:rFonts w:hint="eastAsia" w:ascii="微软雅黑" w:hAnsi="微软雅黑" w:eastAsia="微软雅黑" w:cs="微软雅黑"/>
                          <w:b/>
                          <w:kern w:val="0"/>
                          <w:sz w:val="44"/>
                          <w:szCs w:val="44"/>
                          <w:lang w:bidi="ar"/>
                        </w:rPr>
                        <w:t>日照模拟分析报告</w:t>
                      </w:r>
                    </w:p>
                  </w:txbxContent>
                </v:textbox>
              </v:shape>
            </w:pict>
          </mc:Fallback>
        </mc:AlternateContent>
      </w: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p>
      <w:pPr>
        <w:widowControl/>
        <w:spacing w:line="360" w:lineRule="exact"/>
        <w:jc w:val="left"/>
        <w:rPr>
          <w:rFonts w:cs="Calibri"/>
          <w:b/>
          <w:color w:val="000000"/>
          <w:sz w:val="24"/>
          <w:szCs w:val="21"/>
          <w:lang w:val="zh-CN"/>
        </w:rPr>
      </w:pPr>
    </w:p>
    <w:tbl>
      <w:tblPr>
        <w:tblStyle w:val="16"/>
        <w:tblW w:w="7605" w:type="dxa"/>
        <w:jc w:val="center"/>
        <w:tblInd w:w="0" w:type="dxa"/>
        <w:tblLayout w:type="fixed"/>
        <w:tblCellMar>
          <w:top w:w="0" w:type="dxa"/>
          <w:left w:w="108" w:type="dxa"/>
          <w:bottom w:w="0" w:type="dxa"/>
          <w:right w:w="108" w:type="dxa"/>
        </w:tblCellMar>
      </w:tblPr>
      <w:tblGrid>
        <w:gridCol w:w="2344"/>
        <w:gridCol w:w="5261"/>
      </w:tblGrid>
      <w:tr>
        <w:tblPrEx>
          <w:tblLayout w:type="fixed"/>
          <w:tblCellMar>
            <w:top w:w="0" w:type="dxa"/>
            <w:left w:w="108" w:type="dxa"/>
            <w:bottom w:w="0" w:type="dxa"/>
            <w:right w:w="108" w:type="dxa"/>
          </w:tblCellMar>
        </w:tblPrEx>
        <w:trPr>
          <w:trHeight w:val="882" w:hRule="atLeast"/>
          <w:jc w:val="center"/>
        </w:trPr>
        <w:tc>
          <w:tcPr>
            <w:tcW w:w="2344" w:type="dxa"/>
            <w:tcBorders>
              <w:top w:val="nil"/>
              <w:left w:val="nil"/>
              <w:bottom w:val="single" w:color="auto" w:sz="4" w:space="0"/>
              <w:right w:val="nil"/>
            </w:tcBorders>
            <w:vAlign w:val="center"/>
          </w:tcPr>
          <w:p>
            <w:pPr>
              <w:spacing w:line="440" w:lineRule="exact"/>
              <w:rPr>
                <w:rFonts w:hint="eastAsia"/>
                <w:b/>
                <w:sz w:val="30"/>
                <w:szCs w:val="30"/>
              </w:rPr>
            </w:pPr>
            <w:r>
              <w:rPr>
                <w:rFonts w:hint="eastAsia"/>
                <w:b/>
                <w:sz w:val="30"/>
                <w:szCs w:val="30"/>
              </w:rPr>
              <w:t>项 目 名 称：</w:t>
            </w:r>
          </w:p>
        </w:tc>
        <w:tc>
          <w:tcPr>
            <w:tcW w:w="5261" w:type="dxa"/>
            <w:tcBorders>
              <w:top w:val="nil"/>
              <w:left w:val="nil"/>
              <w:bottom w:val="single" w:color="auto" w:sz="4" w:space="0"/>
              <w:right w:val="nil"/>
            </w:tcBorders>
            <w:vAlign w:val="center"/>
          </w:tcPr>
          <w:p>
            <w:pPr>
              <w:spacing w:line="440" w:lineRule="exact"/>
              <w:rPr>
                <w:rFonts w:hint="eastAsia"/>
                <w:b/>
                <w:sz w:val="30"/>
                <w:szCs w:val="30"/>
              </w:rPr>
            </w:pPr>
            <w:r>
              <w:rPr>
                <w:rFonts w:hint="eastAsia"/>
                <w:b/>
                <w:sz w:val="30"/>
                <w:szCs w:val="30"/>
                <w:lang w:val="en-US" w:eastAsia="zh-CN"/>
              </w:rPr>
              <w:t>溪南中心小学新建教学楼工程</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single" w:color="auto" w:sz="4" w:space="0"/>
              <w:right w:val="nil"/>
            </w:tcBorders>
            <w:vAlign w:val="center"/>
          </w:tcPr>
          <w:p>
            <w:pPr>
              <w:widowControl/>
              <w:spacing w:line="440" w:lineRule="exact"/>
              <w:jc w:val="left"/>
              <w:rPr>
                <w:rFonts w:cs="Calibri"/>
                <w:b/>
                <w:color w:val="000000"/>
                <w:sz w:val="30"/>
                <w:szCs w:val="30"/>
              </w:rPr>
            </w:pPr>
            <w:r>
              <w:rPr>
                <w:rFonts w:hint="eastAsia" w:cs="宋体"/>
                <w:b/>
                <w:color w:val="000000"/>
                <w:kern w:val="0"/>
                <w:sz w:val="30"/>
                <w:szCs w:val="30"/>
                <w:lang w:bidi="ar"/>
              </w:rPr>
              <w:t>委</w:t>
            </w:r>
            <w:r>
              <w:rPr>
                <w:b/>
                <w:color w:val="000000"/>
                <w:kern w:val="0"/>
                <w:sz w:val="30"/>
                <w:szCs w:val="30"/>
                <w:lang w:bidi="ar"/>
              </w:rPr>
              <w:t xml:space="preserve"> </w:t>
            </w:r>
            <w:r>
              <w:rPr>
                <w:rFonts w:hint="eastAsia" w:cs="宋体"/>
                <w:b/>
                <w:color w:val="000000"/>
                <w:kern w:val="0"/>
                <w:sz w:val="30"/>
                <w:szCs w:val="30"/>
                <w:lang w:bidi="ar"/>
              </w:rPr>
              <w:t>托</w:t>
            </w:r>
            <w:r>
              <w:rPr>
                <w:b/>
                <w:color w:val="000000"/>
                <w:kern w:val="0"/>
                <w:sz w:val="30"/>
                <w:szCs w:val="30"/>
                <w:lang w:bidi="ar"/>
              </w:rPr>
              <w:t xml:space="preserve"> </w:t>
            </w:r>
            <w:r>
              <w:rPr>
                <w:rFonts w:hint="eastAsia" w:cs="宋体"/>
                <w:b/>
                <w:color w:val="000000"/>
                <w:kern w:val="0"/>
                <w:sz w:val="30"/>
                <w:szCs w:val="30"/>
                <w:lang w:bidi="ar"/>
              </w:rPr>
              <w:t>单</w:t>
            </w:r>
            <w:r>
              <w:rPr>
                <w:b/>
                <w:color w:val="000000"/>
                <w:kern w:val="0"/>
                <w:sz w:val="30"/>
                <w:szCs w:val="30"/>
                <w:lang w:bidi="ar"/>
              </w:rPr>
              <w:t xml:space="preserve"> </w:t>
            </w:r>
            <w:r>
              <w:rPr>
                <w:rFonts w:hint="eastAsia" w:cs="宋体"/>
                <w:b/>
                <w:color w:val="000000"/>
                <w:kern w:val="0"/>
                <w:sz w:val="30"/>
                <w:szCs w:val="30"/>
                <w:lang w:bidi="ar"/>
              </w:rPr>
              <w:t>位：</w:t>
            </w:r>
          </w:p>
        </w:tc>
        <w:tc>
          <w:tcPr>
            <w:tcW w:w="5261" w:type="dxa"/>
            <w:tcBorders>
              <w:top w:val="single" w:color="auto" w:sz="4" w:space="0"/>
              <w:left w:val="nil"/>
              <w:bottom w:val="single" w:color="auto" w:sz="4" w:space="0"/>
              <w:right w:val="nil"/>
            </w:tcBorders>
            <w:vAlign w:val="center"/>
          </w:tcPr>
          <w:p>
            <w:pPr>
              <w:spacing w:line="440" w:lineRule="exact"/>
              <w:rPr>
                <w:b/>
                <w:sz w:val="30"/>
                <w:szCs w:val="30"/>
              </w:rPr>
            </w:pPr>
            <w:r>
              <w:rPr>
                <w:rFonts w:hint="eastAsia"/>
                <w:b/>
                <w:sz w:val="30"/>
                <w:szCs w:val="30"/>
                <w:lang w:val="en-US" w:eastAsia="zh-CN"/>
              </w:rPr>
              <w:t>汕头市澄海溪</w:t>
            </w:r>
            <w:bookmarkStart w:id="34" w:name="_GoBack"/>
            <w:bookmarkEnd w:id="34"/>
            <w:r>
              <w:rPr>
                <w:rFonts w:hint="eastAsia"/>
                <w:b/>
                <w:sz w:val="30"/>
                <w:szCs w:val="30"/>
                <w:lang w:val="en-US" w:eastAsia="zh-CN"/>
              </w:rPr>
              <w:t>南中心小学</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single" w:color="auto" w:sz="4" w:space="0"/>
              <w:right w:val="nil"/>
            </w:tcBorders>
            <w:vAlign w:val="center"/>
          </w:tcPr>
          <w:p>
            <w:pPr>
              <w:widowControl/>
              <w:spacing w:line="440" w:lineRule="exact"/>
              <w:jc w:val="left"/>
              <w:rPr>
                <w:rFonts w:cs="Calibri"/>
                <w:b/>
                <w:color w:val="000000"/>
                <w:sz w:val="30"/>
                <w:szCs w:val="30"/>
              </w:rPr>
            </w:pPr>
            <w:r>
              <w:rPr>
                <w:rFonts w:hint="eastAsia" w:cs="宋体"/>
                <w:b/>
                <w:color w:val="000000"/>
                <w:kern w:val="0"/>
                <w:sz w:val="30"/>
                <w:szCs w:val="30"/>
                <w:lang w:bidi="ar"/>
              </w:rPr>
              <w:t>咨</w:t>
            </w:r>
            <w:r>
              <w:rPr>
                <w:b/>
                <w:color w:val="000000"/>
                <w:kern w:val="0"/>
                <w:sz w:val="30"/>
                <w:szCs w:val="30"/>
                <w:lang w:bidi="ar"/>
              </w:rPr>
              <w:t xml:space="preserve"> </w:t>
            </w:r>
            <w:r>
              <w:rPr>
                <w:rFonts w:hint="eastAsia" w:cs="宋体"/>
                <w:b/>
                <w:color w:val="000000"/>
                <w:kern w:val="0"/>
                <w:sz w:val="30"/>
                <w:szCs w:val="30"/>
                <w:lang w:bidi="ar"/>
              </w:rPr>
              <w:t>询</w:t>
            </w:r>
            <w:r>
              <w:rPr>
                <w:b/>
                <w:color w:val="000000"/>
                <w:kern w:val="0"/>
                <w:sz w:val="30"/>
                <w:szCs w:val="30"/>
                <w:lang w:bidi="ar"/>
              </w:rPr>
              <w:t xml:space="preserve"> </w:t>
            </w:r>
            <w:r>
              <w:rPr>
                <w:rFonts w:hint="eastAsia" w:cs="宋体"/>
                <w:b/>
                <w:color w:val="000000"/>
                <w:kern w:val="0"/>
                <w:sz w:val="30"/>
                <w:szCs w:val="30"/>
                <w:lang w:bidi="ar"/>
              </w:rPr>
              <w:t>单</w:t>
            </w:r>
            <w:r>
              <w:rPr>
                <w:b/>
                <w:color w:val="000000"/>
                <w:kern w:val="0"/>
                <w:sz w:val="30"/>
                <w:szCs w:val="30"/>
                <w:lang w:bidi="ar"/>
              </w:rPr>
              <w:t xml:space="preserve"> </w:t>
            </w:r>
            <w:r>
              <w:rPr>
                <w:rFonts w:hint="eastAsia" w:cs="宋体"/>
                <w:b/>
                <w:color w:val="000000"/>
                <w:kern w:val="0"/>
                <w:sz w:val="30"/>
                <w:szCs w:val="30"/>
                <w:lang w:bidi="ar"/>
              </w:rPr>
              <w:t>位：</w:t>
            </w:r>
          </w:p>
        </w:tc>
        <w:tc>
          <w:tcPr>
            <w:tcW w:w="5261" w:type="dxa"/>
            <w:tcBorders>
              <w:top w:val="single" w:color="auto" w:sz="4" w:space="0"/>
              <w:left w:val="nil"/>
              <w:bottom w:val="single" w:color="auto" w:sz="4" w:space="0"/>
              <w:right w:val="nil"/>
            </w:tcBorders>
            <w:vAlign w:val="center"/>
          </w:tcPr>
          <w:p>
            <w:pPr>
              <w:widowControl/>
              <w:spacing w:line="360" w:lineRule="exact"/>
              <w:jc w:val="left"/>
              <w:rPr>
                <w:b/>
                <w:sz w:val="30"/>
                <w:szCs w:val="30"/>
              </w:rPr>
            </w:pPr>
            <w:r>
              <w:rPr>
                <w:rFonts w:hint="eastAsia"/>
                <w:b/>
                <w:kern w:val="0"/>
                <w:sz w:val="30"/>
                <w:szCs w:val="30"/>
                <w:lang w:val="en-US" w:eastAsia="zh-CN" w:bidi="ar"/>
              </w:rPr>
              <w:t>广东新长安建筑设计院</w:t>
            </w:r>
            <w:r>
              <w:rPr>
                <w:rFonts w:hint="eastAsia"/>
                <w:b/>
                <w:kern w:val="0"/>
                <w:sz w:val="30"/>
                <w:szCs w:val="30"/>
                <w:lang w:bidi="ar"/>
              </w:rPr>
              <w:t>有限公司</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single" w:color="auto" w:sz="4" w:space="0"/>
              <w:right w:val="nil"/>
            </w:tcBorders>
            <w:vAlign w:val="center"/>
          </w:tcPr>
          <w:p>
            <w:pPr>
              <w:widowControl/>
              <w:spacing w:line="440" w:lineRule="exact"/>
              <w:jc w:val="left"/>
              <w:rPr>
                <w:rFonts w:cs="Calibri"/>
                <w:b/>
                <w:color w:val="000000"/>
                <w:sz w:val="30"/>
                <w:szCs w:val="30"/>
              </w:rPr>
            </w:pPr>
            <w:r>
              <w:rPr>
                <w:rFonts w:hint="eastAsia" w:cs="宋体"/>
                <w:b/>
                <w:color w:val="000000"/>
                <w:kern w:val="0"/>
                <w:sz w:val="30"/>
                <w:szCs w:val="30"/>
                <w:lang w:bidi="ar"/>
              </w:rPr>
              <w:t>报</w:t>
            </w:r>
            <w:r>
              <w:rPr>
                <w:b/>
                <w:color w:val="000000"/>
                <w:kern w:val="0"/>
                <w:sz w:val="30"/>
                <w:szCs w:val="30"/>
                <w:lang w:bidi="ar"/>
              </w:rPr>
              <w:t xml:space="preserve"> </w:t>
            </w:r>
            <w:r>
              <w:rPr>
                <w:rFonts w:hint="eastAsia" w:cs="宋体"/>
                <w:b/>
                <w:color w:val="000000"/>
                <w:kern w:val="0"/>
                <w:sz w:val="30"/>
                <w:szCs w:val="30"/>
                <w:lang w:bidi="ar"/>
              </w:rPr>
              <w:t>告</w:t>
            </w:r>
            <w:r>
              <w:rPr>
                <w:b/>
                <w:color w:val="000000"/>
                <w:kern w:val="0"/>
                <w:sz w:val="30"/>
                <w:szCs w:val="30"/>
                <w:lang w:bidi="ar"/>
              </w:rPr>
              <w:t xml:space="preserve"> </w:t>
            </w:r>
            <w:r>
              <w:rPr>
                <w:rFonts w:hint="eastAsia" w:cs="宋体"/>
                <w:b/>
                <w:color w:val="000000"/>
                <w:kern w:val="0"/>
                <w:sz w:val="30"/>
                <w:szCs w:val="30"/>
                <w:lang w:bidi="ar"/>
              </w:rPr>
              <w:t>日</w:t>
            </w:r>
            <w:r>
              <w:rPr>
                <w:b/>
                <w:color w:val="000000"/>
                <w:kern w:val="0"/>
                <w:sz w:val="30"/>
                <w:szCs w:val="30"/>
                <w:lang w:bidi="ar"/>
              </w:rPr>
              <w:t xml:space="preserve"> </w:t>
            </w:r>
            <w:r>
              <w:rPr>
                <w:rFonts w:hint="eastAsia" w:cs="宋体"/>
                <w:b/>
                <w:color w:val="000000"/>
                <w:kern w:val="0"/>
                <w:sz w:val="30"/>
                <w:szCs w:val="30"/>
                <w:lang w:bidi="ar"/>
              </w:rPr>
              <w:t>期：</w:t>
            </w:r>
          </w:p>
        </w:tc>
        <w:tc>
          <w:tcPr>
            <w:tcW w:w="5261" w:type="dxa"/>
            <w:tcBorders>
              <w:top w:val="single" w:color="auto" w:sz="4" w:space="0"/>
              <w:left w:val="nil"/>
              <w:bottom w:val="single" w:color="auto" w:sz="4" w:space="0"/>
              <w:right w:val="nil"/>
            </w:tcBorders>
            <w:vAlign w:val="center"/>
          </w:tcPr>
          <w:p>
            <w:pPr>
              <w:widowControl/>
              <w:spacing w:line="440" w:lineRule="exact"/>
              <w:jc w:val="left"/>
              <w:rPr>
                <w:b/>
                <w:color w:val="000000"/>
                <w:sz w:val="30"/>
                <w:szCs w:val="30"/>
              </w:rPr>
            </w:pPr>
            <w:r>
              <w:rPr>
                <w:b/>
                <w:color w:val="000000"/>
                <w:kern w:val="0"/>
                <w:sz w:val="30"/>
                <w:szCs w:val="30"/>
                <w:lang w:bidi="ar"/>
              </w:rPr>
              <w:t>201</w:t>
            </w:r>
            <w:r>
              <w:rPr>
                <w:rFonts w:hint="eastAsia"/>
                <w:b/>
                <w:color w:val="000000"/>
                <w:kern w:val="0"/>
                <w:sz w:val="30"/>
                <w:szCs w:val="30"/>
                <w:lang w:val="en-US" w:eastAsia="zh-CN" w:bidi="ar"/>
              </w:rPr>
              <w:t>9</w:t>
            </w:r>
            <w:r>
              <w:rPr>
                <w:b/>
                <w:color w:val="000000"/>
                <w:kern w:val="0"/>
                <w:sz w:val="30"/>
                <w:szCs w:val="30"/>
                <w:lang w:bidi="ar"/>
              </w:rPr>
              <w:t>年0</w:t>
            </w:r>
            <w:r>
              <w:rPr>
                <w:rFonts w:hint="eastAsia"/>
                <w:b/>
                <w:color w:val="000000"/>
                <w:kern w:val="0"/>
                <w:sz w:val="30"/>
                <w:szCs w:val="30"/>
                <w:lang w:val="en-US" w:eastAsia="zh-CN" w:bidi="ar"/>
              </w:rPr>
              <w:t>6</w:t>
            </w:r>
            <w:r>
              <w:rPr>
                <w:b/>
                <w:color w:val="000000"/>
                <w:kern w:val="0"/>
                <w:sz w:val="30"/>
                <w:szCs w:val="30"/>
                <w:lang w:bidi="ar"/>
              </w:rPr>
              <w:t>月</w:t>
            </w:r>
            <w:r>
              <w:rPr>
                <w:rFonts w:hint="eastAsia"/>
                <w:b/>
                <w:color w:val="000000"/>
                <w:kern w:val="0"/>
                <w:sz w:val="30"/>
                <w:szCs w:val="30"/>
                <w:lang w:val="en-US" w:eastAsia="zh-CN" w:bidi="ar"/>
              </w:rPr>
              <w:t>29</w:t>
            </w:r>
            <w:r>
              <w:rPr>
                <w:b/>
                <w:color w:val="000000"/>
                <w:kern w:val="0"/>
                <w:sz w:val="30"/>
                <w:szCs w:val="30"/>
                <w:lang w:bidi="ar"/>
              </w:rPr>
              <w:t>日</w:t>
            </w:r>
          </w:p>
        </w:tc>
      </w:tr>
      <w:tr>
        <w:tblPrEx>
          <w:tblLayout w:type="fixed"/>
          <w:tblCellMar>
            <w:top w:w="0" w:type="dxa"/>
            <w:left w:w="108" w:type="dxa"/>
            <w:bottom w:w="0" w:type="dxa"/>
            <w:right w:w="108" w:type="dxa"/>
          </w:tblCellMar>
        </w:tblPrEx>
        <w:trPr>
          <w:trHeight w:val="882" w:hRule="atLeast"/>
          <w:jc w:val="center"/>
        </w:trPr>
        <w:tc>
          <w:tcPr>
            <w:tcW w:w="2344" w:type="dxa"/>
            <w:tcBorders>
              <w:top w:val="single" w:color="auto" w:sz="4" w:space="0"/>
              <w:left w:val="nil"/>
              <w:bottom w:val="nil"/>
              <w:right w:val="nil"/>
            </w:tcBorders>
            <w:vAlign w:val="center"/>
          </w:tcPr>
          <w:p>
            <w:pPr>
              <w:widowControl/>
              <w:jc w:val="left"/>
              <w:rPr>
                <w:rFonts w:cs="Calibri"/>
                <w:b/>
                <w:color w:val="000000"/>
                <w:sz w:val="30"/>
                <w:szCs w:val="30"/>
              </w:rPr>
            </w:pPr>
          </w:p>
        </w:tc>
        <w:tc>
          <w:tcPr>
            <w:tcW w:w="5261" w:type="dxa"/>
            <w:tcBorders>
              <w:top w:val="single" w:color="auto" w:sz="4" w:space="0"/>
              <w:left w:val="nil"/>
              <w:bottom w:val="nil"/>
              <w:right w:val="nil"/>
            </w:tcBorders>
            <w:vAlign w:val="center"/>
          </w:tcPr>
          <w:p>
            <w:pPr>
              <w:widowControl/>
              <w:jc w:val="left"/>
              <w:rPr>
                <w:rFonts w:cs="Calibri"/>
                <w:color w:val="000000"/>
                <w:sz w:val="30"/>
                <w:szCs w:val="30"/>
              </w:rPr>
            </w:pPr>
          </w:p>
        </w:tc>
      </w:tr>
    </w:tbl>
    <w:p>
      <w:pPr>
        <w:widowControl/>
        <w:jc w:val="left"/>
        <w:rPr>
          <w:rFonts w:cs="Calibri"/>
          <w:color w:val="000000"/>
          <w:sz w:val="24"/>
          <w:szCs w:val="21"/>
        </w:rPr>
      </w:pPr>
    </w:p>
    <w:p>
      <w:pPr>
        <w:widowControl/>
        <w:jc w:val="left"/>
        <w:rPr>
          <w:rFonts w:cs="Calibri"/>
          <w:color w:val="000000"/>
          <w:sz w:val="24"/>
          <w:szCs w:val="21"/>
        </w:rPr>
      </w:pPr>
    </w:p>
    <w:p>
      <w:pPr>
        <w:widowControl/>
        <w:jc w:val="left"/>
        <w:rPr>
          <w:rFonts w:cs="Calibri"/>
          <w:color w:val="000000"/>
          <w:sz w:val="24"/>
          <w:szCs w:val="21"/>
        </w:rPr>
      </w:pPr>
    </w:p>
    <w:p>
      <w:pPr>
        <w:spacing w:line="360" w:lineRule="auto"/>
        <w:jc w:val="center"/>
        <w:rPr>
          <w:rFonts w:eastAsia="黑体" w:cs="Calibri"/>
          <w:color w:val="000000"/>
          <w:sz w:val="36"/>
          <w:szCs w:val="36"/>
        </w:rPr>
      </w:pPr>
    </w:p>
    <w:p>
      <w:pPr>
        <w:widowControl/>
        <w:jc w:val="left"/>
        <w:rPr>
          <w:rFonts w:eastAsia="黑体" w:cs="Calibri"/>
          <w:color w:val="000000"/>
          <w:sz w:val="36"/>
          <w:szCs w:val="36"/>
        </w:rPr>
      </w:pPr>
      <w:r>
        <w:rPr>
          <w:rFonts w:eastAsia="黑体" w:cs="Calibri"/>
          <w:color w:val="000000"/>
          <w:sz w:val="36"/>
          <w:szCs w:val="36"/>
        </w:rPr>
        <w:br w:type="page"/>
      </w:r>
    </w:p>
    <w:p>
      <w:pPr>
        <w:pStyle w:val="39"/>
        <w:jc w:val="center"/>
        <w:rPr>
          <w:color w:val="auto"/>
        </w:rPr>
      </w:pPr>
      <w:r>
        <w:rPr>
          <w:color w:val="auto"/>
          <w:lang w:val="zh-CN"/>
        </w:rPr>
        <w:t>目录</w:t>
      </w:r>
    </w:p>
    <w:p>
      <w:pPr>
        <w:pStyle w:val="12"/>
        <w:keepNext w:val="0"/>
        <w:keepLines w:val="0"/>
        <w:pageBreakBefore w:val="0"/>
        <w:widowControl w:val="0"/>
        <w:tabs>
          <w:tab w:val="right" w:leader="dot" w:pos="8306"/>
          <w:tab w:val="clear" w:pos="894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TOC \o "1-3" \h \z \u </w:instrText>
      </w:r>
      <w:r>
        <w:rPr>
          <w:rFonts w:hint="eastAsia" w:ascii="宋体" w:hAnsi="宋体" w:eastAsia="宋体" w:cs="宋体"/>
          <w:sz w:val="24"/>
          <w:szCs w:val="24"/>
        </w:rPr>
        <w:fldChar w:fldCharType="separate"/>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\l _Toc10502 </w:instrText>
      </w:r>
      <w:r>
        <w:rPr>
          <w:rFonts w:hint="eastAsia" w:ascii="宋体" w:hAnsi="宋体" w:eastAsia="宋体" w:cs="宋体"/>
          <w:sz w:val="24"/>
          <w:szCs w:val="24"/>
        </w:rPr>
        <w:fldChar w:fldCharType="separate"/>
      </w:r>
      <w:r>
        <w:rPr>
          <w:rFonts w:hint="eastAsia" w:ascii="宋体" w:hAnsi="宋体" w:eastAsia="宋体" w:cs="宋体"/>
          <w:sz w:val="24"/>
          <w:szCs w:val="24"/>
        </w:rPr>
        <w:t>1 模型概述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_Toc10502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sz w:val="24"/>
          <w:szCs w:val="24"/>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_Toc30367 </w:instrText>
      </w:r>
      <w:r>
        <w:rPr>
          <w:rFonts w:hint="eastAsia" w:ascii="宋体" w:hAnsi="宋体" w:eastAsia="宋体" w:cs="宋体"/>
          <w:bCs/>
          <w:sz w:val="24"/>
          <w:szCs w:val="24"/>
          <w:lang w:val="zh-CN"/>
        </w:rPr>
        <w:fldChar w:fldCharType="separate"/>
      </w:r>
      <w:r>
        <w:rPr>
          <w:rFonts w:hint="eastAsia" w:ascii="宋体" w:hAnsi="宋体" w:eastAsia="宋体" w:cs="宋体"/>
          <w:sz w:val="24"/>
          <w:szCs w:val="24"/>
          <w:shd w:val="clear" w:color="auto" w:fill="FFFFFF"/>
        </w:rPr>
        <w:t>1.1 项目概况</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_Toc30367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_Toc7013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1.2 日照分析概述</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_Toc7013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_Toc22866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1.3 参考资料</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_Toc22866 </w:instrText>
      </w:r>
      <w:r>
        <w:rPr>
          <w:rFonts w:hint="eastAsia" w:ascii="宋体" w:hAnsi="宋体" w:eastAsia="宋体" w:cs="宋体"/>
          <w:sz w:val="24"/>
          <w:szCs w:val="24"/>
        </w:rPr>
        <w:fldChar w:fldCharType="separate"/>
      </w:r>
      <w:r>
        <w:rPr>
          <w:rFonts w:hint="eastAsia" w:ascii="宋体" w:hAnsi="宋体" w:eastAsia="宋体" w:cs="宋体"/>
          <w:sz w:val="24"/>
          <w:szCs w:val="24"/>
        </w:rPr>
        <w:t>3</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_Toc23552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1.4 评价标准</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_Toc23552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2"/>
        <w:keepNext w:val="0"/>
        <w:keepLines w:val="0"/>
        <w:pageBreakBefore w:val="0"/>
        <w:widowControl w:val="0"/>
        <w:tabs>
          <w:tab w:val="right" w:leader="dot" w:pos="8306"/>
          <w:tab w:val="clear" w:pos="894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_Toc6919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2 技术路线</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_Toc6919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_Toc21355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2.1 软件介绍</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_Toc21355 </w:instrText>
      </w:r>
      <w:r>
        <w:rPr>
          <w:rFonts w:hint="eastAsia" w:ascii="宋体" w:hAnsi="宋体" w:eastAsia="宋体" w:cs="宋体"/>
          <w:sz w:val="24"/>
          <w:szCs w:val="24"/>
        </w:rPr>
        <w:fldChar w:fldCharType="separate"/>
      </w:r>
      <w:r>
        <w:rPr>
          <w:rFonts w:hint="eastAsia" w:ascii="宋体" w:hAnsi="宋体" w:eastAsia="宋体" w:cs="宋体"/>
          <w:sz w:val="24"/>
          <w:szCs w:val="24"/>
        </w:rPr>
        <w:t>4</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_Toc10695 </w:instrText>
      </w:r>
      <w:r>
        <w:rPr>
          <w:rFonts w:hint="eastAsia" w:ascii="宋体" w:hAnsi="宋体" w:eastAsia="宋体" w:cs="宋体"/>
          <w:bCs/>
          <w:sz w:val="24"/>
          <w:szCs w:val="24"/>
          <w:lang w:val="zh-CN"/>
        </w:rPr>
        <w:fldChar w:fldCharType="separate"/>
      </w:r>
      <w:r>
        <w:rPr>
          <w:rFonts w:hint="eastAsia" w:ascii="宋体" w:hAnsi="宋体" w:eastAsia="宋体" w:cs="宋体"/>
          <w:sz w:val="24"/>
          <w:szCs w:val="24"/>
        </w:rPr>
        <w:t>2.2主要计算依据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_Toc10695 </w:instrText>
      </w:r>
      <w:r>
        <w:rPr>
          <w:rFonts w:hint="eastAsia" w:ascii="宋体" w:hAnsi="宋体" w:eastAsia="宋体" w:cs="宋体"/>
          <w:sz w:val="24"/>
          <w:szCs w:val="24"/>
        </w:rPr>
        <w:fldChar w:fldCharType="separate"/>
      </w:r>
      <w:r>
        <w:rPr>
          <w:rFonts w:hint="eastAsia" w:ascii="宋体" w:hAnsi="宋体" w:eastAsia="宋体" w:cs="宋体"/>
          <w:sz w:val="24"/>
          <w:szCs w:val="24"/>
        </w:rPr>
        <w:t>5</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3"/>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_Toc18501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2.3 数理模型</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_Toc18501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_Toc26503 </w:instrText>
      </w:r>
      <w:r>
        <w:rPr>
          <w:rFonts w:hint="eastAsia" w:ascii="宋体" w:hAnsi="宋体" w:eastAsia="宋体" w:cs="宋体"/>
          <w:bCs/>
          <w:sz w:val="24"/>
          <w:szCs w:val="24"/>
          <w:lang w:val="zh-CN"/>
        </w:rPr>
        <w:fldChar w:fldCharType="separate"/>
      </w:r>
      <w:r>
        <w:rPr>
          <w:rFonts w:hint="eastAsia" w:ascii="宋体" w:hAnsi="宋体" w:eastAsia="宋体" w:cs="宋体"/>
          <w:bCs/>
          <w:kern w:val="0"/>
          <w:sz w:val="24"/>
          <w:szCs w:val="24"/>
        </w:rPr>
        <w:t xml:space="preserve">2.3.1 </w:t>
      </w:r>
      <w:r>
        <w:rPr>
          <w:rFonts w:hint="eastAsia" w:ascii="宋体" w:hAnsi="宋体" w:eastAsia="宋体" w:cs="宋体"/>
          <w:bCs w:val="0"/>
          <w:kern w:val="0"/>
          <w:sz w:val="24"/>
          <w:szCs w:val="24"/>
        </w:rPr>
        <w:t>分析</w:t>
      </w:r>
      <w:r>
        <w:rPr>
          <w:rFonts w:hint="eastAsia" w:ascii="宋体" w:hAnsi="宋体" w:eastAsia="宋体" w:cs="宋体"/>
          <w:bCs/>
          <w:kern w:val="0"/>
          <w:sz w:val="24"/>
          <w:szCs w:val="24"/>
        </w:rPr>
        <w:t>区域</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_Toc26503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_Toc15164 </w:instrText>
      </w:r>
      <w:r>
        <w:rPr>
          <w:rFonts w:hint="eastAsia" w:ascii="宋体" w:hAnsi="宋体" w:eastAsia="宋体" w:cs="宋体"/>
          <w:bCs/>
          <w:sz w:val="24"/>
          <w:szCs w:val="24"/>
          <w:lang w:val="zh-CN"/>
        </w:rPr>
        <w:fldChar w:fldCharType="separate"/>
      </w:r>
      <w:r>
        <w:rPr>
          <w:rFonts w:hint="eastAsia" w:ascii="宋体" w:hAnsi="宋体" w:eastAsia="宋体" w:cs="宋体"/>
          <w:bCs w:val="0"/>
          <w:kern w:val="0"/>
          <w:sz w:val="24"/>
          <w:szCs w:val="24"/>
        </w:rPr>
        <w:t>2.3.2 边界条件</w:t>
      </w:r>
      <w:r>
        <w:rPr>
          <w:rFonts w:hint="eastAsia" w:ascii="宋体" w:hAnsi="宋体" w:eastAsia="宋体" w:cs="宋体"/>
          <w:bCs/>
          <w:kern w:val="0"/>
          <w:sz w:val="24"/>
          <w:szCs w:val="24"/>
        </w:rPr>
        <w:t>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_Toc15164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7"/>
        <w:keepNext w:val="0"/>
        <w:keepLines w:val="0"/>
        <w:pageBreakBefore w:val="0"/>
        <w:widowControl w:val="0"/>
        <w:tabs>
          <w:tab w:val="right" w:leader="dot" w:pos="8306"/>
          <w:tab w:val="clear" w:pos="8296"/>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_Toc1696 </w:instrText>
      </w:r>
      <w:r>
        <w:rPr>
          <w:rFonts w:hint="eastAsia" w:ascii="宋体" w:hAnsi="宋体" w:eastAsia="宋体" w:cs="宋体"/>
          <w:bCs/>
          <w:sz w:val="24"/>
          <w:szCs w:val="24"/>
          <w:lang w:val="zh-CN"/>
        </w:rPr>
        <w:fldChar w:fldCharType="separate"/>
      </w:r>
      <w:r>
        <w:rPr>
          <w:rFonts w:hint="eastAsia" w:ascii="宋体" w:hAnsi="宋体" w:eastAsia="宋体" w:cs="宋体"/>
          <w:bCs w:val="0"/>
          <w:kern w:val="0"/>
          <w:sz w:val="24"/>
          <w:szCs w:val="24"/>
        </w:rPr>
        <w:t>2.3.3 评价内容</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_Toc1696 </w:instrText>
      </w:r>
      <w:r>
        <w:rPr>
          <w:rFonts w:hint="eastAsia" w:ascii="宋体" w:hAnsi="宋体" w:eastAsia="宋体" w:cs="宋体"/>
          <w:sz w:val="24"/>
          <w:szCs w:val="24"/>
        </w:rPr>
        <w:fldChar w:fldCharType="separate"/>
      </w:r>
      <w:r>
        <w:rPr>
          <w:rFonts w:hint="eastAsia" w:ascii="宋体" w:hAnsi="宋体" w:eastAsia="宋体" w:cs="宋体"/>
          <w:sz w:val="24"/>
          <w:szCs w:val="24"/>
        </w:rPr>
        <w:t>6</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2"/>
        <w:keepNext w:val="0"/>
        <w:keepLines w:val="0"/>
        <w:pageBreakBefore w:val="0"/>
        <w:widowControl w:val="0"/>
        <w:tabs>
          <w:tab w:val="right" w:leader="dot" w:pos="8306"/>
          <w:tab w:val="clear" w:pos="894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_Toc30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3 日照分析的基础数据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_Toc30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2"/>
        <w:keepNext w:val="0"/>
        <w:keepLines w:val="0"/>
        <w:pageBreakBefore w:val="0"/>
        <w:widowControl w:val="0"/>
        <w:tabs>
          <w:tab w:val="right" w:leader="dot" w:pos="8306"/>
          <w:tab w:val="clear" w:pos="894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_Toc13077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4 日照分析软件及参数设置</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_Toc13077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2"/>
        <w:keepNext w:val="0"/>
        <w:keepLines w:val="0"/>
        <w:pageBreakBefore w:val="0"/>
        <w:widowControl w:val="0"/>
        <w:tabs>
          <w:tab w:val="right" w:leader="dot" w:pos="8306"/>
          <w:tab w:val="clear" w:pos="894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_Toc25737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5 模拟结果分析</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_Toc25737 </w:instrText>
      </w:r>
      <w:r>
        <w:rPr>
          <w:rFonts w:hint="eastAsia" w:ascii="宋体" w:hAnsi="宋体" w:eastAsia="宋体" w:cs="宋体"/>
          <w:sz w:val="24"/>
          <w:szCs w:val="24"/>
        </w:rPr>
        <w:fldChar w:fldCharType="separate"/>
      </w:r>
      <w:r>
        <w:rPr>
          <w:rFonts w:hint="eastAsia" w:ascii="宋体" w:hAnsi="宋体" w:eastAsia="宋体" w:cs="宋体"/>
          <w:sz w:val="24"/>
          <w:szCs w:val="24"/>
        </w:rPr>
        <w:t>7</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pStyle w:val="12"/>
        <w:keepNext w:val="0"/>
        <w:keepLines w:val="0"/>
        <w:pageBreakBefore w:val="0"/>
        <w:widowControl w:val="0"/>
        <w:tabs>
          <w:tab w:val="right" w:leader="dot" w:pos="8306"/>
          <w:tab w:val="clear" w:pos="8945"/>
        </w:tabs>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bCs/>
          <w:sz w:val="24"/>
          <w:szCs w:val="24"/>
          <w:lang w:val="zh-CN"/>
        </w:rPr>
        <w:fldChar w:fldCharType="begin"/>
      </w:r>
      <w:r>
        <w:rPr>
          <w:rFonts w:hint="eastAsia" w:ascii="宋体" w:hAnsi="宋体" w:eastAsia="宋体" w:cs="宋体"/>
          <w:bCs/>
          <w:sz w:val="24"/>
          <w:szCs w:val="24"/>
          <w:lang w:val="zh-CN"/>
        </w:rPr>
        <w:instrText xml:space="preserve"> HYPERLINK \l _Toc14099 </w:instrText>
      </w:r>
      <w:r>
        <w:rPr>
          <w:rFonts w:hint="eastAsia" w:ascii="宋体" w:hAnsi="宋体" w:eastAsia="宋体" w:cs="宋体"/>
          <w:bCs/>
          <w:sz w:val="24"/>
          <w:szCs w:val="24"/>
          <w:lang w:val="zh-CN"/>
        </w:rPr>
        <w:fldChar w:fldCharType="separate"/>
      </w:r>
      <w:r>
        <w:rPr>
          <w:rFonts w:hint="eastAsia" w:ascii="宋体" w:hAnsi="宋体" w:eastAsia="宋体" w:cs="宋体"/>
          <w:kern w:val="0"/>
          <w:sz w:val="24"/>
          <w:szCs w:val="24"/>
        </w:rPr>
        <w:t>6 结论</w:t>
      </w:r>
      <w:r>
        <w:rPr>
          <w:rFonts w:hint="eastAsia" w:ascii="宋体" w:hAnsi="宋体" w:eastAsia="宋体" w:cs="宋体"/>
          <w:sz w:val="24"/>
          <w:szCs w:val="24"/>
        </w:rPr>
        <w:tab/>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PAGEREF _Toc14099 </w:instrText>
      </w:r>
      <w:r>
        <w:rPr>
          <w:rFonts w:hint="eastAsia" w:ascii="宋体" w:hAnsi="宋体" w:eastAsia="宋体" w:cs="宋体"/>
          <w:sz w:val="24"/>
          <w:szCs w:val="24"/>
        </w:rPr>
        <w:fldChar w:fldCharType="separate"/>
      </w:r>
      <w:r>
        <w:rPr>
          <w:rFonts w:hint="eastAsia" w:ascii="宋体" w:hAnsi="宋体" w:eastAsia="宋体" w:cs="宋体"/>
          <w:sz w:val="24"/>
          <w:szCs w:val="24"/>
        </w:rPr>
        <w:t>8</w:t>
      </w:r>
      <w:r>
        <w:rPr>
          <w:rFonts w:hint="eastAsia" w:ascii="宋体" w:hAnsi="宋体" w:eastAsia="宋体" w:cs="宋体"/>
          <w:sz w:val="24"/>
          <w:szCs w:val="24"/>
        </w:rPr>
        <w:fldChar w:fldCharType="end"/>
      </w:r>
      <w:r>
        <w:rPr>
          <w:rFonts w:hint="eastAsia" w:ascii="宋体" w:hAnsi="宋体" w:eastAsia="宋体" w:cs="宋体"/>
          <w:bCs/>
          <w:sz w:val="24"/>
          <w:szCs w:val="24"/>
          <w:lang w:val="zh-CN"/>
        </w:rPr>
        <w:fldChar w:fldCharType="end"/>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rFonts w:hint="eastAsia" w:ascii="宋体" w:hAnsi="宋体" w:eastAsia="宋体" w:cs="宋体"/>
          <w:bCs/>
          <w:sz w:val="24"/>
          <w:szCs w:val="24"/>
          <w:lang w:val="zh-CN"/>
        </w:rPr>
        <w:fldChar w:fldCharType="end"/>
      </w:r>
    </w:p>
    <w:p>
      <w:pPr>
        <w:tabs>
          <w:tab w:val="right" w:leader="dot" w:pos="9247"/>
        </w:tabs>
        <w:spacing w:before="120" w:after="120"/>
        <w:jc w:val="left"/>
        <w:rPr>
          <w:rFonts w:ascii="Calibri" w:hAnsi="Calibri"/>
          <w:color w:val="000000"/>
          <w:sz w:val="24"/>
        </w:rPr>
      </w:pPr>
      <w:r>
        <w:rPr>
          <w:rFonts w:hint="eastAsia" w:ascii="Calibri" w:hAnsi="Calibri" w:cs="Calibri"/>
          <w:b/>
          <w:bCs/>
          <w:caps/>
          <w:color w:val="000000"/>
          <w:sz w:val="24"/>
        </w:rPr>
        <w:t xml:space="preserve"> </w:t>
      </w:r>
    </w:p>
    <w:p>
      <w:pPr>
        <w:pStyle w:val="8"/>
        <w:rPr>
          <w:b/>
          <w:bCs/>
          <w:sz w:val="28"/>
          <w:lang w:eastAsia="zh-CN"/>
        </w:rPr>
      </w:pPr>
    </w:p>
    <w:p>
      <w:pPr>
        <w:pStyle w:val="8"/>
        <w:rPr>
          <w:b/>
          <w:bCs/>
          <w:sz w:val="28"/>
          <w:lang w:eastAsia="zh-CN"/>
        </w:rPr>
      </w:pPr>
    </w:p>
    <w:p>
      <w:pPr>
        <w:pStyle w:val="8"/>
        <w:rPr>
          <w:b/>
          <w:bCs/>
          <w:sz w:val="28"/>
          <w:lang w:eastAsia="zh-CN"/>
        </w:rPr>
      </w:pPr>
    </w:p>
    <w:p>
      <w:pPr>
        <w:pStyle w:val="8"/>
        <w:rPr>
          <w:b/>
          <w:bCs/>
          <w:sz w:val="28"/>
          <w:lang w:eastAsia="zh-CN"/>
        </w:rPr>
      </w:pPr>
    </w:p>
    <w:p>
      <w:pPr>
        <w:pStyle w:val="8"/>
        <w:rPr>
          <w:b/>
          <w:bCs/>
          <w:sz w:val="28"/>
          <w:lang w:eastAsia="zh-CN"/>
        </w:rPr>
      </w:pPr>
    </w:p>
    <w:p>
      <w:pPr>
        <w:pStyle w:val="8"/>
        <w:rPr>
          <w:b/>
          <w:bCs/>
          <w:sz w:val="28"/>
          <w:lang w:eastAsia="zh-CN"/>
        </w:rPr>
      </w:pPr>
    </w:p>
    <w:p>
      <w:pPr>
        <w:pStyle w:val="8"/>
        <w:rPr>
          <w:b/>
          <w:bCs/>
          <w:sz w:val="28"/>
          <w:lang w:eastAsia="zh-CN"/>
        </w:rPr>
      </w:pPr>
    </w:p>
    <w:p>
      <w:pPr>
        <w:pStyle w:val="15"/>
        <w:jc w:val="left"/>
        <w:rPr>
          <w:sz w:val="30"/>
          <w:szCs w:val="30"/>
        </w:rPr>
      </w:pPr>
      <w:bookmarkStart w:id="0" w:name="_Toc10502"/>
      <w:bookmarkStart w:id="1" w:name="_Toc329785725"/>
      <w:r>
        <w:rPr>
          <w:rFonts w:hint="eastAsia"/>
          <w:sz w:val="30"/>
          <w:szCs w:val="30"/>
        </w:rPr>
        <w:t>1 模型概述</w:t>
      </w:r>
      <w:bookmarkEnd w:id="0"/>
      <w:bookmarkEnd w:id="1"/>
    </w:p>
    <w:p>
      <w:pPr>
        <w:pStyle w:val="3"/>
        <w:rPr>
          <w:shd w:val="clear" w:color="auto" w:fill="FFFFFF"/>
        </w:rPr>
      </w:pPr>
      <w:bookmarkStart w:id="2" w:name="_Toc30367"/>
      <w:bookmarkStart w:id="3" w:name="_Toc329785726"/>
      <w:r>
        <w:rPr>
          <w:rFonts w:hint="eastAsia"/>
          <w:shd w:val="clear" w:color="auto" w:fill="FFFFFF"/>
        </w:rPr>
        <w:t>1.1 项目概况</w:t>
      </w:r>
      <w:bookmarkEnd w:id="2"/>
      <w:bookmarkEnd w:id="3"/>
    </w:p>
    <w:p>
      <w:pPr>
        <w:pStyle w:val="25"/>
        <w:ind w:firstLine="480"/>
        <w:rPr>
          <w:color w:val="000000"/>
          <w:kern w:val="0"/>
          <w:sz w:val="24"/>
          <w:shd w:val="clear" w:color="auto" w:fill="FFFFFF"/>
        </w:rPr>
      </w:pPr>
      <w:bookmarkStart w:id="4" w:name="_Toc329785727"/>
      <w:r>
        <w:rPr>
          <w:rFonts w:hint="eastAsia"/>
        </w:rPr>
        <w:t>本项目位于</w:t>
      </w:r>
      <w:r>
        <w:rPr>
          <w:rFonts w:hint="eastAsia"/>
          <w:lang w:val="en-US" w:eastAsia="zh-CN"/>
        </w:rPr>
        <w:t>广东省汕头市澄海区</w:t>
      </w:r>
      <w:r>
        <w:rPr>
          <w:rStyle w:val="26"/>
          <w:rFonts w:hint="eastAsia"/>
          <w:sz w:val="24"/>
          <w:szCs w:val="24"/>
        </w:rPr>
        <w:t>，</w:t>
      </w:r>
      <w:r>
        <w:rPr>
          <w:rStyle w:val="26"/>
          <w:rFonts w:hint="eastAsia"/>
          <w:sz w:val="24"/>
          <w:szCs w:val="24"/>
          <w:lang w:val="en-US" w:eastAsia="zh-CN"/>
        </w:rPr>
        <w:t>项目属于学校建筑，</w:t>
      </w:r>
      <w:r>
        <w:rPr>
          <w:rStyle w:val="26"/>
          <w:rFonts w:hint="eastAsia"/>
          <w:sz w:val="24"/>
          <w:szCs w:val="24"/>
        </w:rPr>
        <w:t>项目总建筑面积</w:t>
      </w:r>
      <w:r>
        <w:rPr>
          <w:rStyle w:val="26"/>
          <w:rFonts w:hint="eastAsia"/>
          <w:sz w:val="24"/>
          <w:szCs w:val="24"/>
          <w:lang w:val="en-US" w:eastAsia="zh-CN"/>
        </w:rPr>
        <w:t>2248.55</w:t>
      </w:r>
      <w:r>
        <w:rPr>
          <w:rStyle w:val="26"/>
          <w:rFonts w:hint="eastAsia"/>
          <w:sz w:val="24"/>
          <w:szCs w:val="24"/>
        </w:rPr>
        <w:t>㎡，</w:t>
      </w:r>
      <w:r>
        <w:rPr>
          <w:rStyle w:val="26"/>
          <w:rFonts w:hint="eastAsia" w:eastAsia="宋体"/>
          <w:sz w:val="24"/>
          <w:szCs w:val="24"/>
          <w:lang w:eastAsia="zh-CN"/>
        </w:rPr>
        <w:t>规划总用地面积</w:t>
      </w:r>
      <w:r>
        <w:rPr>
          <w:rStyle w:val="26"/>
          <w:rFonts w:hint="eastAsia"/>
          <w:sz w:val="24"/>
          <w:szCs w:val="24"/>
          <w:lang w:val="en-US" w:eastAsia="zh-CN"/>
        </w:rPr>
        <w:t>11364.70</w:t>
      </w:r>
      <w:r>
        <w:rPr>
          <w:rStyle w:val="26"/>
          <w:rFonts w:hint="eastAsia"/>
          <w:sz w:val="24"/>
          <w:szCs w:val="24"/>
        </w:rPr>
        <w:t>㎡</w:t>
      </w:r>
      <w:r>
        <w:rPr>
          <w:rStyle w:val="26"/>
          <w:rFonts w:hint="eastAsia" w:eastAsia="宋体"/>
          <w:sz w:val="24"/>
          <w:szCs w:val="24"/>
          <w:lang w:eastAsia="zh-CN"/>
        </w:rPr>
        <w:t>，</w:t>
      </w:r>
      <w:r>
        <w:rPr>
          <w:rStyle w:val="26"/>
          <w:rFonts w:hint="eastAsia" w:eastAsia="宋体"/>
          <w:sz w:val="24"/>
          <w:szCs w:val="24"/>
          <w:lang w:val="en-US" w:eastAsia="zh-CN"/>
        </w:rPr>
        <w:t>地上</w:t>
      </w:r>
      <w:r>
        <w:rPr>
          <w:rStyle w:val="26"/>
          <w:rFonts w:hint="eastAsia"/>
          <w:sz w:val="24"/>
          <w:szCs w:val="24"/>
          <w:lang w:val="en-US" w:eastAsia="zh-CN"/>
        </w:rPr>
        <w:t>3</w:t>
      </w:r>
      <w:r>
        <w:rPr>
          <w:rStyle w:val="26"/>
          <w:rFonts w:hint="eastAsia" w:eastAsia="宋体"/>
          <w:sz w:val="24"/>
          <w:szCs w:val="24"/>
          <w:lang w:val="en-US" w:eastAsia="zh-CN"/>
        </w:rPr>
        <w:t>层</w:t>
      </w:r>
      <w:r>
        <w:rPr>
          <w:rStyle w:val="26"/>
          <w:rFonts w:hint="eastAsia"/>
          <w:sz w:val="24"/>
          <w:szCs w:val="24"/>
          <w:lang w:val="en-US" w:eastAsia="zh-CN"/>
        </w:rPr>
        <w:t>，建筑高度为13.15m</w:t>
      </w:r>
      <w:r>
        <w:rPr>
          <w:rStyle w:val="26"/>
          <w:rFonts w:hint="eastAsia" w:eastAsia="宋体"/>
          <w:sz w:val="24"/>
          <w:szCs w:val="24"/>
          <w:lang w:val="en-US" w:eastAsia="zh-CN"/>
        </w:rPr>
        <w:t>。</w:t>
      </w:r>
    </w:p>
    <w:p>
      <w:pPr>
        <w:jc w:val="center"/>
        <w:rPr>
          <w:szCs w:val="21"/>
        </w:rPr>
      </w:pPr>
      <w:r>
        <w:drawing>
          <wp:inline distT="0" distB="0" distL="114300" distR="114300">
            <wp:extent cx="5272405" cy="4652645"/>
            <wp:effectExtent l="9525" t="9525" r="13970" b="2413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6"/>
                    <a:stretch>
                      <a:fillRect/>
                    </a:stretch>
                  </pic:blipFill>
                  <pic:spPr>
                    <a:xfrm>
                      <a:off x="0" y="0"/>
                      <a:ext cx="5272405" cy="4652645"/>
                    </a:xfrm>
                    <a:prstGeom prst="rect">
                      <a:avLst/>
                    </a:prstGeom>
                    <a:noFill/>
                    <a:ln w="9525" cap="flat" cmpd="sng">
                      <a:solidFill>
                        <a:srgbClr val="0000FF"/>
                      </a:solidFill>
                      <a:prstDash val="solid"/>
                      <a:round/>
                      <a:headEnd type="none" w="med" len="med"/>
                      <a:tailEnd type="none" w="med" len="med"/>
                    </a:ln>
                  </pic:spPr>
                </pic:pic>
              </a:graphicData>
            </a:graphic>
          </wp:inline>
        </w:drawing>
      </w:r>
    </w:p>
    <w:p>
      <w:pPr>
        <w:jc w:val="center"/>
        <w:rPr>
          <w:szCs w:val="21"/>
        </w:rPr>
      </w:pPr>
      <w:r>
        <w:rPr>
          <w:szCs w:val="21"/>
        </w:rPr>
        <w:t>图</w:t>
      </w:r>
      <w:r>
        <w:rPr>
          <w:rFonts w:hint="eastAsia"/>
          <w:szCs w:val="21"/>
          <w:lang w:val="en-US" w:eastAsia="zh-CN"/>
        </w:rPr>
        <w:t>1</w:t>
      </w:r>
      <w:r>
        <w:rPr>
          <w:szCs w:val="21"/>
        </w:rPr>
        <w:t xml:space="preserve"> 项目总平面</w:t>
      </w:r>
    </w:p>
    <w:p>
      <w:pPr>
        <w:pStyle w:val="3"/>
        <w:spacing w:line="360" w:lineRule="auto"/>
        <w:rPr>
          <w:kern w:val="0"/>
          <w:sz w:val="28"/>
          <w:szCs w:val="28"/>
        </w:rPr>
      </w:pPr>
      <w:bookmarkStart w:id="5" w:name="_Toc7013"/>
      <w:r>
        <w:rPr>
          <w:rFonts w:hint="eastAsia" w:ascii="宋体" w:hAnsi="宋体"/>
          <w:kern w:val="0"/>
          <w:sz w:val="28"/>
          <w:szCs w:val="28"/>
        </w:rPr>
        <w:t xml:space="preserve">1.2 </w:t>
      </w:r>
      <w:r>
        <w:rPr>
          <w:rFonts w:hint="eastAsia"/>
          <w:kern w:val="0"/>
          <w:sz w:val="28"/>
          <w:szCs w:val="28"/>
        </w:rPr>
        <w:t>日照分析概述</w:t>
      </w:r>
      <w:bookmarkEnd w:id="4"/>
      <w:bookmarkEnd w:id="5"/>
    </w:p>
    <w:p>
      <w:pPr>
        <w:autoSpaceDE w:val="0"/>
        <w:autoSpaceDN w:val="0"/>
        <w:adjustRightInd w:val="0"/>
        <w:spacing w:line="360" w:lineRule="auto"/>
        <w:ind w:firstLine="480"/>
        <w:jc w:val="left"/>
        <w:rPr>
          <w:rFonts w:ascii="宋体" w:hAnsi="宋体"/>
          <w:sz w:val="24"/>
        </w:rPr>
      </w:pPr>
      <w:r>
        <w:rPr>
          <w:rFonts w:ascii="宋体" w:hAnsi="宋体"/>
          <w:sz w:val="24"/>
        </w:rPr>
        <w:t>阳光是人类生存和保障人体健康的基本要素。在居住内部环境中能获得充足的日照是保证居住者尤其是行动不便的老、弱、病、残者及婴儿的重要条件，同时也是保证居室卫生、改善居室小气候、提高舒适度等居住环境质量的重要因素。</w:t>
      </w:r>
    </w:p>
    <w:p>
      <w:pPr>
        <w:autoSpaceDE w:val="0"/>
        <w:autoSpaceDN w:val="0"/>
        <w:adjustRightInd w:val="0"/>
        <w:spacing w:line="360" w:lineRule="auto"/>
        <w:ind w:firstLine="480"/>
        <w:jc w:val="left"/>
        <w:rPr>
          <w:rFonts w:ascii="宋体" w:hAnsi="宋体"/>
          <w:sz w:val="24"/>
        </w:rPr>
      </w:pPr>
    </w:p>
    <w:p>
      <w:pPr>
        <w:pStyle w:val="3"/>
        <w:rPr>
          <w:kern w:val="0"/>
          <w:sz w:val="28"/>
          <w:szCs w:val="28"/>
        </w:rPr>
      </w:pPr>
      <w:bookmarkStart w:id="6" w:name="_Toc22866"/>
      <w:bookmarkStart w:id="7" w:name="_Toc329785728"/>
      <w:r>
        <w:rPr>
          <w:rFonts w:hint="eastAsia" w:ascii="宋体" w:hAnsi="宋体"/>
          <w:kern w:val="0"/>
          <w:sz w:val="28"/>
          <w:szCs w:val="28"/>
        </w:rPr>
        <w:t xml:space="preserve">1.3 </w:t>
      </w:r>
      <w:r>
        <w:rPr>
          <w:rFonts w:hint="eastAsia"/>
          <w:kern w:val="0"/>
          <w:sz w:val="28"/>
          <w:szCs w:val="28"/>
        </w:rPr>
        <w:t>参考资料</w:t>
      </w:r>
      <w:bookmarkEnd w:id="6"/>
      <w:bookmarkEnd w:id="7"/>
    </w:p>
    <w:p>
      <w:pPr>
        <w:pStyle w:val="25"/>
        <w:ind w:firstLine="480"/>
      </w:pPr>
      <w:bookmarkStart w:id="8" w:name="_Toc325098938"/>
      <w:bookmarkStart w:id="9" w:name="_Toc329785729"/>
      <w:r>
        <w:rPr>
          <w:rFonts w:hint="eastAsia"/>
        </w:rPr>
        <w:t>1.3.1 本项目日照分析报告的标准依据如下</w:t>
      </w:r>
      <w:bookmarkEnd w:id="8"/>
      <w:bookmarkEnd w:id="9"/>
      <w:r>
        <w:rPr>
          <w:rFonts w:hint="eastAsia"/>
        </w:rPr>
        <w:t>：</w:t>
      </w:r>
    </w:p>
    <w:p>
      <w:pPr>
        <w:pStyle w:val="25"/>
        <w:ind w:firstLine="480"/>
      </w:pPr>
      <w:r>
        <w:rPr>
          <w:rFonts w:hint="eastAsia"/>
        </w:rPr>
        <w:t>★《城市居住区规划设计规范》GB</w:t>
      </w:r>
      <w:r>
        <w:t xml:space="preserve"> </w:t>
      </w:r>
      <w:r>
        <w:rPr>
          <w:rFonts w:hint="eastAsia"/>
        </w:rPr>
        <w:t>50180－93</w:t>
      </w:r>
    </w:p>
    <w:p>
      <w:pPr>
        <w:autoSpaceDE w:val="0"/>
        <w:autoSpaceDN w:val="0"/>
        <w:adjustRightInd w:val="0"/>
        <w:spacing w:line="360" w:lineRule="auto"/>
        <w:ind w:firstLine="480"/>
        <w:jc w:val="left"/>
        <w:rPr>
          <w:rFonts w:ascii="宋体" w:hAnsi="宋体"/>
          <w:sz w:val="24"/>
        </w:rPr>
      </w:pPr>
      <w:r>
        <w:rPr>
          <w:rFonts w:hint="eastAsia" w:ascii="宋体" w:hAnsi="宋体"/>
          <w:sz w:val="24"/>
        </w:rPr>
        <w:t>★《绿色建筑评价标准》</w:t>
      </w:r>
      <w:r>
        <w:rPr>
          <w:rFonts w:ascii="宋体" w:hAnsi="宋体"/>
          <w:sz w:val="24"/>
        </w:rPr>
        <w:t>GB/T 50378-2014</w:t>
      </w:r>
    </w:p>
    <w:p>
      <w:pPr>
        <w:autoSpaceDE w:val="0"/>
        <w:autoSpaceDN w:val="0"/>
        <w:adjustRightInd w:val="0"/>
        <w:spacing w:line="360" w:lineRule="auto"/>
        <w:ind w:firstLine="480"/>
        <w:jc w:val="left"/>
        <w:rPr>
          <w:rFonts w:ascii="宋体" w:hAnsi="宋体"/>
          <w:sz w:val="24"/>
        </w:rPr>
      </w:pPr>
      <w:r>
        <w:rPr>
          <w:rFonts w:hint="eastAsia" w:ascii="宋体" w:hAnsi="宋体"/>
          <w:sz w:val="24"/>
        </w:rPr>
        <w:t>★《绿色建筑评价技术细则》</w:t>
      </w:r>
      <w:r>
        <w:rPr>
          <w:rFonts w:ascii="宋体" w:hAnsi="宋体"/>
          <w:sz w:val="24"/>
        </w:rPr>
        <w:t xml:space="preserve"> </w:t>
      </w:r>
    </w:p>
    <w:p>
      <w:pPr>
        <w:autoSpaceDE w:val="0"/>
        <w:autoSpaceDN w:val="0"/>
        <w:adjustRightInd w:val="0"/>
        <w:spacing w:line="360" w:lineRule="auto"/>
        <w:ind w:firstLine="480"/>
        <w:jc w:val="left"/>
        <w:rPr>
          <w:rFonts w:ascii="宋体" w:hAnsi="宋体"/>
          <w:sz w:val="24"/>
        </w:rPr>
      </w:pPr>
      <w:r>
        <w:rPr>
          <w:rFonts w:hint="eastAsia" w:ascii="宋体" w:hAnsi="宋体"/>
          <w:sz w:val="24"/>
        </w:rPr>
        <w:t>★《民用建筑设计通则》</w:t>
      </w:r>
      <w:r>
        <w:rPr>
          <w:rFonts w:ascii="宋体" w:hAnsi="宋体"/>
          <w:sz w:val="24"/>
        </w:rPr>
        <w:t>GB50</w:t>
      </w:r>
      <w:r>
        <w:rPr>
          <w:rFonts w:hint="eastAsia" w:ascii="宋体" w:hAnsi="宋体"/>
          <w:sz w:val="24"/>
        </w:rPr>
        <w:t>352</w:t>
      </w:r>
      <w:r>
        <w:rPr>
          <w:rFonts w:ascii="宋体" w:hAnsi="宋体"/>
          <w:sz w:val="24"/>
        </w:rPr>
        <w:t>-200</w:t>
      </w:r>
      <w:r>
        <w:rPr>
          <w:rFonts w:hint="eastAsia" w:ascii="宋体" w:hAnsi="宋体"/>
          <w:sz w:val="24"/>
        </w:rPr>
        <w:t>5</w:t>
      </w:r>
    </w:p>
    <w:p>
      <w:pPr>
        <w:pStyle w:val="25"/>
        <w:ind w:firstLine="480"/>
      </w:pPr>
      <w:bookmarkStart w:id="10" w:name="_Toc329785730"/>
      <w:bookmarkStart w:id="11" w:name="_Toc325098939"/>
      <w:r>
        <w:rPr>
          <w:rFonts w:hint="eastAsia"/>
        </w:rPr>
        <w:t>1.3.2  分析资料来源说明：</w:t>
      </w:r>
      <w:bookmarkEnd w:id="10"/>
      <w:bookmarkEnd w:id="11"/>
    </w:p>
    <w:p>
      <w:pPr>
        <w:autoSpaceDE w:val="0"/>
        <w:autoSpaceDN w:val="0"/>
        <w:adjustRightInd w:val="0"/>
        <w:spacing w:line="360" w:lineRule="auto"/>
        <w:ind w:firstLine="480"/>
        <w:jc w:val="left"/>
        <w:rPr>
          <w:rFonts w:ascii="宋体" w:hAnsi="宋体"/>
          <w:sz w:val="24"/>
        </w:rPr>
      </w:pPr>
      <w:r>
        <w:rPr>
          <w:rFonts w:hint="eastAsia" w:ascii="宋体" w:hAnsi="宋体"/>
          <w:sz w:val="24"/>
        </w:rPr>
        <w:t>由委托方提供以下资料：</w:t>
      </w:r>
    </w:p>
    <w:p>
      <w:pPr>
        <w:autoSpaceDE w:val="0"/>
        <w:autoSpaceDN w:val="0"/>
        <w:adjustRightInd w:val="0"/>
        <w:spacing w:line="360" w:lineRule="auto"/>
        <w:ind w:left="420" w:leftChars="200"/>
        <w:jc w:val="left"/>
        <w:rPr>
          <w:rFonts w:ascii="宋体" w:hAnsi="宋体"/>
          <w:sz w:val="24"/>
        </w:rPr>
      </w:pPr>
      <w:r>
        <w:rPr>
          <w:rFonts w:hint="eastAsia" w:ascii="宋体" w:hAnsi="宋体"/>
          <w:sz w:val="24"/>
        </w:rPr>
        <w:t>★ 本项目的总平面图及建筑单体平立剖施工图、设计说明、设计效果图及其他相关资料；本项目基地内及周边的地形图。</w:t>
      </w:r>
    </w:p>
    <w:p>
      <w:pPr>
        <w:pStyle w:val="3"/>
        <w:spacing w:line="360" w:lineRule="auto"/>
        <w:rPr>
          <w:rFonts w:ascii="宋体" w:hAnsi="宋体"/>
          <w:kern w:val="0"/>
          <w:sz w:val="28"/>
          <w:szCs w:val="28"/>
        </w:rPr>
      </w:pPr>
      <w:bookmarkStart w:id="12" w:name="_Toc329785731"/>
      <w:bookmarkStart w:id="13" w:name="_Toc23552"/>
      <w:r>
        <w:rPr>
          <w:rFonts w:hint="eastAsia" w:ascii="宋体" w:hAnsi="宋体"/>
          <w:kern w:val="0"/>
          <w:sz w:val="28"/>
          <w:szCs w:val="28"/>
        </w:rPr>
        <w:t>1.4 评价标准</w:t>
      </w:r>
      <w:bookmarkEnd w:id="12"/>
      <w:bookmarkEnd w:id="13"/>
    </w:p>
    <w:p>
      <w:pPr>
        <w:pStyle w:val="25"/>
        <w:ind w:firstLine="480"/>
        <w:rPr>
          <w:b/>
        </w:rPr>
      </w:pPr>
      <w:r>
        <w:t>建筑的规划设计，应综合考虑用地条件、选型、朝向、间距、绿地、层数与密度、布置方式、群体组合、空间环境和不同使用者的需要等因素</w:t>
      </w:r>
      <w:r>
        <w:rPr>
          <w:rFonts w:hint="eastAsia"/>
        </w:rPr>
        <w:t>，对日照评价依据：</w:t>
      </w:r>
    </w:p>
    <w:p>
      <w:pPr>
        <w:pStyle w:val="25"/>
        <w:ind w:firstLine="480"/>
        <w:rPr>
          <w:b/>
        </w:rPr>
      </w:pPr>
      <w:r>
        <w:rPr>
          <w:rFonts w:hint="eastAsia"/>
        </w:rPr>
        <w:t>《绿色建筑评价标准》GB/T 50378-2014</w:t>
      </w:r>
      <w:r>
        <w:t xml:space="preserve"> </w:t>
      </w:r>
      <w:r>
        <w:rPr>
          <w:rFonts w:hint="eastAsia"/>
        </w:rPr>
        <w:t>对建筑日照设计提出了明确的相关要求：</w:t>
      </w:r>
      <w:r>
        <w:rPr>
          <w:rFonts w:cs="Arial"/>
        </w:rPr>
        <w:t xml:space="preserve"> </w:t>
      </w:r>
    </w:p>
    <w:p>
      <w:pPr>
        <w:pStyle w:val="25"/>
        <w:ind w:firstLine="480"/>
      </w:pPr>
      <w:r>
        <w:t>4.1.4</w:t>
      </w:r>
      <w:r>
        <w:rPr>
          <w:rFonts w:hint="eastAsia"/>
        </w:rPr>
        <w:t>：建筑规划布局应满足日照标准，且不得降低周边建筑的日照标准。</w:t>
      </w:r>
    </w:p>
    <w:p>
      <w:pPr>
        <w:pStyle w:val="25"/>
        <w:ind w:firstLine="480"/>
        <w:rPr>
          <w:rFonts w:hint="default" w:eastAsia="宋体"/>
          <w:lang w:val="en-US" w:eastAsia="zh-CN"/>
        </w:rPr>
      </w:pPr>
      <w:r>
        <w:rPr>
          <w:rFonts w:hint="eastAsia"/>
          <w:lang w:val="en-US" w:eastAsia="zh-CN"/>
        </w:rPr>
        <w:t>学校建筑，普通教室冬至日满窗日照不应少于2h。</w:t>
      </w:r>
    </w:p>
    <w:p>
      <w:pPr>
        <w:pStyle w:val="2"/>
        <w:spacing w:before="0" w:after="0" w:line="360" w:lineRule="auto"/>
        <w:rPr>
          <w:rFonts w:ascii="宋体" w:hAnsi="宋体"/>
          <w:kern w:val="0"/>
          <w:sz w:val="30"/>
          <w:szCs w:val="30"/>
        </w:rPr>
      </w:pPr>
      <w:bookmarkStart w:id="14" w:name="_Toc329785732"/>
      <w:bookmarkStart w:id="15" w:name="_Toc6919"/>
      <w:r>
        <w:rPr>
          <w:rFonts w:hint="eastAsia" w:ascii="宋体" w:hAnsi="宋体"/>
          <w:kern w:val="0"/>
          <w:sz w:val="30"/>
          <w:szCs w:val="30"/>
        </w:rPr>
        <w:t>2 技术路线</w:t>
      </w:r>
      <w:bookmarkEnd w:id="14"/>
      <w:bookmarkEnd w:id="15"/>
    </w:p>
    <w:p>
      <w:pPr>
        <w:pStyle w:val="3"/>
        <w:spacing w:line="360" w:lineRule="auto"/>
        <w:rPr>
          <w:rStyle w:val="30"/>
          <w:rFonts w:ascii="宋体" w:hAnsi="宋体"/>
          <w:b w:val="0"/>
          <w:bCs/>
          <w:kern w:val="0"/>
          <w:sz w:val="28"/>
          <w:szCs w:val="28"/>
        </w:rPr>
      </w:pPr>
      <w:bookmarkStart w:id="16" w:name="_Toc329785733"/>
      <w:bookmarkStart w:id="17" w:name="_Toc21355"/>
      <w:r>
        <w:rPr>
          <w:rFonts w:hint="eastAsia" w:ascii="宋体" w:hAnsi="宋体"/>
          <w:kern w:val="0"/>
          <w:sz w:val="28"/>
          <w:szCs w:val="28"/>
        </w:rPr>
        <w:t>2.1 软件介绍</w:t>
      </w:r>
      <w:bookmarkEnd w:id="16"/>
      <w:bookmarkEnd w:id="17"/>
    </w:p>
    <w:p>
      <w:pPr>
        <w:autoSpaceDE w:val="0"/>
        <w:autoSpaceDN w:val="0"/>
        <w:adjustRightInd w:val="0"/>
        <w:spacing w:line="360" w:lineRule="auto"/>
        <w:ind w:firstLine="600" w:firstLineChars="250"/>
        <w:jc w:val="left"/>
        <w:rPr>
          <w:sz w:val="24"/>
        </w:rPr>
      </w:pPr>
      <w:r>
        <w:rPr>
          <w:rFonts w:hint="eastAsia"/>
          <w:sz w:val="24"/>
        </w:rPr>
        <w:t>日照分析和评价是一个综合性的问题，它需要用多系统化的思想解决从小区规划、单体设计到环境控制系统等诸多环节的问题。对于现有建筑的日照进行客观评价，其目的在于更合理的利用现有建筑</w:t>
      </w:r>
      <w:r>
        <w:rPr>
          <w:rFonts w:hint="eastAsia"/>
          <w:bCs/>
          <w:sz w:val="24"/>
        </w:rPr>
        <w:t>，本工程采用SUN</w:t>
      </w:r>
      <w:r>
        <w:rPr>
          <w:bCs/>
          <w:sz w:val="24"/>
        </w:rPr>
        <w:t>2018</w:t>
      </w:r>
      <w:r>
        <w:rPr>
          <w:rFonts w:hint="eastAsia"/>
          <w:bCs/>
          <w:sz w:val="24"/>
        </w:rPr>
        <w:t>日照分析软件，</w:t>
      </w:r>
      <w:r>
        <w:rPr>
          <w:sz w:val="24"/>
        </w:rPr>
        <w:t>SUN2018全面解决了全国各地任何时段的日照分析问题，计算科学准确，使用简单方便。是规划管理、规划设计、建筑设计、房地产开发、规划方案审查及室外采光和园林绿化等领域强有力的日照分析工具。</w:t>
      </w:r>
      <w:r>
        <w:rPr>
          <w:rFonts w:hint="eastAsia"/>
          <w:sz w:val="24"/>
        </w:rPr>
        <w:t>它主要具有以下功能，如下所示：</w:t>
      </w:r>
    </w:p>
    <w:p>
      <w:pPr>
        <w:spacing w:line="360" w:lineRule="auto"/>
        <w:jc w:val="both"/>
      </w:pPr>
      <w:r>
        <w:rPr>
          <w:rFonts w:hint="eastAsia"/>
        </w:rPr>
        <w:drawing>
          <wp:inline distT="0" distB="0" distL="0" distR="0">
            <wp:extent cx="5274310" cy="4364355"/>
            <wp:effectExtent l="9525" t="9525" r="12065" b="266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7">
                      <a:lum contrast="40000"/>
                      <a:extLst>
                        <a:ext uri="{28A0092B-C50C-407E-A947-70E740481C1C}">
                          <a14:useLocalDpi xmlns:a14="http://schemas.microsoft.com/office/drawing/2010/main" val="0"/>
                        </a:ext>
                      </a:extLst>
                    </a:blip>
                    <a:srcRect/>
                    <a:stretch>
                      <a:fillRect/>
                    </a:stretch>
                  </pic:blipFill>
                  <pic:spPr>
                    <a:xfrm>
                      <a:off x="0" y="0"/>
                      <a:ext cx="5274310" cy="4364355"/>
                    </a:xfrm>
                    <a:prstGeom prst="rect">
                      <a:avLst/>
                    </a:prstGeom>
                    <a:noFill/>
                    <a:ln>
                      <a:solidFill>
                        <a:srgbClr val="0000FF"/>
                      </a:solidFill>
                    </a:ln>
                  </pic:spPr>
                </pic:pic>
              </a:graphicData>
            </a:graphic>
          </wp:inline>
        </w:drawing>
      </w:r>
    </w:p>
    <w:p>
      <w:pPr>
        <w:autoSpaceDE w:val="0"/>
        <w:autoSpaceDN w:val="0"/>
        <w:adjustRightInd w:val="0"/>
        <w:spacing w:line="360" w:lineRule="auto"/>
        <w:jc w:val="center"/>
        <w:rPr>
          <w:rFonts w:ascii="宋体" w:hAnsi="宋体"/>
          <w:kern w:val="0"/>
        </w:rPr>
      </w:pPr>
      <w:r>
        <w:rPr>
          <w:rFonts w:hint="eastAsia" w:ascii="宋体" w:hAnsi="宋体"/>
          <w:kern w:val="0"/>
        </w:rPr>
        <w:t>图2</w:t>
      </w:r>
      <w:r>
        <w:rPr>
          <w:rFonts w:ascii="宋体" w:hAnsi="宋体"/>
          <w:kern w:val="0"/>
        </w:rPr>
        <w:t xml:space="preserve"> </w:t>
      </w:r>
      <w:r>
        <w:rPr>
          <w:rFonts w:hint="eastAsia" w:ascii="宋体" w:hAnsi="宋体"/>
          <w:kern w:val="0"/>
        </w:rPr>
        <w:t>SUN</w:t>
      </w:r>
      <w:r>
        <w:rPr>
          <w:rFonts w:ascii="宋体" w:hAnsi="宋体"/>
          <w:kern w:val="0"/>
        </w:rPr>
        <w:t>2016</w:t>
      </w:r>
      <w:r>
        <w:rPr>
          <w:rFonts w:hint="eastAsia" w:ascii="宋体" w:hAnsi="宋体"/>
          <w:kern w:val="0"/>
        </w:rPr>
        <w:t>日照分析软件主要功能框图</w:t>
      </w:r>
    </w:p>
    <w:p>
      <w:pPr>
        <w:autoSpaceDE w:val="0"/>
        <w:autoSpaceDN w:val="0"/>
        <w:adjustRightInd w:val="0"/>
        <w:spacing w:line="360" w:lineRule="auto"/>
        <w:ind w:firstLine="3150" w:firstLineChars="1500"/>
        <w:rPr>
          <w:rFonts w:ascii="宋体" w:hAnsi="宋体"/>
          <w:kern w:val="0"/>
        </w:rPr>
      </w:pPr>
    </w:p>
    <w:p>
      <w:pPr>
        <w:pStyle w:val="3"/>
        <w:spacing w:line="360" w:lineRule="auto"/>
        <w:rPr>
          <w:rStyle w:val="30"/>
          <w:rFonts w:ascii="宋体" w:hAnsi="宋体"/>
          <w:b w:val="0"/>
          <w:bCs/>
          <w:kern w:val="0"/>
          <w:sz w:val="28"/>
          <w:szCs w:val="28"/>
        </w:rPr>
      </w:pPr>
      <w:bookmarkStart w:id="18" w:name="_Toc329785734"/>
      <w:bookmarkStart w:id="19" w:name="_Toc10695"/>
      <w:r>
        <w:rPr>
          <w:rFonts w:hint="eastAsia" w:ascii="宋体" w:hAnsi="宋体"/>
          <w:sz w:val="28"/>
          <w:szCs w:val="28"/>
        </w:rPr>
        <w:t>2.2主要计算依据</w:t>
      </w:r>
      <w:bookmarkEnd w:id="18"/>
      <w:bookmarkEnd w:id="19"/>
    </w:p>
    <w:p>
      <w:pPr>
        <w:autoSpaceDE w:val="0"/>
        <w:autoSpaceDN w:val="0"/>
        <w:adjustRightInd w:val="0"/>
        <w:spacing w:line="360" w:lineRule="auto"/>
        <w:jc w:val="left"/>
        <w:rPr>
          <w:sz w:val="24"/>
        </w:rPr>
      </w:pPr>
      <w:r>
        <w:rPr>
          <w:sz w:val="24"/>
        </w:rPr>
        <w:t>1</w:t>
      </w:r>
      <w:r>
        <w:rPr>
          <w:rFonts w:hint="eastAsia"/>
          <w:sz w:val="24"/>
        </w:rPr>
        <w:t>）</w:t>
      </w:r>
      <w:r>
        <w:rPr>
          <w:sz w:val="24"/>
        </w:rPr>
        <w:t>真太阳时</w:t>
      </w:r>
      <w:r>
        <w:rPr>
          <w:sz w:val="24"/>
        </w:rPr>
        <w:br w:type="textWrapping"/>
      </w:r>
      <w:r>
        <w:rPr>
          <w:sz w:val="24"/>
        </w:rPr>
        <w:t>太阳位置计算采用真太阳时。</w:t>
      </w:r>
      <w:r>
        <w:rPr>
          <w:sz w:val="24"/>
        </w:rPr>
        <w:br w:type="textWrapping"/>
      </w:r>
      <w:r>
        <w:rPr>
          <w:sz w:val="24"/>
        </w:rPr>
        <w:t>换算公式：真太阳时 = 北京时间+时差-(120°- 当地经度) / 15°。</w:t>
      </w:r>
      <w:r>
        <w:rPr>
          <w:sz w:val="24"/>
        </w:rPr>
        <w:br w:type="textWrapping"/>
      </w:r>
      <w:r>
        <w:rPr>
          <w:sz w:val="24"/>
        </w:rPr>
        <w:t>2</w:t>
      </w:r>
      <w:r>
        <w:rPr>
          <w:rFonts w:hint="eastAsia"/>
          <w:sz w:val="24"/>
        </w:rPr>
        <w:t>）</w:t>
      </w:r>
      <w:r>
        <w:rPr>
          <w:sz w:val="24"/>
        </w:rPr>
        <w:t xml:space="preserve">太阳方位角计算 </w:t>
      </w:r>
      <w:r>
        <w:rPr>
          <w:sz w:val="24"/>
        </w:rPr>
        <w:br w:type="textWrapping"/>
      </w:r>
      <w:r>
        <w:rPr>
          <w:sz w:val="24"/>
        </w:rPr>
        <w:t xml:space="preserve">cosA= (sinh×sinф- sinδ) / (cosh×cosф) 。 </w:t>
      </w:r>
      <w:r>
        <w:rPr>
          <w:sz w:val="24"/>
        </w:rPr>
        <w:br w:type="textWrapping"/>
      </w:r>
      <w:r>
        <w:rPr>
          <w:sz w:val="24"/>
        </w:rPr>
        <w:t xml:space="preserve">-180°≤A≤180°或 0°≤A≤360°； -180°≤t≤180°或 0°≤t≤360°。 </w:t>
      </w:r>
      <w:r>
        <w:rPr>
          <w:sz w:val="24"/>
        </w:rPr>
        <w:br w:type="textWrapping"/>
      </w:r>
      <w:r>
        <w:rPr>
          <w:rFonts w:hint="eastAsia"/>
          <w:sz w:val="24"/>
        </w:rPr>
        <w:t>3）</w:t>
      </w:r>
      <w:r>
        <w:rPr>
          <w:sz w:val="24"/>
        </w:rPr>
        <w:t xml:space="preserve">太阳高度角 </w:t>
      </w:r>
      <w:r>
        <w:rPr>
          <w:sz w:val="24"/>
        </w:rPr>
        <w:br w:type="textWrapping"/>
      </w:r>
      <w:r>
        <w:rPr>
          <w:sz w:val="24"/>
        </w:rPr>
        <w:t xml:space="preserve">sinh = sinф×sinδ + cosф×cosδ×cost； -90°≤h≤90°。 </w:t>
      </w:r>
      <w:r>
        <w:rPr>
          <w:sz w:val="24"/>
        </w:rPr>
        <w:br w:type="textWrapping"/>
      </w:r>
      <w:r>
        <w:rPr>
          <w:sz w:val="24"/>
        </w:rPr>
        <w:t>4</w:t>
      </w:r>
      <w:r>
        <w:rPr>
          <w:rFonts w:hint="eastAsia"/>
          <w:sz w:val="24"/>
        </w:rPr>
        <w:t>）</w:t>
      </w:r>
      <w:r>
        <w:rPr>
          <w:sz w:val="24"/>
        </w:rPr>
        <w:t xml:space="preserve">日出时间与日落时间 </w:t>
      </w:r>
      <w:r>
        <w:rPr>
          <w:sz w:val="24"/>
        </w:rPr>
        <w:br w:type="textWrapping"/>
      </w:r>
      <w:r>
        <w:rPr>
          <w:sz w:val="24"/>
        </w:rPr>
        <w:t>cost = -t</w:t>
      </w:r>
      <w:r>
        <w:rPr>
          <w:rFonts w:hint="eastAsia"/>
          <w:sz w:val="24"/>
        </w:rPr>
        <w:t>an</w:t>
      </w:r>
      <w:r>
        <w:rPr>
          <w:sz w:val="24"/>
        </w:rPr>
        <w:t>ф×t</w:t>
      </w:r>
      <w:r>
        <w:rPr>
          <w:rFonts w:hint="eastAsia"/>
          <w:sz w:val="24"/>
        </w:rPr>
        <w:t>an</w:t>
      </w:r>
      <w:r>
        <w:rPr>
          <w:sz w:val="24"/>
        </w:rPr>
        <w:t>δ；负值为日出时角，正值为日</w:t>
      </w:r>
      <w:r>
        <w:rPr>
          <w:rFonts w:hint="eastAsia"/>
          <w:sz w:val="24"/>
        </w:rPr>
        <w:t>落</w:t>
      </w:r>
      <w:r>
        <w:rPr>
          <w:sz w:val="24"/>
        </w:rPr>
        <w:t xml:space="preserve">时角。 </w:t>
      </w:r>
      <w:r>
        <w:rPr>
          <w:sz w:val="24"/>
        </w:rPr>
        <w:br w:type="textWrapping"/>
      </w:r>
      <w:r>
        <w:rPr>
          <w:sz w:val="24"/>
        </w:rPr>
        <w:t>5</w:t>
      </w:r>
      <w:r>
        <w:rPr>
          <w:rFonts w:hint="eastAsia"/>
          <w:sz w:val="24"/>
        </w:rPr>
        <w:t>）</w:t>
      </w:r>
      <w:r>
        <w:rPr>
          <w:sz w:val="24"/>
        </w:rPr>
        <w:t xml:space="preserve">时角 </w:t>
      </w:r>
      <w:r>
        <w:rPr>
          <w:sz w:val="24"/>
        </w:rPr>
        <w:br w:type="textWrapping"/>
      </w:r>
      <w:r>
        <w:rPr>
          <w:sz w:val="24"/>
        </w:rPr>
        <w:t xml:space="preserve">t = 15°(n-12)； n为时间（24时制）。 </w:t>
      </w:r>
      <w:r>
        <w:rPr>
          <w:sz w:val="24"/>
        </w:rPr>
        <w:br w:type="textWrapping"/>
      </w:r>
      <w:r>
        <w:rPr>
          <w:sz w:val="24"/>
        </w:rPr>
        <w:t>6</w:t>
      </w:r>
      <w:r>
        <w:rPr>
          <w:rFonts w:hint="eastAsia"/>
          <w:sz w:val="24"/>
        </w:rPr>
        <w:t>）</w:t>
      </w:r>
      <w:r>
        <w:rPr>
          <w:sz w:val="24"/>
        </w:rPr>
        <w:t xml:space="preserve">赤纬近似公式 </w:t>
      </w:r>
      <w:r>
        <w:rPr>
          <w:sz w:val="24"/>
        </w:rPr>
        <w:br w:type="textWrapping"/>
      </w:r>
      <w:r>
        <w:rPr>
          <w:sz w:val="24"/>
        </w:rPr>
        <w:t xml:space="preserve">δ＝23.45°×[(N-80.25) × (1-N/9500)]。 </w:t>
      </w:r>
      <w:r>
        <w:rPr>
          <w:sz w:val="24"/>
        </w:rPr>
        <w:br w:type="textWrapping"/>
      </w:r>
      <w:r>
        <w:rPr>
          <w:sz w:val="24"/>
        </w:rPr>
        <w:t>式中：N--从元旦到计算日的总天数；ф--纬度。</w:t>
      </w:r>
      <w:r>
        <w:rPr>
          <w:sz w:val="24"/>
        </w:rPr>
        <w:br w:type="textWrapping"/>
      </w:r>
      <w:r>
        <w:rPr>
          <w:sz w:val="24"/>
        </w:rPr>
        <w:t>7</w:t>
      </w:r>
      <w:r>
        <w:rPr>
          <w:rFonts w:hint="eastAsia"/>
          <w:sz w:val="24"/>
        </w:rPr>
        <w:t>）</w:t>
      </w:r>
      <w:r>
        <w:rPr>
          <w:sz w:val="24"/>
        </w:rPr>
        <w:t xml:space="preserve">日影长度计算公式 </w:t>
      </w:r>
      <w:r>
        <w:rPr>
          <w:sz w:val="24"/>
        </w:rPr>
        <w:br w:type="textWrapping"/>
      </w:r>
      <w:r>
        <w:rPr>
          <w:sz w:val="24"/>
        </w:rPr>
        <w:t>l = H × c</w:t>
      </w:r>
      <w:r>
        <w:rPr>
          <w:rFonts w:hint="eastAsia"/>
          <w:sz w:val="24"/>
        </w:rPr>
        <w:t>ot</w:t>
      </w:r>
      <w:r>
        <w:rPr>
          <w:sz w:val="24"/>
        </w:rPr>
        <w:t>h；式中：H 为建筑物高度，h为太阳高度角，l为日影长度。</w:t>
      </w:r>
    </w:p>
    <w:p>
      <w:pPr>
        <w:pStyle w:val="3"/>
        <w:spacing w:line="360" w:lineRule="auto"/>
        <w:rPr>
          <w:rFonts w:ascii="宋体" w:hAnsi="宋体"/>
          <w:kern w:val="0"/>
          <w:sz w:val="28"/>
          <w:szCs w:val="28"/>
        </w:rPr>
      </w:pPr>
      <w:bookmarkStart w:id="20" w:name="_Toc18501"/>
      <w:bookmarkStart w:id="21" w:name="_Toc329785735"/>
      <w:r>
        <w:rPr>
          <w:rFonts w:hint="eastAsia" w:ascii="宋体" w:hAnsi="宋体"/>
          <w:kern w:val="0"/>
          <w:sz w:val="28"/>
          <w:szCs w:val="28"/>
        </w:rPr>
        <w:t>2.3 数理模型</w:t>
      </w:r>
      <w:bookmarkEnd w:id="20"/>
      <w:bookmarkEnd w:id="21"/>
    </w:p>
    <w:p>
      <w:pPr>
        <w:autoSpaceDE w:val="0"/>
        <w:autoSpaceDN w:val="0"/>
        <w:adjustRightInd w:val="0"/>
        <w:spacing w:line="360" w:lineRule="auto"/>
        <w:ind w:firstLine="480"/>
        <w:jc w:val="left"/>
        <w:rPr>
          <w:rFonts w:ascii="宋体" w:hAnsi="宋体" w:cs="Arial"/>
          <w:kern w:val="0"/>
          <w:sz w:val="24"/>
        </w:rPr>
      </w:pPr>
      <w:r>
        <w:rPr>
          <w:rFonts w:hint="eastAsia" w:ascii="宋体" w:hAnsi="宋体"/>
          <w:sz w:val="24"/>
        </w:rPr>
        <w:t>本报告根据委托方提供的建筑设计图纸等其它相关资料室外日照模拟分析模型。</w:t>
      </w:r>
      <w:r>
        <w:rPr>
          <w:rFonts w:ascii="宋体" w:hAnsi="宋体" w:cs="Arial"/>
          <w:kern w:val="0"/>
          <w:sz w:val="24"/>
        </w:rPr>
        <w:t xml:space="preserve"> </w:t>
      </w:r>
    </w:p>
    <w:p>
      <w:pPr>
        <w:pStyle w:val="4"/>
        <w:spacing w:before="0" w:after="0" w:line="360" w:lineRule="auto"/>
        <w:rPr>
          <w:rFonts w:ascii="宋体" w:hAnsi="宋体"/>
          <w:b w:val="0"/>
          <w:kern w:val="0"/>
          <w:sz w:val="28"/>
          <w:szCs w:val="28"/>
        </w:rPr>
      </w:pPr>
      <w:bookmarkStart w:id="22" w:name="_Toc26503"/>
      <w:bookmarkStart w:id="23" w:name="_Toc329785736"/>
      <w:r>
        <w:rPr>
          <w:rStyle w:val="30"/>
          <w:rFonts w:hint="eastAsia" w:ascii="宋体" w:hAnsi="宋体"/>
          <w:b/>
          <w:bCs/>
          <w:kern w:val="0"/>
          <w:sz w:val="28"/>
          <w:szCs w:val="28"/>
        </w:rPr>
        <w:t xml:space="preserve">2.3.1 </w:t>
      </w:r>
      <w:r>
        <w:rPr>
          <w:rStyle w:val="30"/>
          <w:rFonts w:hint="eastAsia" w:ascii="宋体" w:hAnsi="宋体"/>
          <w:b/>
          <w:bCs w:val="0"/>
          <w:kern w:val="0"/>
          <w:sz w:val="28"/>
          <w:szCs w:val="28"/>
        </w:rPr>
        <w:t>分析</w:t>
      </w:r>
      <w:r>
        <w:rPr>
          <w:rStyle w:val="30"/>
          <w:rFonts w:hint="eastAsia" w:ascii="宋体" w:hAnsi="宋体"/>
          <w:b/>
          <w:bCs/>
          <w:kern w:val="0"/>
          <w:sz w:val="28"/>
          <w:szCs w:val="28"/>
        </w:rPr>
        <w:t>区域</w:t>
      </w:r>
      <w:bookmarkEnd w:id="22"/>
      <w:bookmarkEnd w:id="23"/>
    </w:p>
    <w:p>
      <w:pPr>
        <w:autoSpaceDE w:val="0"/>
        <w:autoSpaceDN w:val="0"/>
        <w:adjustRightInd w:val="0"/>
        <w:spacing w:line="360" w:lineRule="auto"/>
        <w:ind w:firstLine="480"/>
        <w:jc w:val="left"/>
        <w:rPr>
          <w:rFonts w:ascii="Arial" w:hAnsi="Arial" w:cs="Arial"/>
          <w:kern w:val="0"/>
          <w:sz w:val="24"/>
        </w:rPr>
      </w:pPr>
      <w:r>
        <w:rPr>
          <w:rFonts w:hint="eastAsia" w:ascii="宋体" w:hAnsi="宋体"/>
          <w:sz w:val="24"/>
        </w:rPr>
        <w:t>室外日</w:t>
      </w:r>
      <w:r>
        <w:rPr>
          <w:rFonts w:hint="eastAsia"/>
          <w:sz w:val="24"/>
        </w:rPr>
        <w:t>照模拟计算模型主要参考项目的建筑设计图纸进行建立，本报告重点分析</w:t>
      </w:r>
      <w:r>
        <w:rPr>
          <w:rFonts w:hint="eastAsia" w:ascii="宋体" w:hAnsi="宋体"/>
          <w:sz w:val="24"/>
        </w:rPr>
        <w:t>本项目</w:t>
      </w:r>
      <w:r>
        <w:rPr>
          <w:rFonts w:hint="eastAsia"/>
          <w:sz w:val="24"/>
        </w:rPr>
        <w:t>的室外日照状况，其他区域不予考虑。</w:t>
      </w:r>
      <w:r>
        <w:rPr>
          <w:rFonts w:ascii="Arial" w:hAnsi="Arial" w:cs="Arial"/>
          <w:kern w:val="0"/>
          <w:sz w:val="24"/>
        </w:rPr>
        <w:t xml:space="preserve"> </w:t>
      </w:r>
    </w:p>
    <w:p>
      <w:pPr>
        <w:pStyle w:val="4"/>
        <w:spacing w:before="0" w:after="0" w:line="360" w:lineRule="auto"/>
        <w:rPr>
          <w:rStyle w:val="30"/>
          <w:rFonts w:ascii="宋体" w:hAnsi="宋体"/>
          <w:b/>
          <w:bCs/>
          <w:kern w:val="0"/>
          <w:sz w:val="28"/>
          <w:szCs w:val="28"/>
        </w:rPr>
      </w:pPr>
      <w:bookmarkStart w:id="24" w:name="_Toc329785737"/>
      <w:bookmarkStart w:id="25" w:name="_Toc15164"/>
      <w:r>
        <w:rPr>
          <w:rStyle w:val="30"/>
          <w:rFonts w:hint="eastAsia" w:ascii="宋体" w:hAnsi="宋体"/>
          <w:b/>
          <w:bCs w:val="0"/>
          <w:kern w:val="0"/>
          <w:sz w:val="28"/>
          <w:szCs w:val="28"/>
        </w:rPr>
        <w:t>2.3.2 边界条件</w:t>
      </w:r>
      <w:r>
        <w:rPr>
          <w:rStyle w:val="30"/>
          <w:rFonts w:hint="eastAsia" w:ascii="宋体" w:hAnsi="宋体"/>
          <w:b/>
          <w:bCs/>
          <w:kern w:val="0"/>
          <w:sz w:val="28"/>
          <w:szCs w:val="28"/>
        </w:rPr>
        <w:t>设置</w:t>
      </w:r>
      <w:bookmarkEnd w:id="24"/>
      <w:bookmarkEnd w:id="25"/>
    </w:p>
    <w:p>
      <w:pPr>
        <w:autoSpaceDE w:val="0"/>
        <w:autoSpaceDN w:val="0"/>
        <w:adjustRightInd w:val="0"/>
        <w:spacing w:line="360" w:lineRule="auto"/>
        <w:ind w:firstLine="600" w:firstLineChars="250"/>
        <w:jc w:val="left"/>
        <w:rPr>
          <w:sz w:val="24"/>
        </w:rPr>
      </w:pPr>
      <w:r>
        <w:rPr>
          <w:sz w:val="24"/>
        </w:rPr>
        <w:t>（1）地理位置：</w:t>
      </w:r>
      <w:r>
        <w:rPr>
          <w:rFonts w:hint="eastAsia"/>
          <w:sz w:val="24"/>
        </w:rPr>
        <w:t>广东省汕头市，东经116°41′，北纬23°22′。</w:t>
      </w:r>
    </w:p>
    <w:p>
      <w:pPr>
        <w:autoSpaceDE w:val="0"/>
        <w:autoSpaceDN w:val="0"/>
        <w:adjustRightInd w:val="0"/>
        <w:spacing w:line="360" w:lineRule="auto"/>
        <w:ind w:firstLine="600" w:firstLineChars="250"/>
        <w:jc w:val="left"/>
        <w:rPr>
          <w:sz w:val="24"/>
        </w:rPr>
      </w:pPr>
      <w:r>
        <w:rPr>
          <w:sz w:val="24"/>
        </w:rPr>
        <w:t>（2）计算日：</w:t>
      </w:r>
      <w:r>
        <w:rPr>
          <w:rFonts w:hint="eastAsia"/>
          <w:sz w:val="24"/>
        </w:rPr>
        <w:t>冬至日</w:t>
      </w:r>
      <w:r>
        <w:rPr>
          <w:rFonts w:hint="eastAsia"/>
          <w:sz w:val="24"/>
          <w:lang w:val="en-US" w:eastAsia="zh-CN"/>
        </w:rPr>
        <w:t>2</w:t>
      </w:r>
      <w:r>
        <w:rPr>
          <w:rFonts w:hint="eastAsia"/>
          <w:sz w:val="24"/>
        </w:rPr>
        <w:t>h</w:t>
      </w:r>
    </w:p>
    <w:p>
      <w:pPr>
        <w:autoSpaceDE w:val="0"/>
        <w:autoSpaceDN w:val="0"/>
        <w:adjustRightInd w:val="0"/>
        <w:spacing w:line="360" w:lineRule="auto"/>
        <w:ind w:firstLine="600" w:firstLineChars="250"/>
        <w:jc w:val="left"/>
        <w:rPr>
          <w:sz w:val="24"/>
        </w:rPr>
      </w:pPr>
      <w:r>
        <w:rPr>
          <w:sz w:val="24"/>
        </w:rPr>
        <w:t>（3）计算时段：</w:t>
      </w:r>
      <w:r>
        <w:rPr>
          <w:rFonts w:hint="eastAsia"/>
          <w:sz w:val="24"/>
          <w:lang w:val="en-US" w:eastAsia="zh-CN"/>
        </w:rPr>
        <w:t>9</w:t>
      </w:r>
      <w:r>
        <w:rPr>
          <w:sz w:val="24"/>
        </w:rPr>
        <w:t>:00～</w:t>
      </w:r>
      <w:r>
        <w:rPr>
          <w:rFonts w:hint="eastAsia"/>
          <w:sz w:val="24"/>
        </w:rPr>
        <w:t>1</w:t>
      </w:r>
      <w:r>
        <w:rPr>
          <w:rFonts w:hint="eastAsia"/>
          <w:sz w:val="24"/>
          <w:lang w:val="en-US" w:eastAsia="zh-CN"/>
        </w:rPr>
        <w:t>5</w:t>
      </w:r>
      <w:r>
        <w:rPr>
          <w:sz w:val="24"/>
        </w:rPr>
        <w:t>:00</w:t>
      </w:r>
    </w:p>
    <w:p>
      <w:pPr>
        <w:autoSpaceDE w:val="0"/>
        <w:autoSpaceDN w:val="0"/>
        <w:adjustRightInd w:val="0"/>
        <w:spacing w:line="360" w:lineRule="auto"/>
        <w:ind w:firstLine="600" w:firstLineChars="250"/>
        <w:jc w:val="left"/>
        <w:rPr>
          <w:sz w:val="24"/>
        </w:rPr>
      </w:pPr>
      <w:r>
        <w:rPr>
          <w:sz w:val="24"/>
        </w:rPr>
        <w:t>（4）计算面：</w:t>
      </w:r>
      <w:r>
        <w:rPr>
          <w:rFonts w:hint="eastAsia"/>
          <w:sz w:val="24"/>
        </w:rPr>
        <w:t>首层楼板</w:t>
      </w:r>
      <w:r>
        <w:rPr>
          <w:sz w:val="24"/>
        </w:rPr>
        <w:t>0.9m高的外墙位置，即默认的窗台底面</w:t>
      </w:r>
    </w:p>
    <w:p>
      <w:pPr>
        <w:autoSpaceDE w:val="0"/>
        <w:autoSpaceDN w:val="0"/>
        <w:adjustRightInd w:val="0"/>
        <w:spacing w:line="360" w:lineRule="auto"/>
        <w:ind w:firstLine="525" w:firstLineChars="250"/>
        <w:jc w:val="left"/>
      </w:pPr>
    </w:p>
    <w:p>
      <w:pPr>
        <w:pStyle w:val="4"/>
        <w:spacing w:before="0" w:after="0" w:line="360" w:lineRule="auto"/>
        <w:rPr>
          <w:rStyle w:val="30"/>
          <w:rFonts w:ascii="宋体" w:hAnsi="宋体"/>
          <w:b/>
          <w:bCs w:val="0"/>
          <w:kern w:val="0"/>
          <w:sz w:val="28"/>
          <w:szCs w:val="28"/>
        </w:rPr>
      </w:pPr>
      <w:bookmarkStart w:id="26" w:name="_Toc329785738"/>
      <w:bookmarkStart w:id="27" w:name="_Toc1696"/>
      <w:r>
        <w:rPr>
          <w:rStyle w:val="30"/>
          <w:rFonts w:hint="eastAsia" w:ascii="宋体" w:hAnsi="宋体"/>
          <w:b/>
          <w:bCs w:val="0"/>
          <w:kern w:val="0"/>
          <w:sz w:val="28"/>
          <w:szCs w:val="28"/>
        </w:rPr>
        <w:t>2.3.3 评价内容</w:t>
      </w:r>
      <w:bookmarkEnd w:id="26"/>
      <w:bookmarkEnd w:id="27"/>
    </w:p>
    <w:p>
      <w:pPr>
        <w:autoSpaceDE w:val="0"/>
        <w:autoSpaceDN w:val="0"/>
        <w:adjustRightInd w:val="0"/>
        <w:spacing w:line="360" w:lineRule="auto"/>
        <w:ind w:firstLine="480"/>
        <w:jc w:val="left"/>
        <w:rPr>
          <w:sz w:val="24"/>
        </w:rPr>
      </w:pPr>
      <w:r>
        <w:rPr>
          <w:sz w:val="24"/>
        </w:rPr>
        <w:t>日照分析采用定性和定量相结合的分析思路，首先采用三维日照分析软件快速分析冬季的地面阴影分布，寻找</w:t>
      </w:r>
      <w:r>
        <w:rPr>
          <w:rFonts w:hint="eastAsia"/>
          <w:sz w:val="24"/>
        </w:rPr>
        <w:t>建筑之间的互遮挡关系</w:t>
      </w:r>
      <w:r>
        <w:rPr>
          <w:sz w:val="24"/>
        </w:rPr>
        <w:t>。然后定量分析建筑</w:t>
      </w:r>
      <w:r>
        <w:rPr>
          <w:rFonts w:hint="eastAsia"/>
          <w:sz w:val="24"/>
        </w:rPr>
        <w:t>零平面</w:t>
      </w:r>
      <w:r>
        <w:rPr>
          <w:sz w:val="24"/>
        </w:rPr>
        <w:t>的日照</w:t>
      </w:r>
      <w:r>
        <w:rPr>
          <w:rFonts w:hint="eastAsia"/>
          <w:sz w:val="24"/>
        </w:rPr>
        <w:t>小时数分布</w:t>
      </w:r>
      <w:r>
        <w:rPr>
          <w:sz w:val="24"/>
        </w:rPr>
        <w:t>，给出多点区域分析图</w:t>
      </w:r>
      <w:r>
        <w:rPr>
          <w:rFonts w:hint="eastAsia"/>
          <w:sz w:val="24"/>
        </w:rPr>
        <w:t>，</w:t>
      </w:r>
      <w:r>
        <w:rPr>
          <w:sz w:val="24"/>
        </w:rPr>
        <w:t>定量评价日照质量。</w:t>
      </w:r>
    </w:p>
    <w:p>
      <w:pPr>
        <w:pStyle w:val="2"/>
        <w:spacing w:before="0" w:after="0" w:line="360" w:lineRule="auto"/>
        <w:rPr>
          <w:rFonts w:ascii="宋体" w:hAnsi="宋体"/>
          <w:kern w:val="0"/>
          <w:sz w:val="30"/>
          <w:szCs w:val="30"/>
        </w:rPr>
      </w:pPr>
      <w:bookmarkStart w:id="28" w:name="_Toc30"/>
      <w:r>
        <w:rPr>
          <w:rFonts w:hint="eastAsia" w:ascii="宋体" w:hAnsi="宋体"/>
          <w:kern w:val="0"/>
          <w:sz w:val="30"/>
          <w:szCs w:val="30"/>
        </w:rPr>
        <w:t>3 日照分析的基础数据</w:t>
      </w:r>
      <w:bookmarkEnd w:id="28"/>
    </w:p>
    <w:p>
      <w:pPr>
        <w:pStyle w:val="23"/>
      </w:pPr>
      <w:r>
        <w:drawing>
          <wp:inline distT="0" distB="0" distL="114300" distR="114300">
            <wp:extent cx="5267325" cy="3476625"/>
            <wp:effectExtent l="0" t="0" r="9525" b="952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8"/>
                    <a:stretch>
                      <a:fillRect/>
                    </a:stretch>
                  </pic:blipFill>
                  <pic:spPr>
                    <a:xfrm>
                      <a:off x="0" y="0"/>
                      <a:ext cx="5267325" cy="3476625"/>
                    </a:xfrm>
                    <a:prstGeom prst="rect">
                      <a:avLst/>
                    </a:prstGeom>
                    <a:noFill/>
                    <a:ln>
                      <a:noFill/>
                    </a:ln>
                  </pic:spPr>
                </pic:pic>
              </a:graphicData>
            </a:graphic>
          </wp:inline>
        </w:drawing>
      </w:r>
    </w:p>
    <w:p>
      <w:pPr>
        <w:pStyle w:val="23"/>
      </w:pPr>
      <w:r>
        <w:t xml:space="preserve">图3 </w:t>
      </w:r>
      <w:r>
        <w:rPr>
          <w:rFonts w:hint="eastAsia"/>
        </w:rPr>
        <w:t>日照</w:t>
      </w:r>
      <w:r>
        <w:t>模拟分析</w:t>
      </w:r>
      <w:r>
        <w:rPr>
          <w:rFonts w:hint="eastAsia"/>
        </w:rPr>
        <w:t>模型</w:t>
      </w:r>
    </w:p>
    <w:p>
      <w:pPr>
        <w:pStyle w:val="2"/>
        <w:spacing w:before="0" w:after="0" w:line="360" w:lineRule="auto"/>
        <w:rPr>
          <w:rFonts w:ascii="宋体" w:hAnsi="宋体"/>
          <w:kern w:val="0"/>
          <w:sz w:val="30"/>
          <w:szCs w:val="30"/>
        </w:rPr>
      </w:pPr>
      <w:bookmarkStart w:id="29" w:name="_Toc13077"/>
      <w:r>
        <w:rPr>
          <w:rFonts w:hint="eastAsia" w:ascii="宋体" w:hAnsi="宋体"/>
          <w:kern w:val="0"/>
          <w:sz w:val="30"/>
          <w:szCs w:val="30"/>
        </w:rPr>
        <w:t>4 日照分析软件及参数设置</w:t>
      </w:r>
      <w:bookmarkEnd w:id="29"/>
    </w:p>
    <w:p>
      <w:pPr>
        <w:spacing w:line="480" w:lineRule="exact"/>
        <w:ind w:firstLine="560"/>
        <w:rPr>
          <w:sz w:val="24"/>
        </w:rPr>
      </w:pPr>
      <w:r>
        <w:rPr>
          <w:rFonts w:hint="eastAsia"/>
          <w:sz w:val="24"/>
        </w:rPr>
        <w:t>日照分析软件：斯维尔日照分析软件</w:t>
      </w:r>
      <w:r>
        <w:rPr>
          <w:sz w:val="24"/>
        </w:rPr>
        <w:t>Sun2018</w:t>
      </w:r>
      <w:r>
        <w:rPr>
          <w:rFonts w:hint="eastAsia"/>
          <w:sz w:val="24"/>
        </w:rPr>
        <w:t>。斯维尔</w:t>
      </w:r>
      <w:r>
        <w:rPr>
          <w:sz w:val="24"/>
        </w:rPr>
        <w:t>日照分析软件Sun2018(以下简称Sun)以AutoCAD为软件运行平台，与AutoCAD支持相同的操作系统。软件于200</w:t>
      </w:r>
      <w:r>
        <w:rPr>
          <w:rFonts w:hint="eastAsia"/>
          <w:sz w:val="24"/>
        </w:rPr>
        <w:t>8</w:t>
      </w:r>
      <w:r>
        <w:rPr>
          <w:sz w:val="24"/>
        </w:rPr>
        <w:t>年5月通过了建设部的专家评估鉴定，专家们一致认为Sun软件“达到国际先进水平”，“建议有关部门积极推广使用”。</w:t>
      </w:r>
    </w:p>
    <w:p>
      <w:pPr>
        <w:autoSpaceDE w:val="0"/>
        <w:autoSpaceDN w:val="0"/>
        <w:adjustRightInd w:val="0"/>
        <w:spacing w:line="360" w:lineRule="auto"/>
        <w:jc w:val="left"/>
        <w:rPr>
          <w:sz w:val="24"/>
        </w:rPr>
      </w:pPr>
      <w:r>
        <w:rPr>
          <w:rFonts w:hint="eastAsia"/>
          <w:sz w:val="24"/>
        </w:rPr>
        <w:t>相关参数：城市：</w:t>
      </w:r>
      <w:r>
        <w:rPr>
          <w:rFonts w:hint="eastAsia"/>
          <w:sz w:val="24"/>
          <w:lang w:eastAsia="zh-CN"/>
        </w:rPr>
        <w:t>广东省汕头市</w:t>
      </w:r>
      <w:r>
        <w:rPr>
          <w:rFonts w:hint="eastAsia"/>
          <w:sz w:val="24"/>
        </w:rPr>
        <w:t>，北纬：</w:t>
      </w:r>
      <w:r>
        <w:rPr>
          <w:sz w:val="24"/>
        </w:rPr>
        <w:t>34</w:t>
      </w:r>
      <w:r>
        <w:rPr>
          <w:rFonts w:hint="eastAsia"/>
          <w:sz w:val="24"/>
        </w:rPr>
        <w:t>度</w:t>
      </w:r>
      <w:r>
        <w:rPr>
          <w:sz w:val="24"/>
        </w:rPr>
        <w:t>12</w:t>
      </w:r>
      <w:r>
        <w:rPr>
          <w:rFonts w:hint="eastAsia"/>
          <w:sz w:val="24"/>
        </w:rPr>
        <w:t>分，东经：</w:t>
      </w:r>
      <w:r>
        <w:rPr>
          <w:sz w:val="24"/>
        </w:rPr>
        <w:t>113</w:t>
      </w:r>
      <w:r>
        <w:rPr>
          <w:rFonts w:hint="eastAsia"/>
          <w:sz w:val="24"/>
        </w:rPr>
        <w:t>度</w:t>
      </w:r>
      <w:r>
        <w:rPr>
          <w:sz w:val="24"/>
        </w:rPr>
        <w:t>18</w:t>
      </w:r>
      <w:r>
        <w:rPr>
          <w:rFonts w:hint="eastAsia"/>
          <w:sz w:val="24"/>
        </w:rPr>
        <w:t>分。</w:t>
      </w:r>
    </w:p>
    <w:p>
      <w:pPr>
        <w:spacing w:line="480" w:lineRule="exact"/>
        <w:ind w:firstLine="560"/>
        <w:rPr>
          <w:sz w:val="24"/>
        </w:rPr>
      </w:pPr>
      <w:r>
        <w:rPr>
          <w:rFonts w:hint="eastAsia"/>
          <w:sz w:val="24"/>
        </w:rPr>
        <w:t xml:space="preserve">     分析时间：</w:t>
      </w:r>
      <w:r>
        <w:rPr>
          <w:rFonts w:hint="eastAsia"/>
          <w:sz w:val="24"/>
          <w:lang w:val="en-US" w:eastAsia="zh-CN"/>
        </w:rPr>
        <w:t>9</w:t>
      </w:r>
      <w:r>
        <w:rPr>
          <w:sz w:val="24"/>
        </w:rPr>
        <w:t>:00～</w:t>
      </w:r>
      <w:r>
        <w:rPr>
          <w:rFonts w:hint="eastAsia"/>
          <w:sz w:val="24"/>
        </w:rPr>
        <w:t>1</w:t>
      </w:r>
      <w:r>
        <w:rPr>
          <w:rFonts w:hint="eastAsia"/>
          <w:sz w:val="24"/>
          <w:lang w:val="en-US" w:eastAsia="zh-CN"/>
        </w:rPr>
        <w:t>5</w:t>
      </w:r>
      <w:r>
        <w:rPr>
          <w:sz w:val="24"/>
        </w:rPr>
        <w:t>:00</w:t>
      </w:r>
      <w:r>
        <w:rPr>
          <w:rFonts w:hint="eastAsia"/>
          <w:sz w:val="24"/>
        </w:rPr>
        <w:t>（真</w:t>
      </w:r>
      <w:r>
        <w:rPr>
          <w:sz w:val="24"/>
        </w:rPr>
        <w:t>太阳</w:t>
      </w:r>
      <w:r>
        <w:rPr>
          <w:rFonts w:hint="eastAsia"/>
          <w:sz w:val="24"/>
        </w:rPr>
        <w:t>时）</w:t>
      </w:r>
    </w:p>
    <w:p>
      <w:pPr>
        <w:spacing w:line="480" w:lineRule="exact"/>
        <w:ind w:firstLine="560"/>
        <w:rPr>
          <w:sz w:val="24"/>
        </w:rPr>
      </w:pPr>
      <w:r>
        <w:rPr>
          <w:rFonts w:hint="eastAsia"/>
          <w:sz w:val="24"/>
        </w:rPr>
        <w:t xml:space="preserve">     计算精度：1分钟</w:t>
      </w:r>
    </w:p>
    <w:p>
      <w:pPr>
        <w:spacing w:line="480" w:lineRule="exact"/>
        <w:ind w:firstLine="560"/>
        <w:rPr>
          <w:sz w:val="24"/>
        </w:rPr>
      </w:pPr>
      <w:r>
        <w:rPr>
          <w:rFonts w:hint="eastAsia"/>
          <w:sz w:val="24"/>
        </w:rPr>
        <w:t xml:space="preserve">     统计方式：最长有效连照，累计不少于5分钟</w:t>
      </w:r>
    </w:p>
    <w:p>
      <w:pPr>
        <w:spacing w:line="480" w:lineRule="exact"/>
        <w:ind w:firstLine="560"/>
        <w:rPr>
          <w:sz w:val="24"/>
        </w:rPr>
      </w:pPr>
      <w:r>
        <w:rPr>
          <w:rFonts w:hint="eastAsia"/>
          <w:sz w:val="24"/>
        </w:rPr>
        <w:t xml:space="preserve">     窗户日照：</w:t>
      </w:r>
      <w:bookmarkStart w:id="30" w:name="OLE_LINK3"/>
      <w:r>
        <w:rPr>
          <w:rFonts w:hint="eastAsia"/>
          <w:sz w:val="24"/>
        </w:rPr>
        <w:t>满窗日照</w:t>
      </w:r>
      <w:bookmarkEnd w:id="30"/>
    </w:p>
    <w:p>
      <w:pPr>
        <w:spacing w:line="480" w:lineRule="exact"/>
        <w:ind w:firstLine="560"/>
        <w:rPr>
          <w:sz w:val="24"/>
        </w:rPr>
      </w:pPr>
      <w:r>
        <w:rPr>
          <w:rFonts w:hint="eastAsia"/>
          <w:sz w:val="24"/>
        </w:rPr>
        <w:t xml:space="preserve">     </w:t>
      </w:r>
      <w:r>
        <w:rPr>
          <w:sz w:val="24"/>
        </w:rPr>
        <w:t>标准</w:t>
      </w:r>
      <w:r>
        <w:rPr>
          <w:rFonts w:hint="eastAsia"/>
          <w:sz w:val="24"/>
        </w:rPr>
        <w:t>要求</w:t>
      </w:r>
      <w:r>
        <w:rPr>
          <w:sz w:val="24"/>
        </w:rPr>
        <w:t>：</w:t>
      </w:r>
      <w:r>
        <w:rPr>
          <w:rFonts w:hint="eastAsia"/>
          <w:sz w:val="24"/>
          <w:lang w:eastAsia="zh-CN"/>
        </w:rPr>
        <w:t>冬至日</w:t>
      </w:r>
      <w:r>
        <w:rPr>
          <w:sz w:val="24"/>
        </w:rPr>
        <w:t xml:space="preserve">2h </w:t>
      </w:r>
    </w:p>
    <w:p>
      <w:pPr>
        <w:pStyle w:val="2"/>
        <w:spacing w:before="0" w:after="0" w:line="360" w:lineRule="auto"/>
        <w:rPr>
          <w:rFonts w:ascii="宋体" w:hAnsi="宋体"/>
          <w:kern w:val="0"/>
          <w:sz w:val="30"/>
          <w:szCs w:val="30"/>
        </w:rPr>
      </w:pPr>
      <w:bookmarkStart w:id="31" w:name="_Toc25737"/>
      <w:r>
        <w:rPr>
          <w:rFonts w:hint="eastAsia" w:ascii="宋体" w:hAnsi="宋体"/>
          <w:kern w:val="0"/>
          <w:sz w:val="30"/>
          <w:szCs w:val="30"/>
        </w:rPr>
        <w:t>5 模拟结果分析</w:t>
      </w:r>
      <w:bookmarkEnd w:id="31"/>
    </w:p>
    <w:p>
      <w:pPr>
        <w:pStyle w:val="25"/>
        <w:ind w:firstLine="480"/>
      </w:pPr>
      <w:r>
        <w:rPr>
          <w:rFonts w:hint="eastAsia"/>
        </w:rPr>
        <w:t>本项目</w:t>
      </w:r>
      <w:r>
        <w:rPr>
          <w:rFonts w:hint="eastAsia"/>
          <w:lang w:eastAsia="zh-CN"/>
        </w:rPr>
        <w:t>为学校建筑，周边有部分住宅</w:t>
      </w:r>
      <w:r>
        <w:rPr>
          <w:rFonts w:hint="eastAsia"/>
        </w:rPr>
        <w:t>。</w:t>
      </w:r>
    </w:p>
    <w:p>
      <w:pPr>
        <w:pStyle w:val="23"/>
      </w:pPr>
      <w:r>
        <w:drawing>
          <wp:inline distT="0" distB="0" distL="114300" distR="114300">
            <wp:extent cx="5271135" cy="4078605"/>
            <wp:effectExtent l="9525" t="9525" r="15240" b="2667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5271135" cy="4078605"/>
                    </a:xfrm>
                    <a:prstGeom prst="rect">
                      <a:avLst/>
                    </a:prstGeom>
                    <a:noFill/>
                    <a:ln>
                      <a:solidFill>
                        <a:srgbClr val="0000FF"/>
                      </a:solidFill>
                    </a:ln>
                  </pic:spPr>
                </pic:pic>
              </a:graphicData>
            </a:graphic>
          </wp:inline>
        </w:drawing>
      </w:r>
    </w:p>
    <w:p>
      <w:pPr>
        <w:widowControl/>
        <w:jc w:val="center"/>
        <w:rPr>
          <w:rFonts w:ascii="宋体" w:hAnsi="宋体" w:cs="宋体"/>
          <w:kern w:val="0"/>
          <w:sz w:val="24"/>
        </w:rPr>
      </w:pPr>
      <w:r>
        <w:rPr>
          <w:rFonts w:ascii="宋体" w:hAnsi="宋体" w:cs="宋体"/>
          <w:kern w:val="0"/>
          <w:sz w:val="24"/>
        </w:rPr>
        <w:drawing>
          <wp:inline distT="0" distB="0" distL="0" distR="0">
            <wp:extent cx="4819650" cy="57658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63535" cy="582204"/>
                    </a:xfrm>
                    <a:prstGeom prst="rect">
                      <a:avLst/>
                    </a:prstGeom>
                    <a:noFill/>
                  </pic:spPr>
                </pic:pic>
              </a:graphicData>
            </a:graphic>
          </wp:inline>
        </w:drawing>
      </w:r>
    </w:p>
    <w:p>
      <w:pPr>
        <w:widowControl/>
        <w:jc w:val="center"/>
        <w:rPr>
          <w:szCs w:val="21"/>
        </w:rPr>
      </w:pPr>
      <w:r>
        <w:rPr>
          <w:rFonts w:hint="eastAsia"/>
          <w:szCs w:val="21"/>
        </w:rPr>
        <w:t>图4</w:t>
      </w:r>
      <w:r>
        <w:rPr>
          <w:szCs w:val="21"/>
        </w:rPr>
        <w:t xml:space="preserve"> </w:t>
      </w:r>
      <w:r>
        <w:rPr>
          <w:rFonts w:hint="eastAsia"/>
          <w:szCs w:val="21"/>
        </w:rPr>
        <w:t>项目日照分析图</w:t>
      </w:r>
      <w:bookmarkStart w:id="32" w:name="_Toc329785740"/>
    </w:p>
    <w:p>
      <w:pPr>
        <w:pStyle w:val="2"/>
        <w:spacing w:before="0" w:after="0" w:line="360" w:lineRule="auto"/>
        <w:rPr>
          <w:rFonts w:ascii="宋体" w:hAnsi="宋体"/>
          <w:kern w:val="0"/>
          <w:sz w:val="28"/>
          <w:szCs w:val="28"/>
        </w:rPr>
      </w:pPr>
      <w:bookmarkStart w:id="33" w:name="_Toc14099"/>
      <w:r>
        <w:rPr>
          <w:rFonts w:hint="eastAsia" w:ascii="宋体" w:hAnsi="宋体"/>
          <w:kern w:val="0"/>
          <w:sz w:val="28"/>
          <w:szCs w:val="28"/>
        </w:rPr>
        <w:t>6 结论</w:t>
      </w:r>
      <w:bookmarkEnd w:id="32"/>
      <w:bookmarkEnd w:id="33"/>
    </w:p>
    <w:p>
      <w:pPr>
        <w:pStyle w:val="25"/>
        <w:ind w:firstLine="480"/>
        <w:rPr>
          <w:rFonts w:hint="eastAsia"/>
        </w:rPr>
      </w:pPr>
      <w:r>
        <w:rPr>
          <w:rFonts w:hint="eastAsia"/>
        </w:rPr>
        <w:t>通过对本项目日照状况进行区域模拟分析可得：</w:t>
      </w:r>
    </w:p>
    <w:p>
      <w:pPr>
        <w:pStyle w:val="25"/>
        <w:ind w:firstLine="480"/>
        <w:rPr>
          <w:rFonts w:hint="eastAsia"/>
        </w:rPr>
      </w:pPr>
      <w:r>
        <w:rPr>
          <w:rFonts w:hint="eastAsia"/>
        </w:rPr>
        <w:t xml:space="preserve">项目满足《绿色建筑评价标准》GB/T 50378-2014 对建筑日照设计提出的相关要求： </w:t>
      </w:r>
    </w:p>
    <w:p>
      <w:pPr>
        <w:pStyle w:val="25"/>
        <w:numPr>
          <w:ilvl w:val="0"/>
          <w:numId w:val="1"/>
        </w:numPr>
        <w:ind w:firstLine="480"/>
        <w:rPr>
          <w:rFonts w:hint="eastAsia"/>
          <w:lang w:eastAsia="zh-CN"/>
        </w:rPr>
      </w:pPr>
      <w:r>
        <w:rPr>
          <w:rFonts w:hint="eastAsia"/>
          <w:lang w:eastAsia="zh-CN"/>
        </w:rPr>
        <w:t>小学能满足日照要求。</w:t>
      </w:r>
    </w:p>
    <w:p>
      <w:pPr>
        <w:pStyle w:val="25"/>
        <w:rPr>
          <w:rFonts w:hint="eastAsia"/>
        </w:rPr>
      </w:pPr>
      <w:r>
        <w:rPr>
          <w:rFonts w:hint="eastAsia"/>
          <w:lang w:val="en-US" w:eastAsia="zh-CN"/>
        </w:rPr>
        <w:t>2、</w:t>
      </w:r>
      <w:r>
        <w:rPr>
          <w:rFonts w:hint="eastAsia"/>
        </w:rPr>
        <w:t>4.1.4：建筑规划布局应满足日照标准，且不得降低周边建筑的日照标准。</w:t>
      </w:r>
    </w:p>
    <w:p>
      <w:pPr>
        <w:pStyle w:val="25"/>
        <w:numPr>
          <w:ilvl w:val="0"/>
          <w:numId w:val="0"/>
        </w:numPr>
        <w:rPr>
          <w:rFonts w:hint="eastAsia"/>
          <w:lang w:eastAsia="zh-CN"/>
        </w:rPr>
      </w:pPr>
    </w:p>
    <w:p>
      <w:pPr>
        <w:pStyle w:val="25"/>
        <w:ind w:firstLine="480"/>
      </w:pPr>
    </w:p>
    <w:sectPr>
      <w:headerReference r:id="rId3" w:type="default"/>
      <w:footerReference r:id="rId4"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fldChar w:fldCharType="begin"/>
    </w:r>
    <w:r>
      <w:instrText xml:space="preserve"> PAGE   \* MERGEFORMAT </w:instrText>
    </w:r>
    <w:r>
      <w:fldChar w:fldCharType="separate"/>
    </w:r>
    <w:r>
      <w:rPr>
        <w:lang w:val="zh-CN"/>
      </w:rPr>
      <w:t>9</w:t>
    </w:r>
    <w:r>
      <w:fldChar w:fldCharType="end"/>
    </w:r>
  </w:p>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73A914"/>
    <w:multiLevelType w:val="singleLevel"/>
    <w:tmpl w:val="A673A91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CBE"/>
    <w:rsid w:val="000009D2"/>
    <w:rsid w:val="00000B8B"/>
    <w:rsid w:val="000029F5"/>
    <w:rsid w:val="00013516"/>
    <w:rsid w:val="0001488C"/>
    <w:rsid w:val="000170C1"/>
    <w:rsid w:val="000256CA"/>
    <w:rsid w:val="00027FB5"/>
    <w:rsid w:val="0003007B"/>
    <w:rsid w:val="0003476F"/>
    <w:rsid w:val="000371A5"/>
    <w:rsid w:val="0003739E"/>
    <w:rsid w:val="00053780"/>
    <w:rsid w:val="0005692B"/>
    <w:rsid w:val="00061CD4"/>
    <w:rsid w:val="000713EF"/>
    <w:rsid w:val="000741A1"/>
    <w:rsid w:val="00074F80"/>
    <w:rsid w:val="00077D39"/>
    <w:rsid w:val="00083CBE"/>
    <w:rsid w:val="00092AAA"/>
    <w:rsid w:val="00093945"/>
    <w:rsid w:val="0009509B"/>
    <w:rsid w:val="000A3FED"/>
    <w:rsid w:val="000A73E0"/>
    <w:rsid w:val="000B1872"/>
    <w:rsid w:val="000C71B1"/>
    <w:rsid w:val="000C7307"/>
    <w:rsid w:val="000C763F"/>
    <w:rsid w:val="000D4482"/>
    <w:rsid w:val="000D48D3"/>
    <w:rsid w:val="000D6A9C"/>
    <w:rsid w:val="000D73B7"/>
    <w:rsid w:val="000E065B"/>
    <w:rsid w:val="000E6E82"/>
    <w:rsid w:val="000E72F3"/>
    <w:rsid w:val="000F1A3B"/>
    <w:rsid w:val="000F7A40"/>
    <w:rsid w:val="00103D68"/>
    <w:rsid w:val="001043BD"/>
    <w:rsid w:val="00105558"/>
    <w:rsid w:val="001249F9"/>
    <w:rsid w:val="001255B8"/>
    <w:rsid w:val="00131030"/>
    <w:rsid w:val="0013221D"/>
    <w:rsid w:val="001377A0"/>
    <w:rsid w:val="00141FBB"/>
    <w:rsid w:val="001429DF"/>
    <w:rsid w:val="00154B32"/>
    <w:rsid w:val="00157801"/>
    <w:rsid w:val="00162AD4"/>
    <w:rsid w:val="00164298"/>
    <w:rsid w:val="00167A5A"/>
    <w:rsid w:val="00182AB6"/>
    <w:rsid w:val="0018691E"/>
    <w:rsid w:val="0019211F"/>
    <w:rsid w:val="00193742"/>
    <w:rsid w:val="00194AF1"/>
    <w:rsid w:val="00197304"/>
    <w:rsid w:val="001A1BF7"/>
    <w:rsid w:val="001A5516"/>
    <w:rsid w:val="001A74A1"/>
    <w:rsid w:val="001B0583"/>
    <w:rsid w:val="001B09E4"/>
    <w:rsid w:val="001B0FA2"/>
    <w:rsid w:val="001B10F1"/>
    <w:rsid w:val="001B14BA"/>
    <w:rsid w:val="001B7F61"/>
    <w:rsid w:val="001C078B"/>
    <w:rsid w:val="001C47EC"/>
    <w:rsid w:val="001D039C"/>
    <w:rsid w:val="001D158E"/>
    <w:rsid w:val="001D1963"/>
    <w:rsid w:val="001D23B1"/>
    <w:rsid w:val="001D7873"/>
    <w:rsid w:val="001E2043"/>
    <w:rsid w:val="001E73F4"/>
    <w:rsid w:val="001F3142"/>
    <w:rsid w:val="0020317A"/>
    <w:rsid w:val="0021373F"/>
    <w:rsid w:val="0022237E"/>
    <w:rsid w:val="00225907"/>
    <w:rsid w:val="00226879"/>
    <w:rsid w:val="00233670"/>
    <w:rsid w:val="002428A9"/>
    <w:rsid w:val="002525FB"/>
    <w:rsid w:val="002618C9"/>
    <w:rsid w:val="00265C8F"/>
    <w:rsid w:val="002666CA"/>
    <w:rsid w:val="00267769"/>
    <w:rsid w:val="002739FF"/>
    <w:rsid w:val="002764EE"/>
    <w:rsid w:val="002772D0"/>
    <w:rsid w:val="002808C9"/>
    <w:rsid w:val="00282CFC"/>
    <w:rsid w:val="002840DA"/>
    <w:rsid w:val="0028445D"/>
    <w:rsid w:val="002970AB"/>
    <w:rsid w:val="002A6E15"/>
    <w:rsid w:val="002B3722"/>
    <w:rsid w:val="002B5E83"/>
    <w:rsid w:val="002B7347"/>
    <w:rsid w:val="002C0B60"/>
    <w:rsid w:val="002C739C"/>
    <w:rsid w:val="002D1CD0"/>
    <w:rsid w:val="002E132A"/>
    <w:rsid w:val="002E2419"/>
    <w:rsid w:val="002E7B2F"/>
    <w:rsid w:val="002F7176"/>
    <w:rsid w:val="00304D2B"/>
    <w:rsid w:val="00306943"/>
    <w:rsid w:val="00312F24"/>
    <w:rsid w:val="003207ED"/>
    <w:rsid w:val="00320963"/>
    <w:rsid w:val="00322B13"/>
    <w:rsid w:val="00333449"/>
    <w:rsid w:val="003363DF"/>
    <w:rsid w:val="00347F86"/>
    <w:rsid w:val="003636DC"/>
    <w:rsid w:val="00365426"/>
    <w:rsid w:val="00367621"/>
    <w:rsid w:val="00377995"/>
    <w:rsid w:val="003805E8"/>
    <w:rsid w:val="00383AFC"/>
    <w:rsid w:val="00396D54"/>
    <w:rsid w:val="003A226E"/>
    <w:rsid w:val="003A2887"/>
    <w:rsid w:val="003B115A"/>
    <w:rsid w:val="003C1584"/>
    <w:rsid w:val="003C2959"/>
    <w:rsid w:val="003C4FC8"/>
    <w:rsid w:val="003C539F"/>
    <w:rsid w:val="003C5869"/>
    <w:rsid w:val="003D641B"/>
    <w:rsid w:val="003D6D66"/>
    <w:rsid w:val="003E7D6D"/>
    <w:rsid w:val="003F34AC"/>
    <w:rsid w:val="004056DD"/>
    <w:rsid w:val="00406EB2"/>
    <w:rsid w:val="004129FF"/>
    <w:rsid w:val="004251D6"/>
    <w:rsid w:val="00431D7B"/>
    <w:rsid w:val="004357E5"/>
    <w:rsid w:val="004365C5"/>
    <w:rsid w:val="0043749E"/>
    <w:rsid w:val="004475ED"/>
    <w:rsid w:val="00450850"/>
    <w:rsid w:val="00450B62"/>
    <w:rsid w:val="004550A2"/>
    <w:rsid w:val="00456328"/>
    <w:rsid w:val="00466AA4"/>
    <w:rsid w:val="00470085"/>
    <w:rsid w:val="004746CE"/>
    <w:rsid w:val="00474B99"/>
    <w:rsid w:val="00484836"/>
    <w:rsid w:val="0049235B"/>
    <w:rsid w:val="004A4F74"/>
    <w:rsid w:val="004B3EFA"/>
    <w:rsid w:val="004C265D"/>
    <w:rsid w:val="004D1316"/>
    <w:rsid w:val="004D1F91"/>
    <w:rsid w:val="004D207D"/>
    <w:rsid w:val="004E6215"/>
    <w:rsid w:val="004F1DBA"/>
    <w:rsid w:val="004F499A"/>
    <w:rsid w:val="004F5ED1"/>
    <w:rsid w:val="00501531"/>
    <w:rsid w:val="005034D5"/>
    <w:rsid w:val="00506D04"/>
    <w:rsid w:val="005145E4"/>
    <w:rsid w:val="00515698"/>
    <w:rsid w:val="00515C9E"/>
    <w:rsid w:val="00515FF6"/>
    <w:rsid w:val="00525327"/>
    <w:rsid w:val="00531CE3"/>
    <w:rsid w:val="005428EA"/>
    <w:rsid w:val="005474A5"/>
    <w:rsid w:val="00552648"/>
    <w:rsid w:val="005549B7"/>
    <w:rsid w:val="00561CF3"/>
    <w:rsid w:val="00573CB8"/>
    <w:rsid w:val="0058389D"/>
    <w:rsid w:val="0058633E"/>
    <w:rsid w:val="00592DB8"/>
    <w:rsid w:val="005A4D5B"/>
    <w:rsid w:val="005A5197"/>
    <w:rsid w:val="005B0A27"/>
    <w:rsid w:val="005B3FF0"/>
    <w:rsid w:val="005B7E21"/>
    <w:rsid w:val="005C38D6"/>
    <w:rsid w:val="005C5E9B"/>
    <w:rsid w:val="005E056B"/>
    <w:rsid w:val="005E1276"/>
    <w:rsid w:val="005E63DC"/>
    <w:rsid w:val="00613B1C"/>
    <w:rsid w:val="00614B51"/>
    <w:rsid w:val="00620022"/>
    <w:rsid w:val="00623B39"/>
    <w:rsid w:val="006336A7"/>
    <w:rsid w:val="00635725"/>
    <w:rsid w:val="00651C79"/>
    <w:rsid w:val="00655B4C"/>
    <w:rsid w:val="00655D64"/>
    <w:rsid w:val="0065607F"/>
    <w:rsid w:val="00657786"/>
    <w:rsid w:val="0066200B"/>
    <w:rsid w:val="0067536A"/>
    <w:rsid w:val="00675858"/>
    <w:rsid w:val="00677079"/>
    <w:rsid w:val="006803F3"/>
    <w:rsid w:val="0068633A"/>
    <w:rsid w:val="00691F58"/>
    <w:rsid w:val="006B76E6"/>
    <w:rsid w:val="006C456C"/>
    <w:rsid w:val="006D2910"/>
    <w:rsid w:val="006D3CE4"/>
    <w:rsid w:val="006D7000"/>
    <w:rsid w:val="006E342C"/>
    <w:rsid w:val="006F3225"/>
    <w:rsid w:val="006F4446"/>
    <w:rsid w:val="00700E17"/>
    <w:rsid w:val="007016FD"/>
    <w:rsid w:val="007041B5"/>
    <w:rsid w:val="00705817"/>
    <w:rsid w:val="007112D3"/>
    <w:rsid w:val="00712CF2"/>
    <w:rsid w:val="00713EE8"/>
    <w:rsid w:val="00720EBF"/>
    <w:rsid w:val="007410D5"/>
    <w:rsid w:val="007510B9"/>
    <w:rsid w:val="00752773"/>
    <w:rsid w:val="00754576"/>
    <w:rsid w:val="00754CB1"/>
    <w:rsid w:val="00756248"/>
    <w:rsid w:val="00757B9A"/>
    <w:rsid w:val="00764A51"/>
    <w:rsid w:val="00773716"/>
    <w:rsid w:val="00776A33"/>
    <w:rsid w:val="00782590"/>
    <w:rsid w:val="00794452"/>
    <w:rsid w:val="00794B4A"/>
    <w:rsid w:val="007B7396"/>
    <w:rsid w:val="007C11A8"/>
    <w:rsid w:val="007C557F"/>
    <w:rsid w:val="007C5DC6"/>
    <w:rsid w:val="007D00CD"/>
    <w:rsid w:val="007D699D"/>
    <w:rsid w:val="007E4415"/>
    <w:rsid w:val="007E6325"/>
    <w:rsid w:val="007F4444"/>
    <w:rsid w:val="008035A2"/>
    <w:rsid w:val="008035A3"/>
    <w:rsid w:val="00805080"/>
    <w:rsid w:val="00806397"/>
    <w:rsid w:val="008139BF"/>
    <w:rsid w:val="00816C26"/>
    <w:rsid w:val="00823B45"/>
    <w:rsid w:val="0082504B"/>
    <w:rsid w:val="00826767"/>
    <w:rsid w:val="00830D94"/>
    <w:rsid w:val="00831D75"/>
    <w:rsid w:val="00833962"/>
    <w:rsid w:val="00842AD1"/>
    <w:rsid w:val="00847B1E"/>
    <w:rsid w:val="00851435"/>
    <w:rsid w:val="00852606"/>
    <w:rsid w:val="00854C15"/>
    <w:rsid w:val="00855438"/>
    <w:rsid w:val="00877F63"/>
    <w:rsid w:val="00880A28"/>
    <w:rsid w:val="0088113B"/>
    <w:rsid w:val="00883A52"/>
    <w:rsid w:val="00883BDC"/>
    <w:rsid w:val="008907A9"/>
    <w:rsid w:val="008A0C9E"/>
    <w:rsid w:val="008A3D08"/>
    <w:rsid w:val="008B1F4D"/>
    <w:rsid w:val="008C6E01"/>
    <w:rsid w:val="008C6ED9"/>
    <w:rsid w:val="008E6F6F"/>
    <w:rsid w:val="008F7BB5"/>
    <w:rsid w:val="00902D9F"/>
    <w:rsid w:val="009034D2"/>
    <w:rsid w:val="00906252"/>
    <w:rsid w:val="00913526"/>
    <w:rsid w:val="00925C4C"/>
    <w:rsid w:val="00933FC1"/>
    <w:rsid w:val="009352B9"/>
    <w:rsid w:val="00956F21"/>
    <w:rsid w:val="00961428"/>
    <w:rsid w:val="00962F8B"/>
    <w:rsid w:val="00964FB7"/>
    <w:rsid w:val="00966D52"/>
    <w:rsid w:val="00973CB8"/>
    <w:rsid w:val="0097471E"/>
    <w:rsid w:val="00975C22"/>
    <w:rsid w:val="00976B59"/>
    <w:rsid w:val="00990CB1"/>
    <w:rsid w:val="00996DF5"/>
    <w:rsid w:val="009A7AD4"/>
    <w:rsid w:val="009A7E35"/>
    <w:rsid w:val="009B2EA3"/>
    <w:rsid w:val="009B64C2"/>
    <w:rsid w:val="009C47C2"/>
    <w:rsid w:val="009C71EA"/>
    <w:rsid w:val="009E2A07"/>
    <w:rsid w:val="009E3030"/>
    <w:rsid w:val="009E32B9"/>
    <w:rsid w:val="009E6F68"/>
    <w:rsid w:val="009F2EE1"/>
    <w:rsid w:val="00A10D6C"/>
    <w:rsid w:val="00A11608"/>
    <w:rsid w:val="00A1585E"/>
    <w:rsid w:val="00A22746"/>
    <w:rsid w:val="00A3354A"/>
    <w:rsid w:val="00A34F6B"/>
    <w:rsid w:val="00A357BC"/>
    <w:rsid w:val="00A36525"/>
    <w:rsid w:val="00A400F1"/>
    <w:rsid w:val="00A50E14"/>
    <w:rsid w:val="00A51DEE"/>
    <w:rsid w:val="00A564C6"/>
    <w:rsid w:val="00A575F8"/>
    <w:rsid w:val="00A66994"/>
    <w:rsid w:val="00A732C4"/>
    <w:rsid w:val="00A7780E"/>
    <w:rsid w:val="00A77824"/>
    <w:rsid w:val="00A87DB9"/>
    <w:rsid w:val="00A942A3"/>
    <w:rsid w:val="00A96949"/>
    <w:rsid w:val="00AA0566"/>
    <w:rsid w:val="00AA1261"/>
    <w:rsid w:val="00AB2BFB"/>
    <w:rsid w:val="00AB3FC1"/>
    <w:rsid w:val="00AB48D1"/>
    <w:rsid w:val="00AB4A0A"/>
    <w:rsid w:val="00AB7781"/>
    <w:rsid w:val="00AC67AE"/>
    <w:rsid w:val="00AC6F27"/>
    <w:rsid w:val="00AD76EC"/>
    <w:rsid w:val="00AE0F80"/>
    <w:rsid w:val="00AE7791"/>
    <w:rsid w:val="00AF1C13"/>
    <w:rsid w:val="00AF393F"/>
    <w:rsid w:val="00AF3B66"/>
    <w:rsid w:val="00AF661B"/>
    <w:rsid w:val="00B03DA1"/>
    <w:rsid w:val="00B12B7F"/>
    <w:rsid w:val="00B2432E"/>
    <w:rsid w:val="00B24706"/>
    <w:rsid w:val="00B277E2"/>
    <w:rsid w:val="00B32962"/>
    <w:rsid w:val="00B447C8"/>
    <w:rsid w:val="00B64240"/>
    <w:rsid w:val="00B70A76"/>
    <w:rsid w:val="00B74BB4"/>
    <w:rsid w:val="00B75BB3"/>
    <w:rsid w:val="00B8109D"/>
    <w:rsid w:val="00B81866"/>
    <w:rsid w:val="00B82B84"/>
    <w:rsid w:val="00B8443D"/>
    <w:rsid w:val="00B90DCD"/>
    <w:rsid w:val="00B97E63"/>
    <w:rsid w:val="00BA106A"/>
    <w:rsid w:val="00BA2924"/>
    <w:rsid w:val="00BA6079"/>
    <w:rsid w:val="00BC14FB"/>
    <w:rsid w:val="00BC31FB"/>
    <w:rsid w:val="00BC51E9"/>
    <w:rsid w:val="00BC650E"/>
    <w:rsid w:val="00BD0254"/>
    <w:rsid w:val="00BD3D7B"/>
    <w:rsid w:val="00BE020F"/>
    <w:rsid w:val="00BE0381"/>
    <w:rsid w:val="00BF001D"/>
    <w:rsid w:val="00BF0790"/>
    <w:rsid w:val="00BF1EAD"/>
    <w:rsid w:val="00BF3739"/>
    <w:rsid w:val="00BF5807"/>
    <w:rsid w:val="00C01AA0"/>
    <w:rsid w:val="00C04F07"/>
    <w:rsid w:val="00C05FCC"/>
    <w:rsid w:val="00C06E73"/>
    <w:rsid w:val="00C17B51"/>
    <w:rsid w:val="00C22236"/>
    <w:rsid w:val="00C2429D"/>
    <w:rsid w:val="00C24E76"/>
    <w:rsid w:val="00C277D0"/>
    <w:rsid w:val="00C3140B"/>
    <w:rsid w:val="00C34876"/>
    <w:rsid w:val="00C40F9B"/>
    <w:rsid w:val="00C45FD3"/>
    <w:rsid w:val="00C47263"/>
    <w:rsid w:val="00C54734"/>
    <w:rsid w:val="00C64C9A"/>
    <w:rsid w:val="00C67BDA"/>
    <w:rsid w:val="00C76025"/>
    <w:rsid w:val="00C82B38"/>
    <w:rsid w:val="00C836F3"/>
    <w:rsid w:val="00C912BB"/>
    <w:rsid w:val="00C925AB"/>
    <w:rsid w:val="00C93E53"/>
    <w:rsid w:val="00C95480"/>
    <w:rsid w:val="00CA4DDC"/>
    <w:rsid w:val="00CC0CE0"/>
    <w:rsid w:val="00CC1D29"/>
    <w:rsid w:val="00CC463A"/>
    <w:rsid w:val="00CD06B8"/>
    <w:rsid w:val="00CD265D"/>
    <w:rsid w:val="00CE0908"/>
    <w:rsid w:val="00CE3369"/>
    <w:rsid w:val="00CF4968"/>
    <w:rsid w:val="00CF7A1D"/>
    <w:rsid w:val="00D00EE3"/>
    <w:rsid w:val="00D067D2"/>
    <w:rsid w:val="00D103BD"/>
    <w:rsid w:val="00D12342"/>
    <w:rsid w:val="00D1264C"/>
    <w:rsid w:val="00D24233"/>
    <w:rsid w:val="00D372C1"/>
    <w:rsid w:val="00D455E9"/>
    <w:rsid w:val="00D5440A"/>
    <w:rsid w:val="00D54F2C"/>
    <w:rsid w:val="00D56EF3"/>
    <w:rsid w:val="00D5766F"/>
    <w:rsid w:val="00D62525"/>
    <w:rsid w:val="00D648FA"/>
    <w:rsid w:val="00D65DF8"/>
    <w:rsid w:val="00D71D98"/>
    <w:rsid w:val="00D73465"/>
    <w:rsid w:val="00D76103"/>
    <w:rsid w:val="00D82B46"/>
    <w:rsid w:val="00D836F9"/>
    <w:rsid w:val="00D9059B"/>
    <w:rsid w:val="00D93E7E"/>
    <w:rsid w:val="00DA2B41"/>
    <w:rsid w:val="00DC08AE"/>
    <w:rsid w:val="00DC2AF1"/>
    <w:rsid w:val="00DC4D0D"/>
    <w:rsid w:val="00DC567A"/>
    <w:rsid w:val="00DD04E5"/>
    <w:rsid w:val="00DD19A8"/>
    <w:rsid w:val="00DD3694"/>
    <w:rsid w:val="00DD7DDB"/>
    <w:rsid w:val="00DE437C"/>
    <w:rsid w:val="00DE48F7"/>
    <w:rsid w:val="00DE6F60"/>
    <w:rsid w:val="00DF01E7"/>
    <w:rsid w:val="00DF08AD"/>
    <w:rsid w:val="00E029B5"/>
    <w:rsid w:val="00E036FD"/>
    <w:rsid w:val="00E1051E"/>
    <w:rsid w:val="00E13D94"/>
    <w:rsid w:val="00E179F3"/>
    <w:rsid w:val="00E22F02"/>
    <w:rsid w:val="00E25397"/>
    <w:rsid w:val="00E273DA"/>
    <w:rsid w:val="00E338E8"/>
    <w:rsid w:val="00E4166E"/>
    <w:rsid w:val="00E55A04"/>
    <w:rsid w:val="00E56A10"/>
    <w:rsid w:val="00E60F2D"/>
    <w:rsid w:val="00E633FE"/>
    <w:rsid w:val="00E65BBB"/>
    <w:rsid w:val="00E80EE4"/>
    <w:rsid w:val="00E87CF7"/>
    <w:rsid w:val="00E9405E"/>
    <w:rsid w:val="00EA3B7B"/>
    <w:rsid w:val="00EB36E0"/>
    <w:rsid w:val="00EB6146"/>
    <w:rsid w:val="00EB6DFC"/>
    <w:rsid w:val="00EC54EF"/>
    <w:rsid w:val="00EC76FE"/>
    <w:rsid w:val="00ED53AD"/>
    <w:rsid w:val="00EE228D"/>
    <w:rsid w:val="00EE6C47"/>
    <w:rsid w:val="00EF219A"/>
    <w:rsid w:val="00EF4503"/>
    <w:rsid w:val="00EF520A"/>
    <w:rsid w:val="00EF5ECA"/>
    <w:rsid w:val="00F06407"/>
    <w:rsid w:val="00F14AFC"/>
    <w:rsid w:val="00F16464"/>
    <w:rsid w:val="00F27B6E"/>
    <w:rsid w:val="00F435EA"/>
    <w:rsid w:val="00F46E3B"/>
    <w:rsid w:val="00F57314"/>
    <w:rsid w:val="00F57B2E"/>
    <w:rsid w:val="00F613C6"/>
    <w:rsid w:val="00F63629"/>
    <w:rsid w:val="00F70031"/>
    <w:rsid w:val="00F70746"/>
    <w:rsid w:val="00F713A7"/>
    <w:rsid w:val="00F71CE4"/>
    <w:rsid w:val="00F72AE4"/>
    <w:rsid w:val="00F82D8F"/>
    <w:rsid w:val="00F835CC"/>
    <w:rsid w:val="00F938B2"/>
    <w:rsid w:val="00FA2F85"/>
    <w:rsid w:val="00FA3FDE"/>
    <w:rsid w:val="00FA42C4"/>
    <w:rsid w:val="00FA4EF8"/>
    <w:rsid w:val="00FB27D4"/>
    <w:rsid w:val="00FB3BCB"/>
    <w:rsid w:val="00FC3C36"/>
    <w:rsid w:val="00FD2053"/>
    <w:rsid w:val="00FE2006"/>
    <w:rsid w:val="00FE5094"/>
    <w:rsid w:val="00FE576D"/>
    <w:rsid w:val="00FF1ACF"/>
    <w:rsid w:val="00FF3E4E"/>
    <w:rsid w:val="00FF464B"/>
    <w:rsid w:val="02A22CB4"/>
    <w:rsid w:val="15F83500"/>
    <w:rsid w:val="2E2A6A96"/>
    <w:rsid w:val="2EC67419"/>
    <w:rsid w:val="357447BD"/>
    <w:rsid w:val="38234F59"/>
    <w:rsid w:val="5D012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0"/>
    <w:pPr>
      <w:keepNext/>
      <w:keepLines/>
      <w:spacing w:before="340" w:after="330" w:line="578" w:lineRule="auto"/>
      <w:outlineLvl w:val="0"/>
    </w:pPr>
    <w:rPr>
      <w:rFonts w:ascii="Calibri" w:hAnsi="Calibri"/>
      <w:b/>
      <w:bCs/>
      <w:kern w:val="44"/>
      <w:sz w:val="44"/>
      <w:szCs w:val="44"/>
      <w:lang w:val="zh-CN" w:eastAsia="zh-CN"/>
    </w:rPr>
  </w:style>
  <w:style w:type="paragraph" w:styleId="3">
    <w:name w:val="heading 2"/>
    <w:basedOn w:val="1"/>
    <w:next w:val="1"/>
    <w:link w:val="27"/>
    <w:unhideWhenUsed/>
    <w:qFormat/>
    <w:uiPriority w:val="0"/>
    <w:pPr>
      <w:keepNext/>
      <w:keepLines/>
      <w:outlineLvl w:val="1"/>
    </w:pPr>
    <w:rPr>
      <w:rFonts w:ascii="Cambria" w:hAnsi="Cambria"/>
      <w:b/>
      <w:bCs/>
      <w:sz w:val="32"/>
      <w:szCs w:val="32"/>
      <w:lang w:val="zh-CN" w:eastAsia="zh-CN"/>
    </w:rPr>
  </w:style>
  <w:style w:type="paragraph" w:styleId="4">
    <w:name w:val="heading 3"/>
    <w:basedOn w:val="1"/>
    <w:next w:val="1"/>
    <w:link w:val="29"/>
    <w:semiHidden/>
    <w:unhideWhenUsed/>
    <w:qFormat/>
    <w:uiPriority w:val="0"/>
    <w:pPr>
      <w:keepNext/>
      <w:keepLines/>
      <w:spacing w:before="260" w:after="260" w:line="416" w:lineRule="auto"/>
      <w:outlineLvl w:val="2"/>
    </w:pPr>
    <w:rPr>
      <w:rFonts w:ascii="Calibri" w:hAnsi="Calibri"/>
      <w:b/>
      <w:bCs/>
      <w:sz w:val="32"/>
      <w:szCs w:val="32"/>
      <w:lang w:val="zh-CN" w:eastAsia="zh-CN"/>
    </w:rPr>
  </w:style>
  <w:style w:type="character" w:default="1" w:styleId="18">
    <w:name w:val="Default Paragraph Font"/>
    <w:semiHidden/>
    <w:unhideWhenUsed/>
    <w:qFormat/>
    <w:uiPriority w:val="1"/>
  </w:style>
  <w:style w:type="table" w:default="1" w:styleId="16">
    <w:name w:val="Normal Table"/>
    <w:semiHidden/>
    <w:unhideWhenUsed/>
    <w:uiPriority w:val="99"/>
    <w:tblPr>
      <w:tblLayout w:type="fixed"/>
      <w:tblCellMar>
        <w:top w:w="0" w:type="dxa"/>
        <w:left w:w="108" w:type="dxa"/>
        <w:bottom w:w="0" w:type="dxa"/>
        <w:right w:w="108" w:type="dxa"/>
      </w:tblCellMar>
    </w:tblPr>
  </w:style>
  <w:style w:type="paragraph" w:styleId="5">
    <w:name w:val="Document Map"/>
    <w:basedOn w:val="1"/>
    <w:link w:val="35"/>
    <w:qFormat/>
    <w:uiPriority w:val="0"/>
    <w:rPr>
      <w:rFonts w:ascii="宋体"/>
      <w:sz w:val="18"/>
      <w:szCs w:val="18"/>
      <w:lang w:val="zh-CN" w:eastAsia="zh-CN"/>
    </w:rPr>
  </w:style>
  <w:style w:type="paragraph" w:styleId="6">
    <w:name w:val="Body Text Indent"/>
    <w:basedOn w:val="1"/>
    <w:qFormat/>
    <w:uiPriority w:val="0"/>
    <w:pPr>
      <w:spacing w:line="592" w:lineRule="exact"/>
      <w:ind w:firstLine="640" w:firstLineChars="200"/>
    </w:pPr>
    <w:rPr>
      <w:rFonts w:ascii="仿宋_GB2312" w:eastAsia="仿宋_GB2312"/>
      <w:color w:val="FF0000"/>
      <w:sz w:val="32"/>
      <w:szCs w:val="32"/>
    </w:rPr>
  </w:style>
  <w:style w:type="paragraph" w:styleId="7">
    <w:name w:val="toc 3"/>
    <w:basedOn w:val="1"/>
    <w:next w:val="1"/>
    <w:qFormat/>
    <w:uiPriority w:val="39"/>
    <w:pPr>
      <w:tabs>
        <w:tab w:val="right" w:leader="dot" w:pos="8296"/>
      </w:tabs>
      <w:ind w:left="840" w:leftChars="400"/>
    </w:pPr>
    <w:rPr>
      <w:rFonts w:ascii="宋体" w:hAnsi="宋体" w:cs="Calibri"/>
      <w:kern w:val="0"/>
      <w:sz w:val="20"/>
      <w:szCs w:val="20"/>
    </w:rPr>
  </w:style>
  <w:style w:type="paragraph" w:styleId="8">
    <w:name w:val="Plain Text"/>
    <w:basedOn w:val="1"/>
    <w:link w:val="28"/>
    <w:qFormat/>
    <w:uiPriority w:val="0"/>
    <w:rPr>
      <w:rFonts w:ascii="宋体" w:hAnsi="Courier New"/>
      <w:szCs w:val="20"/>
      <w:lang w:val="zh-CN" w:eastAsia="zh-CN"/>
    </w:rPr>
  </w:style>
  <w:style w:type="paragraph" w:styleId="9">
    <w:name w:val="Date"/>
    <w:basedOn w:val="1"/>
    <w:next w:val="1"/>
    <w:uiPriority w:val="0"/>
    <w:pPr>
      <w:ind w:left="100" w:leftChars="2500"/>
    </w:pPr>
  </w:style>
  <w:style w:type="paragraph" w:styleId="10">
    <w:name w:val="footer"/>
    <w:basedOn w:val="1"/>
    <w:link w:val="31"/>
    <w:qFormat/>
    <w:uiPriority w:val="99"/>
    <w:pPr>
      <w:tabs>
        <w:tab w:val="center" w:pos="4153"/>
        <w:tab w:val="right" w:pos="8306"/>
      </w:tabs>
      <w:snapToGrid w:val="0"/>
      <w:jc w:val="left"/>
    </w:pPr>
    <w:rPr>
      <w:sz w:val="18"/>
      <w:szCs w:val="18"/>
      <w:lang w:val="zh-CN" w:eastAsia="zh-CN"/>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qFormat/>
    <w:uiPriority w:val="39"/>
    <w:pPr>
      <w:tabs>
        <w:tab w:val="right" w:leader="dot" w:pos="8945"/>
      </w:tabs>
      <w:spacing w:line="360" w:lineRule="auto"/>
    </w:pPr>
    <w:rPr>
      <w:rFonts w:ascii="宋体" w:hAnsi="宋体" w:cs="Calibri"/>
      <w:bCs/>
      <w:caps/>
      <w:kern w:val="0"/>
      <w:sz w:val="24"/>
    </w:rPr>
  </w:style>
  <w:style w:type="paragraph" w:styleId="13">
    <w:name w:val="toc 2"/>
    <w:basedOn w:val="1"/>
    <w:next w:val="1"/>
    <w:qFormat/>
    <w:uiPriority w:val="39"/>
    <w:pPr>
      <w:tabs>
        <w:tab w:val="right" w:leader="dot" w:pos="8296"/>
      </w:tabs>
      <w:ind w:left="210"/>
      <w:jc w:val="left"/>
    </w:pPr>
    <w:rPr>
      <w:rFonts w:ascii="宋体" w:hAnsi="宋体" w:cs="Calibri"/>
      <w:smallCaps/>
      <w:kern w:val="0"/>
      <w:szCs w:val="21"/>
    </w:rPr>
  </w:style>
  <w:style w:type="paragraph" w:styleId="14">
    <w:name w:val="Normal (Web)"/>
    <w:basedOn w:val="1"/>
    <w:qFormat/>
    <w:uiPriority w:val="0"/>
    <w:pPr>
      <w:widowControl/>
      <w:spacing w:before="100" w:beforeAutospacing="1" w:after="100" w:afterAutospacing="1" w:line="360" w:lineRule="auto"/>
      <w:ind w:firstLine="200" w:firstLineChars="200"/>
      <w:jc w:val="left"/>
    </w:pPr>
    <w:rPr>
      <w:rFonts w:ascii="宋体" w:hAnsi="宋体" w:cs="宋体"/>
      <w:kern w:val="0"/>
      <w:sz w:val="24"/>
    </w:rPr>
  </w:style>
  <w:style w:type="paragraph" w:styleId="15">
    <w:name w:val="Title"/>
    <w:basedOn w:val="1"/>
    <w:next w:val="1"/>
    <w:link w:val="38"/>
    <w:qFormat/>
    <w:uiPriority w:val="0"/>
    <w:pPr>
      <w:spacing w:before="240" w:after="60"/>
      <w:jc w:val="center"/>
      <w:outlineLvl w:val="0"/>
    </w:pPr>
    <w:rPr>
      <w:rFonts w:ascii="Cambria" w:hAnsi="Cambria"/>
      <w:b/>
      <w:bCs/>
      <w:sz w:val="32"/>
      <w:szCs w:val="32"/>
    </w:rPr>
  </w:style>
  <w:style w:type="table" w:styleId="17">
    <w:name w:val="Table Grid"/>
    <w:basedOn w:val="1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9">
    <w:name w:val="Strong"/>
    <w:qFormat/>
    <w:uiPriority w:val="0"/>
    <w:rPr>
      <w:b/>
      <w:bCs/>
    </w:rPr>
  </w:style>
  <w:style w:type="character" w:styleId="20">
    <w:name w:val="Hyperlink"/>
    <w:qFormat/>
    <w:uiPriority w:val="99"/>
    <w:rPr>
      <w:color w:val="0000FF"/>
      <w:u w:val="single"/>
    </w:rPr>
  </w:style>
  <w:style w:type="paragraph" w:customStyle="1" w:styleId="21">
    <w:name w:val="Char"/>
    <w:basedOn w:val="1"/>
    <w:qFormat/>
    <w:uiPriority w:val="0"/>
    <w:pPr>
      <w:widowControl/>
      <w:spacing w:after="160" w:line="240" w:lineRule="exact"/>
      <w:jc w:val="left"/>
    </w:pPr>
    <w:rPr>
      <w:szCs w:val="20"/>
    </w:rPr>
  </w:style>
  <w:style w:type="paragraph" w:customStyle="1" w:styleId="22">
    <w:name w:val="Default"/>
    <w:uiPriority w:val="99"/>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3">
    <w:name w:val="lj 图表标题"/>
    <w:qFormat/>
    <w:uiPriority w:val="0"/>
    <w:pPr>
      <w:autoSpaceDE w:val="0"/>
      <w:autoSpaceDN w:val="0"/>
      <w:adjustRightInd w:val="0"/>
      <w:spacing w:line="360" w:lineRule="auto"/>
      <w:jc w:val="center"/>
    </w:pPr>
    <w:rPr>
      <w:rFonts w:ascii="Calibri" w:hAnsi="Calibri" w:eastAsia="宋体" w:cs="宋体"/>
      <w:sz w:val="21"/>
      <w:szCs w:val="24"/>
      <w:lang w:val="en-US" w:eastAsia="zh-CN" w:bidi="ar-SA"/>
    </w:rPr>
  </w:style>
  <w:style w:type="character" w:customStyle="1" w:styleId="24">
    <w:name w:val="标题 1 字符"/>
    <w:link w:val="2"/>
    <w:qFormat/>
    <w:uiPriority w:val="0"/>
    <w:rPr>
      <w:rFonts w:ascii="Calibri" w:hAnsi="Calibri" w:cs="Calibri"/>
      <w:b/>
      <w:bCs/>
      <w:kern w:val="44"/>
      <w:sz w:val="44"/>
      <w:szCs w:val="44"/>
    </w:rPr>
  </w:style>
  <w:style w:type="paragraph" w:customStyle="1" w:styleId="25">
    <w:name w:val="lj正文"/>
    <w:qFormat/>
    <w:uiPriority w:val="0"/>
    <w:pPr>
      <w:spacing w:line="360" w:lineRule="auto"/>
      <w:ind w:firstLine="200" w:firstLineChars="200"/>
    </w:pPr>
    <w:rPr>
      <w:rFonts w:ascii="宋体" w:hAnsi="宋体" w:eastAsia="宋体" w:cs="Times New Roman"/>
      <w:color w:val="000000"/>
      <w:sz w:val="24"/>
      <w:szCs w:val="24"/>
      <w:shd w:val="clear" w:color="auto" w:fill="FFFFFF"/>
      <w:lang w:val="en-US" w:eastAsia="zh-CN" w:bidi="ar-SA"/>
    </w:rPr>
  </w:style>
  <w:style w:type="character" w:customStyle="1" w:styleId="26">
    <w:name w:val="Font Style51"/>
    <w:qFormat/>
    <w:uiPriority w:val="0"/>
    <w:rPr>
      <w:rFonts w:ascii="宋体" w:eastAsia="宋体" w:cs="宋体"/>
      <w:sz w:val="22"/>
      <w:szCs w:val="22"/>
    </w:rPr>
  </w:style>
  <w:style w:type="character" w:customStyle="1" w:styleId="27">
    <w:name w:val="标题 2 字符"/>
    <w:link w:val="3"/>
    <w:qFormat/>
    <w:uiPriority w:val="0"/>
    <w:rPr>
      <w:rFonts w:ascii="Cambria" w:hAnsi="Cambria"/>
      <w:b/>
      <w:bCs/>
      <w:kern w:val="2"/>
      <w:sz w:val="32"/>
      <w:szCs w:val="32"/>
      <w:lang w:val="zh-CN" w:eastAsia="zh-CN"/>
    </w:rPr>
  </w:style>
  <w:style w:type="character" w:customStyle="1" w:styleId="28">
    <w:name w:val="纯文本 字符"/>
    <w:link w:val="8"/>
    <w:qFormat/>
    <w:uiPriority w:val="0"/>
    <w:rPr>
      <w:rFonts w:ascii="宋体" w:hAnsi="Courier New"/>
      <w:kern w:val="2"/>
      <w:sz w:val="21"/>
    </w:rPr>
  </w:style>
  <w:style w:type="character" w:customStyle="1" w:styleId="29">
    <w:name w:val="标题 3 字符"/>
    <w:link w:val="4"/>
    <w:semiHidden/>
    <w:qFormat/>
    <w:uiPriority w:val="0"/>
    <w:rPr>
      <w:rFonts w:ascii="Calibri" w:hAnsi="Calibri" w:cs="Calibri"/>
      <w:b/>
      <w:bCs/>
      <w:kern w:val="2"/>
      <w:sz w:val="32"/>
      <w:szCs w:val="32"/>
    </w:rPr>
  </w:style>
  <w:style w:type="character" w:customStyle="1" w:styleId="30">
    <w:name w:val="style71"/>
    <w:qFormat/>
    <w:uiPriority w:val="0"/>
    <w:rPr>
      <w:rFonts w:cs="Times New Roman"/>
      <w:b/>
      <w:bCs/>
    </w:rPr>
  </w:style>
  <w:style w:type="character" w:customStyle="1" w:styleId="31">
    <w:name w:val="页脚 字符"/>
    <w:link w:val="10"/>
    <w:qFormat/>
    <w:uiPriority w:val="99"/>
    <w:rPr>
      <w:kern w:val="2"/>
      <w:sz w:val="18"/>
      <w:szCs w:val="18"/>
    </w:rPr>
  </w:style>
  <w:style w:type="character" w:customStyle="1" w:styleId="32">
    <w:name w:val="Font Style52"/>
    <w:qFormat/>
    <w:uiPriority w:val="0"/>
    <w:rPr>
      <w:rFonts w:ascii="Times New Roman" w:hAnsi="Times New Roman" w:cs="Times New Roman"/>
      <w:sz w:val="20"/>
      <w:szCs w:val="20"/>
    </w:rPr>
  </w:style>
  <w:style w:type="character" w:customStyle="1" w:styleId="33">
    <w:name w:val="style101"/>
    <w:qFormat/>
    <w:uiPriority w:val="0"/>
    <w:rPr>
      <w:rFonts w:cs="Times New Roman"/>
      <w:b/>
      <w:bCs/>
      <w:sz w:val="27"/>
      <w:szCs w:val="27"/>
    </w:rPr>
  </w:style>
  <w:style w:type="paragraph" w:customStyle="1" w:styleId="34">
    <w:name w:val="CM11"/>
    <w:basedOn w:val="22"/>
    <w:next w:val="22"/>
    <w:qFormat/>
    <w:uiPriority w:val="99"/>
    <w:rPr>
      <w:rFonts w:ascii="宋体" w:hAnsi="Calibri"/>
      <w:color w:val="auto"/>
    </w:rPr>
  </w:style>
  <w:style w:type="character" w:customStyle="1" w:styleId="35">
    <w:name w:val="文档结构图 字符"/>
    <w:link w:val="5"/>
    <w:uiPriority w:val="0"/>
    <w:rPr>
      <w:rFonts w:ascii="宋体"/>
      <w:kern w:val="2"/>
      <w:sz w:val="18"/>
      <w:szCs w:val="18"/>
    </w:rPr>
  </w:style>
  <w:style w:type="paragraph" w:customStyle="1" w:styleId="36">
    <w:name w:val="CM7"/>
    <w:basedOn w:val="22"/>
    <w:next w:val="22"/>
    <w:qFormat/>
    <w:uiPriority w:val="99"/>
    <w:pPr>
      <w:spacing w:line="468" w:lineRule="atLeast"/>
    </w:pPr>
    <w:rPr>
      <w:rFonts w:ascii="宋体" w:hAnsi="Calibri"/>
      <w:color w:val="auto"/>
    </w:rPr>
  </w:style>
  <w:style w:type="paragraph" w:customStyle="1" w:styleId="37">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38">
    <w:name w:val="标题 字符"/>
    <w:link w:val="15"/>
    <w:qFormat/>
    <w:uiPriority w:val="0"/>
    <w:rPr>
      <w:rFonts w:ascii="Cambria" w:hAnsi="Cambria" w:cs="Times New Roman"/>
      <w:b/>
      <w:bCs/>
      <w:kern w:val="2"/>
      <w:sz w:val="32"/>
      <w:szCs w:val="32"/>
    </w:rPr>
  </w:style>
  <w:style w:type="paragraph" w:customStyle="1" w:styleId="39">
    <w:name w:val="TOC Heading"/>
    <w:basedOn w:val="2"/>
    <w:next w:val="1"/>
    <w:unhideWhenUsed/>
    <w:qFormat/>
    <w:uiPriority w:val="39"/>
    <w:pPr>
      <w:widowControl/>
      <w:spacing w:before="240" w:after="0" w:line="259" w:lineRule="auto"/>
      <w:jc w:val="left"/>
      <w:outlineLvl w:val="9"/>
    </w:pPr>
    <w:rPr>
      <w:rFonts w:ascii="Calibri Light" w:hAnsi="Calibri Light"/>
      <w:b w:val="0"/>
      <w:bCs w:val="0"/>
      <w:color w:val="2E74B5"/>
      <w:kern w:val="0"/>
      <w:sz w:val="32"/>
      <w:szCs w:val="3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EE8A34-92F2-4A0B-842A-7022AE7E8B73}">
  <ds:schemaRefs/>
</ds:datastoreItem>
</file>

<file path=docProps/app.xml><?xml version="1.0" encoding="utf-8"?>
<Properties xmlns="http://schemas.openxmlformats.org/officeDocument/2006/extended-properties" xmlns:vt="http://schemas.openxmlformats.org/officeDocument/2006/docPropsVTypes">
  <Template>Normal</Template>
  <Company>BB</Company>
  <Pages>9</Pages>
  <Words>630</Words>
  <Characters>3594</Characters>
  <Lines>29</Lines>
  <Paragraphs>8</Paragraphs>
  <TotalTime>0</TotalTime>
  <ScaleCrop>false</ScaleCrop>
  <LinksUpToDate>false</LinksUpToDate>
  <CharactersWithSpaces>4216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2018-08-13T05:19:00Z</dcterms:created>
  <dc:creator>aa</dc:creator>
  <cp:lastModifiedBy>_ 李漂亮 _</cp:lastModifiedBy>
  <cp:lastPrinted>2018-08-17T05:43:00Z</cp:lastPrinted>
  <dcterms:modified xsi:type="dcterms:W3CDTF">2019-06-30T08:59:27Z</dcterms:modified>
  <dc:title>附录一　　高层建筑日照分析规则</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