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21796" w:type="dxa"/>
        <w:tblInd w:w="480" w:type="dxa"/>
        <w:tblLayout w:type="fixed"/>
        <w:tblCellMar>
          <w:top w:w="0" w:type="dxa"/>
          <w:left w:w="108" w:type="dxa"/>
          <w:bottom w:w="0" w:type="dxa"/>
          <w:right w:w="108" w:type="dxa"/>
        </w:tblCellMar>
      </w:tblPr>
      <w:tblGrid>
        <w:gridCol w:w="469"/>
        <w:gridCol w:w="4457"/>
        <w:gridCol w:w="427"/>
        <w:gridCol w:w="992"/>
        <w:gridCol w:w="1276"/>
        <w:gridCol w:w="1701"/>
        <w:gridCol w:w="1645"/>
        <w:gridCol w:w="766"/>
        <w:gridCol w:w="991"/>
        <w:gridCol w:w="2126"/>
        <w:gridCol w:w="426"/>
        <w:gridCol w:w="425"/>
        <w:gridCol w:w="850"/>
        <w:gridCol w:w="236"/>
        <w:gridCol w:w="1749"/>
        <w:gridCol w:w="2693"/>
        <w:gridCol w:w="567"/>
      </w:tblGrid>
      <w:tr>
        <w:tblPrEx>
          <w:tblLayout w:type="fixed"/>
          <w:tblCellMar>
            <w:top w:w="0" w:type="dxa"/>
            <w:left w:w="108" w:type="dxa"/>
            <w:bottom w:w="0" w:type="dxa"/>
            <w:right w:w="108" w:type="dxa"/>
          </w:tblCellMar>
        </w:tblPrEx>
        <w:trPr>
          <w:trHeight w:val="330" w:hRule="atLeast"/>
        </w:trPr>
        <w:tc>
          <w:tcPr>
            <w:tcW w:w="21796" w:type="dxa"/>
            <w:gridSpan w:val="17"/>
            <w:tcBorders>
              <w:top w:val="nil"/>
              <w:left w:val="nil"/>
              <w:bottom w:val="nil"/>
              <w:right w:val="nil"/>
            </w:tcBorders>
            <w:vAlign w:val="center"/>
          </w:tcPr>
          <w:p>
            <w:pPr>
              <w:widowControl/>
              <w:spacing w:line="288" w:lineRule="auto"/>
              <w:jc w:val="left"/>
              <w:rPr>
                <w:rFonts w:ascii="宋体" w:hAnsi="宋体" w:cs="宋体"/>
                <w:kern w:val="0"/>
                <w:sz w:val="18"/>
                <w:szCs w:val="18"/>
                <w:u w:val="single"/>
              </w:rPr>
            </w:pPr>
            <w:r>
              <w:pict>
                <v:shape id="Text Box 3" o:spid="_x0000_s1027" o:spt="202" type="#_x0000_t202" style="position:absolute;left:0pt;margin-left:0pt;margin-top:-49.25pt;height:44.45pt;width:909.55pt;z-index:-25165824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">
                  <v:path/>
                  <v:fill focussize="0,0"/>
                  <v:stroke on="f" joinstyle="miter"/>
                  <v:imagedata o:title=""/>
                  <o:lock v:ext="edit"/>
                  <v:textbox>
                    <w:txbxContent>
                      <w:p>
                        <w:pPr>
                          <w:jc w:val="center"/>
                          <w:rPr>
                            <w:rFonts w:ascii="方正小标宋简体" w:eastAsia="方正小标宋简体"/>
                            <w:sz w:val="36"/>
                            <w:szCs w:val="36"/>
                          </w:rPr>
                        </w:pPr>
                        <w:r>
                          <w:rPr>
                            <w:rFonts w:hint="eastAsia" w:ascii="方正小标宋简体" w:eastAsia="方正小标宋简体" w:cs="方正小标宋简体"/>
                            <w:sz w:val="36"/>
                            <w:szCs w:val="36"/>
                            <w:lang w:bidi="ar"/>
                          </w:rPr>
                          <w:t xml:space="preserve"> </w:t>
                        </w:r>
                        <w:r>
                          <w:rPr>
                            <w:rFonts w:ascii="方正小标宋简体" w:eastAsia="方正小标宋简体" w:cs="方正小标宋简体"/>
                            <w:sz w:val="36"/>
                            <w:szCs w:val="36"/>
                            <w:lang w:bidi="ar"/>
                          </w:rPr>
                          <w:t xml:space="preserve"> </w:t>
                        </w:r>
                        <w:r>
                          <w:rPr>
                            <w:rFonts w:hint="eastAsia" w:ascii="方正小标宋简体" w:eastAsia="方正小标宋简体"/>
                            <w:sz w:val="36"/>
                            <w:szCs w:val="36"/>
                            <w:lang w:val="zh-CN"/>
                          </w:rPr>
                          <w:t xml:space="preserve"> </w:t>
                        </w:r>
                        <w:r>
                          <w:rPr>
                            <w:rFonts w:hint="eastAsia" w:ascii="方正小标宋简体" w:eastAsia="方正小标宋简体"/>
                            <w:sz w:val="36"/>
                            <w:szCs w:val="36"/>
                            <w:lang w:val="en-US" w:eastAsia="zh-CN"/>
                          </w:rPr>
                          <w:t>溪南中心小学新建教学楼工程</w:t>
                        </w:r>
                        <w:r>
                          <w:rPr>
                            <w:rFonts w:hint="eastAsia" w:ascii="方正小标宋简体" w:eastAsia="方正小标宋简体"/>
                            <w:sz w:val="36"/>
                            <w:szCs w:val="36"/>
                            <w:lang w:val="zh-CN"/>
                          </w:rPr>
                          <w:t>绿色建筑设计审查与施工验收登记表</w:t>
                        </w:r>
                      </w:p>
                    </w:txbxContent>
                  </v:textbox>
                </v:shape>
              </w:pict>
            </w:r>
            <w:r>
              <w:pict>
                <v:shape id="Text Box 2" o:spid="_x0000_s1026" o:spt="202" type="#_x0000_t202" style="position:absolute;left:0pt;margin-left:822.9pt;margin-top:-20pt;height:23.35pt;width:266.6pt;z-index:25165721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">
                  <v:path/>
                  <v:fill focussize="0,0"/>
                  <v:stroke on="f" joinstyle="miter"/>
                  <v:imagedata o:title=""/>
                  <o:lock v:ext="edit"/>
                  <v:textbox>
                    <w:txbxContent>
                      <w:p>
                        <w:pPr>
                          <w:rPr>
                            <w:sz w:val="18"/>
                            <w:szCs w:val="18"/>
                          </w:rPr>
                        </w:pPr>
                        <w:r>
                          <w:rPr>
                            <w:rFonts w:hint="eastAsia"/>
                            <w:sz w:val="18"/>
                            <w:szCs w:val="18"/>
                          </w:rPr>
                          <w:t>节能备案编号：</w:t>
                        </w:r>
                        <w:r>
                          <w:rPr>
                            <w:rFonts w:hint="eastAsia"/>
                            <w:sz w:val="18"/>
                            <w:szCs w:val="18"/>
                            <w:u w:val="single"/>
                          </w:rPr>
                          <w:t>（完成节能备案网上咨询，窗口盖章确认时填写）</w:t>
                        </w:r>
                      </w:p>
                    </w:txbxContent>
                  </v:textbox>
                </v:shape>
              </w:pict>
            </w:r>
            <w:r>
              <w:rPr>
                <w:rFonts w:hint="eastAsia" w:ascii="宋体" w:hAnsi="宋体" w:cs="宋体"/>
                <w:kern w:val="0"/>
                <w:sz w:val="18"/>
                <w:szCs w:val="18"/>
              </w:rPr>
              <w:t>工程名称</w:t>
            </w:r>
            <w:r>
              <w:rPr>
                <w:rFonts w:ascii="宋体" w:hAnsi="宋体" w:cs="宋体"/>
                <w:kern w:val="0"/>
                <w:sz w:val="18"/>
                <w:szCs w:val="18"/>
              </w:rPr>
              <w:t>:</w:t>
            </w:r>
            <w:r>
              <w:rPr>
                <w:rFonts w:hint="eastAsia"/>
              </w:rPr>
              <w:t xml:space="preserve"> </w:t>
            </w:r>
            <w:r>
              <w:rPr>
                <w:rFonts w:hint="eastAsia" w:ascii="宋体" w:hAnsi="宋体" w:cs="宋体"/>
                <w:kern w:val="0"/>
                <w:sz w:val="18"/>
                <w:szCs w:val="18"/>
                <w:u w:val="single"/>
                <w:lang w:val="en-US" w:eastAsia="zh-CN"/>
              </w:rPr>
              <w:t>溪南中心小学新建教学楼工程</w:t>
            </w:r>
            <w:r>
              <w:rPr>
                <w:rFonts w:hint="eastAsia" w:ascii="宋体" w:hAnsi="宋体" w:cs="宋体"/>
                <w:kern w:val="0"/>
                <w:sz w:val="18"/>
                <w:szCs w:val="18"/>
              </w:rPr>
              <w:t>　建筑类型：居住□公建■　商住□建筑面积：地上</w:t>
            </w:r>
            <w:r>
              <w:rPr>
                <w:rFonts w:hint="eastAsia" w:ascii="宋体" w:hAnsi="宋体" w:cs="宋体"/>
                <w:kern w:val="0"/>
                <w:sz w:val="18"/>
                <w:szCs w:val="18"/>
                <w:u w:val="single"/>
                <w:lang w:val="en-US" w:eastAsia="zh-CN"/>
              </w:rPr>
              <w:t>2248.55</w:t>
            </w:r>
            <w:r>
              <w:rPr>
                <w:rFonts w:ascii="宋体" w:hAnsi="宋体" w:cs="宋体"/>
                <w:kern w:val="0"/>
                <w:sz w:val="18"/>
                <w:szCs w:val="18"/>
              </w:rPr>
              <w:t xml:space="preserve"> </w:t>
            </w:r>
            <w:r>
              <w:rPr>
                <w:rFonts w:hint="eastAsia" w:ascii="宋体" w:hAnsi="宋体" w:cs="宋体"/>
                <w:kern w:val="0"/>
                <w:sz w:val="18"/>
                <w:szCs w:val="18"/>
              </w:rPr>
              <w:t>㎡，地下</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0.00</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层数</w:t>
            </w:r>
            <w:r>
              <w:rPr>
                <w:rFonts w:hint="eastAsia" w:ascii="宋体" w:hAnsi="宋体" w:cs="宋体"/>
                <w:kern w:val="0"/>
                <w:sz w:val="18"/>
                <w:szCs w:val="18"/>
                <w:u w:val="single"/>
              </w:rPr>
              <w:t>：</w:t>
            </w:r>
            <w:r>
              <w:rPr>
                <w:rFonts w:hint="eastAsia" w:ascii="宋体" w:hAnsi="宋体" w:cs="宋体"/>
                <w:kern w:val="0"/>
                <w:sz w:val="18"/>
                <w:szCs w:val="18"/>
                <w:u w:val="single"/>
                <w:lang w:val="en-US" w:eastAsia="zh-CN"/>
              </w:rPr>
              <w:t>3</w:t>
            </w:r>
            <w:r>
              <w:rPr>
                <w:rFonts w:hint="eastAsia" w:ascii="宋体" w:hAnsi="宋体" w:cs="宋体"/>
                <w:kern w:val="0"/>
                <w:sz w:val="18"/>
                <w:szCs w:val="18"/>
                <w:u w:val="single"/>
              </w:rPr>
              <w:t xml:space="preserve"> </w:t>
            </w:r>
            <w:r>
              <w:rPr>
                <w:rFonts w:hint="eastAsia" w:ascii="宋体" w:hAnsi="宋体" w:cs="宋体"/>
                <w:kern w:val="0"/>
                <w:sz w:val="18"/>
                <w:szCs w:val="18"/>
              </w:rPr>
              <w:t xml:space="preserve"> </w:t>
            </w:r>
            <w:r>
              <w:rPr>
                <w:rFonts w:hint="eastAsia" w:ascii="宋体" w:hAnsi="宋体" w:cs="宋体"/>
                <w:kern w:val="0"/>
                <w:sz w:val="18"/>
                <w:szCs w:val="18"/>
                <w:u w:val="single"/>
              </w:rPr>
              <w:t>高度：</w:t>
            </w:r>
            <w:r>
              <w:rPr>
                <w:rFonts w:hint="eastAsia" w:ascii="宋体" w:hAnsi="宋体" w:cs="宋体"/>
                <w:kern w:val="0"/>
                <w:sz w:val="18"/>
                <w:szCs w:val="18"/>
                <w:u w:val="single"/>
                <w:lang w:val="en-US" w:eastAsia="zh-CN"/>
              </w:rPr>
              <w:t>11.85</w:t>
            </w:r>
            <w:bookmarkStart w:id="0" w:name="_GoBack"/>
            <w:bookmarkEnd w:id="0"/>
            <w:r>
              <w:rPr>
                <w:rFonts w:ascii="宋体" w:hAnsi="宋体" w:cs="宋体"/>
                <w:kern w:val="0"/>
                <w:sz w:val="18"/>
                <w:szCs w:val="18"/>
                <w:u w:val="single"/>
              </w:rPr>
              <w:t xml:space="preserve"> </w:t>
            </w:r>
            <w:r>
              <w:rPr>
                <w:rFonts w:ascii="宋体" w:hAnsi="宋体" w:cs="宋体"/>
                <w:kern w:val="0"/>
                <w:sz w:val="18"/>
                <w:szCs w:val="18"/>
              </w:rPr>
              <w:t>m</w:t>
            </w:r>
            <w:r>
              <w:rPr>
                <w:rFonts w:hint="eastAsia" w:ascii="宋体" w:hAnsi="宋体" w:cs="宋体"/>
                <w:kern w:val="0"/>
                <w:sz w:val="18"/>
                <w:szCs w:val="18"/>
              </w:rPr>
              <w:t>　绿色建筑建设目标：国标一星级■</w:t>
            </w:r>
            <w:r>
              <w:rPr>
                <w:rFonts w:ascii="宋体" w:hAnsi="宋体" w:cs="宋体"/>
                <w:kern w:val="0"/>
                <w:sz w:val="18"/>
                <w:szCs w:val="18"/>
              </w:rPr>
              <w:t xml:space="preserve"> </w:t>
            </w:r>
            <w:r>
              <w:rPr>
                <w:rFonts w:hint="eastAsia" w:ascii="宋体" w:hAnsi="宋体" w:cs="宋体"/>
                <w:kern w:val="0"/>
                <w:sz w:val="18"/>
                <w:szCs w:val="18"/>
              </w:rPr>
              <w:t>国标二星级□</w:t>
            </w:r>
            <w:r>
              <w:rPr>
                <w:rFonts w:ascii="宋体" w:hAnsi="宋体" w:cs="宋体"/>
                <w:kern w:val="0"/>
                <w:sz w:val="18"/>
                <w:szCs w:val="18"/>
              </w:rPr>
              <w:t xml:space="preserve"> </w:t>
            </w:r>
            <w:r>
              <w:rPr>
                <w:rFonts w:hint="eastAsia" w:ascii="宋体" w:hAnsi="宋体" w:cs="宋体"/>
                <w:kern w:val="0"/>
                <w:sz w:val="18"/>
                <w:szCs w:val="18"/>
              </w:rPr>
              <w:t>国标三星级□</w:t>
            </w:r>
          </w:p>
        </w:tc>
      </w:tr>
      <w:tr>
        <w:tblPrEx>
          <w:tblLayout w:type="fixed"/>
          <w:tblCellMar>
            <w:top w:w="0" w:type="dxa"/>
            <w:left w:w="108" w:type="dxa"/>
            <w:bottom w:w="0" w:type="dxa"/>
            <w:right w:w="108" w:type="dxa"/>
          </w:tblCellMar>
        </w:tblPrEx>
        <w:trPr>
          <w:trHeight w:val="375" w:hRule="atLeast"/>
        </w:trPr>
        <w:tc>
          <w:tcPr>
            <w:tcW w:w="16551" w:type="dxa"/>
            <w:gridSpan w:val="13"/>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20"/>
                <w:szCs w:val="20"/>
              </w:rPr>
            </w:pPr>
            <w:r>
              <w:rPr>
                <w:rFonts w:hint="eastAsia" w:ascii="黑体" w:hAnsi="黑体" w:eastAsia="黑体" w:cs="宋体"/>
                <w:b/>
                <w:bCs/>
                <w:kern w:val="0"/>
                <w:sz w:val="20"/>
                <w:szCs w:val="20"/>
              </w:rPr>
              <w:t>绿色建筑设计审查情况</w:t>
            </w:r>
          </w:p>
        </w:tc>
        <w:tc>
          <w:tcPr>
            <w:tcW w:w="236" w:type="dxa"/>
            <w:vMerge w:val="restart"/>
            <w:tcBorders>
              <w:top w:val="nil"/>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r>
              <w:rPr>
                <w:rFonts w:ascii="黑体" w:hAnsi="黑体" w:eastAsia="黑体" w:cs="宋体"/>
                <w:b/>
                <w:bCs/>
                <w:kern w:val="0"/>
                <w:sz w:val="20"/>
                <w:szCs w:val="20"/>
              </w:rPr>
              <w:t xml:space="preserve"> </w:t>
            </w:r>
            <w:r>
              <w:rPr>
                <w:rFonts w:hint="eastAsia" w:ascii="黑体" w:hAnsi="黑体" w:eastAsia="黑体" w:cs="宋体"/>
                <w:b/>
                <w:bCs/>
                <w:kern w:val="0"/>
                <w:sz w:val="20"/>
                <w:szCs w:val="20"/>
              </w:rPr>
              <w:t>　</w:t>
            </w: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20"/>
                <w:szCs w:val="20"/>
              </w:rPr>
            </w:pPr>
            <w:r>
              <w:rPr>
                <w:rFonts w:hint="eastAsia" w:ascii="黑体" w:hAnsi="黑体" w:eastAsia="黑体" w:cs="宋体"/>
                <w:b/>
                <w:bCs/>
                <w:kern w:val="0"/>
                <w:sz w:val="20"/>
                <w:szCs w:val="20"/>
              </w:rPr>
              <w:t>绿色建筑施工验况</w:t>
            </w:r>
          </w:p>
        </w:tc>
      </w:tr>
      <w:tr>
        <w:tblPrEx>
          <w:tblLayout w:type="fixed"/>
          <w:tblCellMar>
            <w:top w:w="0" w:type="dxa"/>
            <w:left w:w="108" w:type="dxa"/>
            <w:bottom w:w="0" w:type="dxa"/>
            <w:right w:w="108" w:type="dxa"/>
          </w:tblCellMar>
        </w:tblPrEx>
        <w:trPr>
          <w:trHeight w:val="397" w:hRule="exact"/>
        </w:trPr>
        <w:tc>
          <w:tcPr>
            <w:tcW w:w="16551" w:type="dxa"/>
            <w:gridSpan w:val="13"/>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Cs w:val="21"/>
              </w:rPr>
            </w:pPr>
            <w:r>
              <w:rPr>
                <w:rFonts w:hint="eastAsia" w:ascii="黑体" w:hAnsi="黑体" w:eastAsia="黑体" w:cs="宋体"/>
                <w:kern w:val="0"/>
                <w:szCs w:val="21"/>
              </w:rPr>
              <w:t>一、节地与室外环境（设计参评总分：</w:t>
            </w:r>
            <w:r>
              <w:rPr>
                <w:rFonts w:ascii="黑体" w:hAnsi="黑体" w:eastAsia="黑体" w:cs="宋体"/>
                <w:kern w:val="0"/>
                <w:szCs w:val="21"/>
              </w:rPr>
              <w:t xml:space="preserve">100  </w:t>
            </w:r>
            <w:r>
              <w:rPr>
                <w:rFonts w:hint="eastAsia" w:ascii="黑体" w:hAnsi="黑体" w:eastAsia="黑体" w:cs="宋体"/>
                <w:kern w:val="0"/>
                <w:szCs w:val="21"/>
              </w:rPr>
              <w:t>本项目实际参评总分：</w:t>
            </w:r>
            <w:r>
              <w:rPr>
                <w:rFonts w:hint="eastAsia" w:ascii="黑体" w:hAnsi="黑体" w:eastAsia="黑体" w:cs="宋体"/>
                <w:kern w:val="0"/>
                <w:szCs w:val="21"/>
                <w:lang w:val="en-US" w:eastAsia="zh-CN"/>
              </w:rPr>
              <w:t>100</w:t>
            </w:r>
            <w:r>
              <w:rPr>
                <w:rFonts w:ascii="黑体" w:hAnsi="黑体" w:eastAsia="黑体" w:cs="宋体"/>
                <w:kern w:val="0"/>
                <w:szCs w:val="21"/>
              </w:rPr>
              <w:t xml:space="preserve">      </w:t>
            </w:r>
            <w:r>
              <w:rPr>
                <w:rFonts w:hint="eastAsia" w:ascii="黑体" w:hAnsi="黑体" w:eastAsia="黑体" w:cs="宋体"/>
                <w:kern w:val="0"/>
                <w:szCs w:val="21"/>
              </w:rPr>
              <w:t>本项目实际得分：</w:t>
            </w:r>
            <w:r>
              <w:rPr>
                <w:rFonts w:hint="eastAsia" w:ascii="黑体" w:hAnsi="黑体" w:eastAsia="黑体" w:cs="宋体"/>
                <w:kern w:val="0"/>
                <w:szCs w:val="21"/>
                <w:lang w:val="en-US" w:eastAsia="zh-CN"/>
              </w:rPr>
              <w:t>41</w:t>
            </w:r>
            <w:r>
              <w:rPr>
                <w:rFonts w:hint="eastAsia" w:ascii="黑体" w:hAnsi="黑体" w:eastAsia="黑体" w:cs="宋体"/>
                <w:kern w:val="0"/>
                <w:szCs w:val="21"/>
              </w:rPr>
              <w:t>　　本项目计算得分：</w:t>
            </w:r>
            <w:r>
              <w:rPr>
                <w:rFonts w:hint="eastAsia" w:ascii="黑体" w:hAnsi="黑体" w:eastAsia="黑体" w:cs="宋体"/>
                <w:kern w:val="0"/>
                <w:szCs w:val="21"/>
                <w:lang w:val="en-US" w:eastAsia="zh-CN"/>
              </w:rPr>
              <w:t>41</w:t>
            </w:r>
            <w:r>
              <w:rPr>
                <w:rFonts w:hint="eastAsia" w:ascii="黑体" w:hAnsi="黑体" w:eastAsia="黑体" w:cs="宋体"/>
                <w:kern w:val="0"/>
                <w:szCs w:val="21"/>
              </w:rPr>
              <w:t>）</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Cs w:val="21"/>
              </w:rPr>
            </w:pP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一、节地与室外环境</w:t>
            </w:r>
          </w:p>
        </w:tc>
      </w:tr>
      <w:tr>
        <w:tblPrEx>
          <w:tblLayout w:type="fixed"/>
          <w:tblCellMar>
            <w:top w:w="0" w:type="dxa"/>
            <w:left w:w="108" w:type="dxa"/>
            <w:bottom w:w="0" w:type="dxa"/>
            <w:right w:w="108" w:type="dxa"/>
          </w:tblCellMar>
        </w:tblPrEx>
        <w:trPr>
          <w:trHeight w:val="345" w:hRule="atLeas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国标条文</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设计内容（指标）</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设计表达方式　</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得分</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备注</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验收方法</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b/>
                <w:bCs/>
                <w:kern w:val="0"/>
                <w:sz w:val="18"/>
                <w:szCs w:val="18"/>
              </w:rPr>
            </w:pPr>
            <w:r>
              <w:rPr>
                <w:rFonts w:hint="eastAsia" w:ascii="黑体" w:hAnsi="黑体" w:eastAsia="黑体" w:cs="宋体"/>
                <w:b/>
                <w:bCs/>
                <w:kern w:val="0"/>
                <w:sz w:val="18"/>
                <w:szCs w:val="18"/>
              </w:rPr>
              <w:t>结论</w:t>
            </w:r>
          </w:p>
        </w:tc>
      </w:tr>
      <w:tr>
        <w:tblPrEx>
          <w:tblLayout w:type="fixed"/>
          <w:tblCellMar>
            <w:top w:w="0" w:type="dxa"/>
            <w:left w:w="108" w:type="dxa"/>
            <w:bottom w:w="0" w:type="dxa"/>
            <w:right w:w="108" w:type="dxa"/>
          </w:tblCellMar>
        </w:tblPrEx>
        <w:trPr>
          <w:trHeight w:val="1481" w:hRule="exact"/>
        </w:trPr>
        <w:tc>
          <w:tcPr>
            <w:tcW w:w="469" w:type="dxa"/>
            <w:vMerge w:val="restart"/>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规划</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4.1.1 </w:t>
            </w:r>
            <w:r>
              <w:rPr>
                <w:rFonts w:hint="eastAsia" w:ascii="宋体" w:hAnsi="宋体" w:cs="宋体"/>
                <w:kern w:val="0"/>
                <w:sz w:val="18"/>
                <w:szCs w:val="18"/>
              </w:rPr>
              <w:t>项目选址应符合所在地城乡规划，且应符合各类保护区、文物古迹保护的建设控制要求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lang w:val="en-US" w:eastAsia="zh-CN"/>
              </w:rPr>
              <w:t>本项目位于广东省汕头市澄海区。用地范围内无其他野生植物；目前基地现状较为平坦，基地范围内无需保留建构筑物和树木等。施工场地不涉及自然历史遗产、自然保护区、风景名胜区、基本农田保护区等敏感区，没有特别受保护的生境、生物区系及水产资源。</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环评报告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4.1.2</w:t>
            </w:r>
            <w:r>
              <w:rPr>
                <w:rFonts w:hint="eastAsia" w:ascii="宋体" w:hAnsi="宋体" w:cs="宋体"/>
                <w:kern w:val="0"/>
                <w:sz w:val="18"/>
                <w:szCs w:val="18"/>
              </w:rPr>
              <w:t>场地应无自然灾害的威胁，无危险化学品、易燃易爆危险源的威胁，无电磁辐射、含氡土壤等危害</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场地选址无洪涝灾害、泥石流及含氡土壤的威胁，建筑场地安全范围内无危险源</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环评报告；土壤氡检测报告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2216"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4.1.3</w:t>
            </w:r>
            <w:r>
              <w:rPr>
                <w:rFonts w:hint="eastAsia" w:ascii="宋体" w:hAnsi="宋体" w:cs="宋体"/>
                <w:kern w:val="0"/>
                <w:sz w:val="18"/>
                <w:szCs w:val="18"/>
              </w:rPr>
              <w:t>场地内不应有排放超标的污染源</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s="宋体"/>
                <w:kern w:val="0"/>
                <w:sz w:val="18"/>
                <w:szCs w:val="18"/>
                <w:lang w:val="en-US" w:eastAsia="zh-CN"/>
              </w:rPr>
            </w:pPr>
            <w:r>
              <w:rPr>
                <w:rFonts w:hint="eastAsia" w:ascii="宋体" w:hAnsi="宋体" w:cs="宋体"/>
                <w:kern w:val="0"/>
                <w:sz w:val="18"/>
                <w:szCs w:val="18"/>
                <w:lang w:val="zh-CN"/>
              </w:rPr>
              <w:t>本项目为新建项目，不存在与本项目有关的原有污染。根据本项目内部功能布局，项目建成后</w:t>
            </w:r>
            <w:r>
              <w:rPr>
                <w:rFonts w:hint="eastAsia" w:ascii="宋体" w:hAnsi="宋体" w:cs="宋体"/>
                <w:kern w:val="0"/>
                <w:sz w:val="18"/>
                <w:szCs w:val="18"/>
                <w:lang w:val="en-US" w:eastAsia="zh-CN"/>
              </w:rPr>
              <w:t>主要污染物及其处理方式为</w:t>
            </w:r>
          </w:p>
          <w:p>
            <w:pPr>
              <w:widowControl/>
              <w:spacing w:line="288" w:lineRule="auto"/>
              <w:jc w:val="left"/>
              <w:rPr>
                <w:rFonts w:hint="eastAsia" w:ascii="宋体" w:hAnsi="宋体" w:cs="宋体"/>
                <w:kern w:val="0"/>
                <w:sz w:val="18"/>
                <w:szCs w:val="18"/>
                <w:lang w:val="zh-CN"/>
              </w:rPr>
            </w:pPr>
            <w:r>
              <w:rPr>
                <w:rFonts w:hint="eastAsia" w:ascii="宋体" w:hAnsi="宋体" w:cs="宋体"/>
                <w:kern w:val="0"/>
                <w:sz w:val="18"/>
                <w:szCs w:val="18"/>
                <w:lang w:val="zh-CN"/>
              </w:rPr>
              <w:t>废水：</w:t>
            </w:r>
            <w:r>
              <w:rPr>
                <w:rFonts w:hint="eastAsia" w:ascii="宋体" w:hAnsi="宋体" w:cs="宋体"/>
                <w:kern w:val="0"/>
                <w:sz w:val="18"/>
                <w:szCs w:val="18"/>
                <w:lang w:val="en-US" w:eastAsia="zh-CN"/>
              </w:rPr>
              <w:t>本工程采用雨污分流、污废合流制，粪便经三级化粪池后排污水道</w:t>
            </w:r>
            <w:r>
              <w:rPr>
                <w:rFonts w:hint="eastAsia" w:ascii="宋体" w:hAnsi="宋体" w:cs="宋体"/>
                <w:kern w:val="0"/>
                <w:sz w:val="18"/>
                <w:szCs w:val="18"/>
                <w:lang w:val="zh-CN"/>
              </w:rPr>
              <w:t>。</w:t>
            </w:r>
          </w:p>
          <w:p>
            <w:pPr>
              <w:widowControl/>
              <w:spacing w:line="288" w:lineRule="auto"/>
              <w:jc w:val="left"/>
              <w:rPr>
                <w:rFonts w:hint="eastAsia" w:ascii="宋体" w:hAnsi="宋体" w:cs="宋体"/>
                <w:kern w:val="0"/>
                <w:sz w:val="18"/>
                <w:szCs w:val="18"/>
                <w:lang w:val="zh-CN"/>
              </w:rPr>
            </w:pPr>
            <w:r>
              <w:rPr>
                <w:rFonts w:hint="eastAsia" w:ascii="宋体" w:hAnsi="宋体" w:cs="宋体"/>
                <w:kern w:val="0"/>
                <w:sz w:val="18"/>
                <w:szCs w:val="18"/>
                <w:lang w:val="zh-CN"/>
              </w:rPr>
              <w:t>固体废弃物：对产生的固废收集堆放在</w:t>
            </w:r>
            <w:r>
              <w:rPr>
                <w:rFonts w:hint="eastAsia" w:ascii="宋体" w:hAnsi="宋体" w:cs="宋体"/>
                <w:kern w:val="0"/>
                <w:sz w:val="18"/>
                <w:szCs w:val="18"/>
                <w:lang w:val="en-US" w:eastAsia="zh-CN"/>
              </w:rPr>
              <w:t>学校</w:t>
            </w:r>
            <w:r>
              <w:rPr>
                <w:rFonts w:hint="eastAsia" w:ascii="宋体" w:hAnsi="宋体" w:cs="宋体"/>
                <w:kern w:val="0"/>
                <w:sz w:val="18"/>
                <w:szCs w:val="18"/>
                <w:lang w:val="zh-CN"/>
              </w:rPr>
              <w:t>垃圾收集点</w:t>
            </w:r>
            <w:r>
              <w:rPr>
                <w:rFonts w:hint="eastAsia" w:ascii="宋体" w:hAnsi="宋体" w:cs="宋体"/>
                <w:kern w:val="0"/>
                <w:sz w:val="18"/>
                <w:szCs w:val="18"/>
                <w:lang w:val="zh-CN" w:eastAsia="zh-CN"/>
              </w:rPr>
              <w:t>，</w:t>
            </w:r>
            <w:r>
              <w:rPr>
                <w:rFonts w:hint="eastAsia" w:ascii="宋体" w:hAnsi="宋体" w:cs="宋体"/>
                <w:kern w:val="0"/>
                <w:sz w:val="18"/>
                <w:szCs w:val="18"/>
                <w:lang w:val="en-US" w:eastAsia="zh-CN"/>
              </w:rPr>
              <w:t>由专人</w:t>
            </w:r>
            <w:r>
              <w:rPr>
                <w:rFonts w:hint="eastAsia" w:ascii="宋体" w:hAnsi="宋体" w:cs="宋体"/>
                <w:kern w:val="0"/>
                <w:sz w:val="18"/>
                <w:szCs w:val="18"/>
                <w:lang w:val="zh-CN"/>
              </w:rPr>
              <w:t>定时清理。</w:t>
            </w:r>
          </w:p>
          <w:p>
            <w:pPr>
              <w:widowControl/>
              <w:spacing w:line="288" w:lineRule="auto"/>
              <w:jc w:val="left"/>
              <w:rPr>
                <w:sz w:val="18"/>
                <w:szCs w:val="18"/>
                <w:lang w:val="zh-CN"/>
              </w:rPr>
            </w:pPr>
            <w:r>
              <w:rPr>
                <w:rFonts w:hint="eastAsia" w:ascii="宋体" w:hAnsi="宋体" w:cs="宋体"/>
                <w:kern w:val="0"/>
                <w:sz w:val="18"/>
                <w:szCs w:val="18"/>
                <w:lang w:val="zh-CN"/>
              </w:rPr>
              <w:t>噪声：本项目选用节能低噪声设备，对各种因振动而引起噪声的设备加减振垫，减少振动噪声。</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环评报告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4.1.4</w:t>
            </w:r>
            <w:r>
              <w:rPr>
                <w:rFonts w:hint="eastAsia" w:ascii="宋体" w:hAnsi="宋体" w:cs="宋体"/>
                <w:kern w:val="0"/>
                <w:sz w:val="18"/>
                <w:szCs w:val="18"/>
              </w:rPr>
              <w:t>建筑规划布局应满足日照标准，且不得降低周边建筑的日照标准</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居住建筑：日照户型满足比例</w:t>
            </w:r>
            <w:r>
              <w:rPr>
                <w:rFonts w:hint="eastAsia" w:ascii="宋体" w:hAnsi="宋体" w:cs="宋体"/>
                <w:kern w:val="0"/>
                <w:sz w:val="18"/>
                <w:szCs w:val="18"/>
                <w:u w:val="single"/>
                <w:lang w:val="en-US" w:eastAsia="zh-CN"/>
              </w:rPr>
              <w:t xml:space="preserve">   </w:t>
            </w:r>
            <w:r>
              <w:rPr>
                <w:rFonts w:ascii="宋体" w:hAnsi="宋体" w:cs="宋体"/>
                <w:kern w:val="0"/>
                <w:sz w:val="18"/>
                <w:szCs w:val="18"/>
                <w:u w:val="single"/>
              </w:rPr>
              <w:t>%</w:t>
            </w:r>
            <w:r>
              <w:rPr>
                <w:rFonts w:ascii="宋体" w:hAnsi="宋体" w:cs="宋体"/>
                <w:kern w:val="0"/>
                <w:sz w:val="18"/>
                <w:szCs w:val="18"/>
              </w:rPr>
              <w:t xml:space="preserve"> </w:t>
            </w:r>
            <w:r>
              <w:rPr>
                <w:rFonts w:hint="eastAsia" w:ascii="宋体" w:hAnsi="宋体" w:cs="宋体"/>
                <w:kern w:val="0"/>
                <w:sz w:val="18"/>
                <w:szCs w:val="18"/>
              </w:rPr>
              <w:t xml:space="preserve">；公共建筑：是否影响周边住宅日照质量 </w:t>
            </w:r>
            <w:r>
              <w:rPr>
                <w:rFonts w:ascii="宋体" w:hAnsi="宋体" w:cs="宋体"/>
                <w:kern w:val="0"/>
                <w:sz w:val="18"/>
                <w:szCs w:val="18"/>
                <w:u w:val="single"/>
              </w:rPr>
              <w:t xml:space="preserve"> </w:t>
            </w:r>
            <w:r>
              <w:rPr>
                <w:rFonts w:hint="eastAsia" w:ascii="宋体" w:hAnsi="宋体" w:cs="宋体"/>
                <w:kern w:val="0"/>
                <w:sz w:val="18"/>
                <w:szCs w:val="18"/>
                <w:u w:val="single"/>
              </w:rPr>
              <w:t>否</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总平面图；</w:t>
            </w:r>
            <w:r>
              <w:rPr>
                <w:rFonts w:ascii="宋体" w:cs="宋体"/>
                <w:kern w:val="0"/>
                <w:sz w:val="18"/>
                <w:szCs w:val="18"/>
              </w:rPr>
              <w:t xml:space="preserve"> </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4.2.1节约集约利用土地。</w:t>
            </w:r>
          </w:p>
        </w:tc>
        <w:tc>
          <w:tcPr>
            <w:tcW w:w="6807" w:type="dxa"/>
            <w:gridSpan w:val="6"/>
            <w:tcBorders>
              <w:top w:val="single" w:color="auto" w:sz="4" w:space="0"/>
              <w:left w:val="nil"/>
              <w:bottom w:val="single" w:color="auto" w:sz="4" w:space="0"/>
              <w:right w:val="single" w:color="000000"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居住建筑：人均居住用地指标</w:t>
            </w:r>
            <w:r>
              <w:rPr>
                <w:rFonts w:hint="eastAsia" w:ascii="宋体" w:hAnsi="宋体"/>
                <w:color w:val="7F7F7F" w:themeColor="background1" w:themeShade="80"/>
                <w:sz w:val="18"/>
                <w:szCs w:val="18"/>
                <w:lang w:val="en-US" w:eastAsia="zh-CN"/>
              </w:rPr>
              <w:t xml:space="preserve">   </w:t>
            </w:r>
            <w:r>
              <w:rPr>
                <w:rFonts w:hint="eastAsia" w:ascii="宋体" w:hAnsi="宋体"/>
                <w:color w:val="7F7F7F" w:themeColor="background1" w:themeShade="80"/>
                <w:sz w:val="18"/>
                <w:szCs w:val="18"/>
                <w:lang w:val="zh-CN"/>
              </w:rPr>
              <w:t>人</w:t>
            </w:r>
            <w:r>
              <w:rPr>
                <w:rFonts w:hint="eastAsia" w:ascii="宋体" w:hAnsi="宋体"/>
                <w:color w:val="7F7F7F" w:themeColor="background1" w:themeShade="80"/>
                <w:sz w:val="18"/>
                <w:szCs w:val="18"/>
              </w:rPr>
              <w:t>；公共建筑：容积率</w:t>
            </w:r>
            <w:r>
              <w:rPr>
                <w:rFonts w:hint="eastAsia" w:ascii="宋体" w:hAnsi="宋体"/>
                <w:color w:val="7F7F7F" w:themeColor="background1" w:themeShade="80"/>
                <w:sz w:val="18"/>
                <w:szCs w:val="18"/>
                <w:lang w:val="en-US" w:eastAsia="zh-CN"/>
              </w:rPr>
              <w:t xml:space="preserve">    </w:t>
            </w:r>
            <w:r>
              <w:rPr>
                <w:rFonts w:hint="eastAsia" w:ascii="宋体" w:hAnsi="宋体"/>
                <w:color w:val="7F7F7F" w:themeColor="background1" w:themeShade="80"/>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总平面图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ascii="宋体" w:hAnsi="宋体"/>
                <w:color w:val="7F7F7F" w:themeColor="background1" w:themeShade="80"/>
                <w:sz w:val="18"/>
                <w:szCs w:val="18"/>
              </w:rPr>
            </w:pPr>
            <w:r>
              <w:rPr>
                <w:rFonts w:hint="eastAsia" w:ascii="宋体" w:hAnsi="宋体"/>
                <w:color w:val="7F7F7F" w:themeColor="background1" w:themeShade="80"/>
                <w:sz w:val="18"/>
                <w:szCs w:val="18"/>
                <w:lang w:val="en-US" w:eastAsia="zh-CN"/>
              </w:rPr>
              <w:t>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782"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4.2.3合理开发利用地下空间</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 xml:space="preserve">居住建筑：地下建筑面积与地上建筑面积比例  </w:t>
            </w:r>
            <w:r>
              <w:rPr>
                <w:rFonts w:hint="eastAsia" w:ascii="宋体" w:hAnsi="宋体"/>
                <w:color w:val="7F7F7F" w:themeColor="background1" w:themeShade="80"/>
                <w:sz w:val="18"/>
                <w:szCs w:val="18"/>
                <w:lang w:val="en-US" w:eastAsia="zh-CN"/>
              </w:rPr>
              <w:t xml:space="preserve">   </w:t>
            </w:r>
            <w:r>
              <w:rPr>
                <w:rFonts w:hint="eastAsia" w:ascii="宋体" w:hAnsi="宋体"/>
                <w:color w:val="7F7F7F" w:themeColor="background1" w:themeShade="80"/>
                <w:sz w:val="18"/>
                <w:szCs w:val="18"/>
              </w:rPr>
              <w:t>%；</w:t>
            </w:r>
            <w:r>
              <w:rPr>
                <w:rFonts w:hint="eastAsia" w:ascii="宋体" w:hAnsi="宋体"/>
                <w:color w:val="7F7F7F" w:themeColor="background1" w:themeShade="80"/>
                <w:sz w:val="18"/>
                <w:szCs w:val="18"/>
              </w:rPr>
              <w:br w:type="textWrapping"/>
            </w:r>
            <w:r>
              <w:rPr>
                <w:rFonts w:hint="eastAsia" w:ascii="宋体" w:hAnsi="宋体"/>
                <w:color w:val="7F7F7F" w:themeColor="background1" w:themeShade="80"/>
                <w:sz w:val="18"/>
                <w:szCs w:val="18"/>
              </w:rPr>
              <w:t xml:space="preserve">公共建筑：地下建筑面积与总用地比例  ；地下一层面积与总用地比例    。                           </w:t>
            </w:r>
          </w:p>
        </w:tc>
        <w:tc>
          <w:tcPr>
            <w:tcW w:w="3543" w:type="dxa"/>
            <w:gridSpan w:val="3"/>
            <w:tcBorders>
              <w:top w:val="nil"/>
              <w:left w:val="nil"/>
              <w:bottom w:val="single" w:color="auto" w:sz="4" w:space="0"/>
              <w:right w:val="single" w:color="auto" w:sz="4" w:space="0"/>
            </w:tcBorders>
            <w:tcMar>
              <w:left w:w="28" w:type="dxa"/>
              <w:right w:w="28" w:type="dxa"/>
            </w:tcMa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设计图纸（建筑/建施-05）、总平面图</w:t>
            </w:r>
          </w:p>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地下空间利用指标计算书</w:t>
            </w:r>
          </w:p>
        </w:tc>
        <w:tc>
          <w:tcPr>
            <w:tcW w:w="425" w:type="dxa"/>
            <w:tcBorders>
              <w:top w:val="nil"/>
              <w:left w:val="nil"/>
              <w:bottom w:val="single" w:color="auto" w:sz="4" w:space="0"/>
              <w:right w:val="single" w:color="auto" w:sz="4" w:space="0"/>
            </w:tcBorders>
            <w:tcMar>
              <w:left w:w="28" w:type="dxa"/>
              <w:right w:w="28" w:type="dxa"/>
            </w:tcMar>
          </w:tcPr>
          <w:p>
            <w:pPr>
              <w:widowControl/>
              <w:spacing w:line="288" w:lineRule="auto"/>
              <w:jc w:val="center"/>
              <w:rPr>
                <w:rFonts w:hint="eastAsia" w:ascii="宋体" w:hAnsi="宋体"/>
                <w:color w:val="7F7F7F" w:themeColor="background1" w:themeShade="80"/>
                <w:sz w:val="18"/>
                <w:szCs w:val="18"/>
                <w:lang w:eastAsia="zh-CN"/>
              </w:rPr>
            </w:pPr>
            <w:r>
              <w:rPr>
                <w:rFonts w:hint="eastAsia" w:ascii="宋体" w:hAnsi="宋体"/>
                <w:color w:val="7F7F7F" w:themeColor="background1" w:themeShade="80"/>
                <w:sz w:val="18"/>
                <w:szCs w:val="18"/>
                <w:lang w:val="en-US" w:eastAsia="zh-CN"/>
              </w:rPr>
              <w:t>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现场核查地下空间设置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4.2.5</w:t>
            </w:r>
            <w:r>
              <w:rPr>
                <w:rFonts w:hint="eastAsia" w:ascii="宋体" w:hAnsi="宋体" w:cs="宋体"/>
                <w:kern w:val="0"/>
                <w:sz w:val="18"/>
                <w:szCs w:val="18"/>
              </w:rPr>
              <w:t>场地内环境噪声符合现行国家标准《声环境质量标准》</w:t>
            </w:r>
            <w:r>
              <w:rPr>
                <w:rFonts w:ascii="宋体" w:hAnsi="宋体" w:cs="宋体"/>
                <w:kern w:val="0"/>
                <w:sz w:val="18"/>
                <w:szCs w:val="18"/>
              </w:rPr>
              <w:t>GB 3096</w:t>
            </w:r>
            <w:r>
              <w:rPr>
                <w:rFonts w:hint="eastAsia" w:ascii="宋体" w:hAnsi="宋体" w:cs="宋体"/>
                <w:kern w:val="0"/>
                <w:sz w:val="18"/>
                <w:szCs w:val="18"/>
              </w:rPr>
              <w:t>的有关规定</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环境噪音实测或预测值：昼间</w:t>
            </w:r>
            <w:r>
              <w:rPr>
                <w:rFonts w:hint="eastAsia" w:ascii="宋体" w:hAnsi="宋体" w:cs="宋体"/>
                <w:kern w:val="0"/>
                <w:sz w:val="18"/>
                <w:szCs w:val="18"/>
                <w:u w:val="single"/>
              </w:rPr>
              <w:t xml:space="preserve"> </w:t>
            </w:r>
            <w:r>
              <w:rPr>
                <w:rFonts w:hint="eastAsia" w:ascii="宋体" w:hAnsi="宋体" w:cs="宋体"/>
                <w:kern w:val="0"/>
                <w:sz w:val="18"/>
                <w:szCs w:val="18"/>
                <w:u w:val="single"/>
                <w:lang w:val="en-US" w:eastAsia="zh-CN"/>
              </w:rPr>
              <w:t>50</w:t>
            </w:r>
            <w:r>
              <w:rPr>
                <w:rFonts w:hint="eastAsia" w:ascii="宋体" w:hAnsi="宋体" w:cs="宋体"/>
                <w:kern w:val="0"/>
                <w:sz w:val="18"/>
                <w:szCs w:val="18"/>
                <w:u w:val="single"/>
              </w:rPr>
              <w:t xml:space="preserve"> </w:t>
            </w:r>
            <w:r>
              <w:rPr>
                <w:rFonts w:ascii="宋体" w:hAnsi="宋体" w:cs="宋体"/>
                <w:kern w:val="0"/>
                <w:sz w:val="18"/>
                <w:szCs w:val="18"/>
              </w:rPr>
              <w:t>dB</w:t>
            </w:r>
            <w:r>
              <w:rPr>
                <w:rFonts w:hint="eastAsia" w:ascii="宋体" w:hAnsi="宋体" w:cs="宋体"/>
                <w:kern w:val="0"/>
                <w:sz w:val="18"/>
                <w:szCs w:val="18"/>
              </w:rPr>
              <w:t>；夜间</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40</w:t>
            </w:r>
            <w:r>
              <w:rPr>
                <w:rFonts w:ascii="宋体" w:hAnsi="宋体" w:cs="宋体"/>
                <w:kern w:val="0"/>
                <w:sz w:val="18"/>
                <w:szCs w:val="18"/>
                <w:u w:val="single"/>
              </w:rPr>
              <w:t xml:space="preserve"> </w:t>
            </w:r>
            <w:r>
              <w:rPr>
                <w:rFonts w:ascii="宋体" w:hAnsi="宋体" w:cs="宋体"/>
                <w:kern w:val="0"/>
                <w:sz w:val="18"/>
                <w:szCs w:val="18"/>
              </w:rPr>
              <w:t>dB</w:t>
            </w:r>
            <w:r>
              <w:rPr>
                <w:rFonts w:hint="eastAsia" w:ascii="宋体" w:hAnsi="宋体" w:cs="宋体"/>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环评报告、噪声监测报告</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ascii="宋体" w:hAnsi="宋体" w:cs="宋体"/>
                <w:kern w:val="0"/>
                <w:sz w:val="18"/>
                <w:szCs w:val="18"/>
              </w:rPr>
              <w:t>4</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查阅环境噪声现场测试报告</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20" w:hRule="atLeas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ascii="宋体" w:cs="宋体"/>
                <w:kern w:val="0"/>
                <w:sz w:val="18"/>
                <w:szCs w:val="18"/>
              </w:rPr>
            </w:pPr>
            <w:r>
              <w:rPr>
                <w:rFonts w:ascii="宋体" w:hAnsi="宋体" w:cs="宋体"/>
                <w:kern w:val="0"/>
                <w:sz w:val="18"/>
                <w:szCs w:val="18"/>
              </w:rPr>
              <w:t>4.2.6</w:t>
            </w:r>
            <w:r>
              <w:rPr>
                <w:rFonts w:hint="eastAsia" w:ascii="宋体" w:hAnsi="宋体" w:cs="宋体"/>
                <w:kern w:val="0"/>
                <w:sz w:val="18"/>
                <w:szCs w:val="18"/>
              </w:rPr>
              <w:t>场地内风环境有利于室外行走、活动舒适和建筑的自然通风</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FF0000"/>
                <w:kern w:val="0"/>
                <w:sz w:val="18"/>
                <w:szCs w:val="18"/>
              </w:rPr>
            </w:pPr>
            <w:r>
              <w:rPr>
                <w:rFonts w:ascii="宋体" w:hAnsi="宋体" w:cs="宋体"/>
                <w:kern w:val="0"/>
                <w:sz w:val="18"/>
                <w:szCs w:val="18"/>
              </w:rPr>
              <w:t>1.</w:t>
            </w:r>
            <w:r>
              <w:rPr>
                <w:rFonts w:hint="eastAsia" w:ascii="宋体" w:hAnsi="宋体" w:cs="宋体"/>
                <w:kern w:val="0"/>
                <w:sz w:val="18"/>
                <w:szCs w:val="18"/>
              </w:rPr>
              <w:t>冬季：①人行区风速</w:t>
            </w:r>
            <w:r>
              <w:rPr>
                <w:rFonts w:ascii="宋体" w:hAnsi="宋体" w:cs="宋体"/>
                <w:kern w:val="0"/>
                <w:sz w:val="18"/>
                <w:szCs w:val="18"/>
                <w:u w:val="single"/>
              </w:rPr>
              <w:t>0.</w:t>
            </w:r>
            <w:r>
              <w:rPr>
                <w:rFonts w:hint="eastAsia" w:ascii="宋体" w:hAnsi="宋体" w:cs="宋体"/>
                <w:kern w:val="0"/>
                <w:sz w:val="18"/>
                <w:szCs w:val="18"/>
                <w:u w:val="single"/>
                <w:lang w:val="en-US" w:eastAsia="zh-CN"/>
              </w:rPr>
              <w:t>1</w:t>
            </w:r>
            <w:r>
              <w:rPr>
                <w:rFonts w:ascii="宋体" w:hAnsi="宋体" w:cs="宋体"/>
                <w:kern w:val="0"/>
                <w:sz w:val="18"/>
                <w:szCs w:val="18"/>
                <w:u w:val="single"/>
              </w:rPr>
              <w:t xml:space="preserve">0m/s ~ </w:t>
            </w:r>
            <w:r>
              <w:rPr>
                <w:rFonts w:hint="eastAsia" w:ascii="宋体" w:hAnsi="宋体" w:cs="宋体"/>
                <w:kern w:val="0"/>
                <w:sz w:val="18"/>
                <w:szCs w:val="18"/>
                <w:u w:val="single"/>
                <w:lang w:val="en-US" w:eastAsia="zh-CN"/>
              </w:rPr>
              <w:t>2.66</w:t>
            </w:r>
            <w:r>
              <w:rPr>
                <w:rFonts w:ascii="宋体" w:hAnsi="宋体" w:cs="宋体"/>
                <w:kern w:val="0"/>
                <w:sz w:val="18"/>
                <w:szCs w:val="18"/>
                <w:u w:val="single"/>
              </w:rPr>
              <w:t>m/s</w:t>
            </w:r>
            <w:r>
              <w:rPr>
                <w:rFonts w:hint="eastAsia" w:ascii="宋体" w:hAnsi="宋体" w:cs="宋体"/>
                <w:kern w:val="0"/>
                <w:sz w:val="18"/>
                <w:szCs w:val="18"/>
              </w:rPr>
              <w:t>，放大系数</w:t>
            </w:r>
            <w:r>
              <w:rPr>
                <w:rFonts w:hint="eastAsia" w:ascii="宋体" w:hAnsi="宋体" w:cs="宋体"/>
                <w:kern w:val="0"/>
                <w:sz w:val="18"/>
                <w:szCs w:val="18"/>
                <w:u w:val="single"/>
              </w:rPr>
              <w:t>1.</w:t>
            </w:r>
            <w:r>
              <w:rPr>
                <w:rFonts w:hint="eastAsia" w:ascii="宋体" w:hAnsi="宋体" w:cs="宋体"/>
                <w:kern w:val="0"/>
                <w:sz w:val="18"/>
                <w:szCs w:val="18"/>
                <w:u w:val="single"/>
                <w:lang w:val="en-US" w:eastAsia="zh-CN"/>
              </w:rPr>
              <w:t>1</w:t>
            </w:r>
            <w:r>
              <w:rPr>
                <w:rFonts w:ascii="宋体" w:hAnsi="宋体" w:cs="宋体"/>
                <w:kern w:val="0"/>
                <w:sz w:val="18"/>
                <w:szCs w:val="18"/>
                <w:u w:val="single"/>
              </w:rPr>
              <w:t>7</w:t>
            </w:r>
            <w:r>
              <w:rPr>
                <w:rFonts w:hint="eastAsia" w:ascii="宋体" w:hAnsi="宋体" w:cs="宋体"/>
                <w:kern w:val="0"/>
                <w:sz w:val="18"/>
                <w:szCs w:val="18"/>
              </w:rPr>
              <w:t>；②建筑迎风背风面风压差</w:t>
            </w:r>
            <w:r>
              <w:rPr>
                <w:rFonts w:hint="eastAsia" w:ascii="宋体" w:hAnsi="宋体" w:cs="宋体"/>
                <w:kern w:val="0"/>
                <w:sz w:val="18"/>
                <w:szCs w:val="18"/>
                <w:u w:val="single"/>
                <w:lang w:val="en-US" w:eastAsia="zh-CN"/>
              </w:rPr>
              <w:t>2.28</w:t>
            </w:r>
            <w:r>
              <w:rPr>
                <w:rFonts w:hint="eastAsia" w:ascii="宋体" w:hAnsi="宋体" w:cs="宋体"/>
                <w:kern w:val="0"/>
                <w:sz w:val="18"/>
                <w:szCs w:val="18"/>
                <w:u w:val="single"/>
              </w:rPr>
              <w:t xml:space="preserve"> </w:t>
            </w:r>
            <w:r>
              <w:rPr>
                <w:rFonts w:ascii="宋体" w:hAnsi="宋体" w:cs="宋体"/>
                <w:kern w:val="0"/>
                <w:sz w:val="18"/>
                <w:szCs w:val="18"/>
              </w:rPr>
              <w:t>Pa</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过渡季、夏季：①活动区不出现涡旋或无风区</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ascii="宋体" w:hAnsi="宋体" w:cs="宋体"/>
                <w:kern w:val="0"/>
                <w:sz w:val="18"/>
                <w:szCs w:val="18"/>
              </w:rPr>
              <w:t xml:space="preserve"> </w:t>
            </w:r>
            <w:r>
              <w:rPr>
                <w:rFonts w:hint="eastAsia" w:ascii="宋体" w:hAnsi="宋体" w:cs="宋体"/>
                <w:kern w:val="0"/>
                <w:sz w:val="18"/>
                <w:szCs w:val="18"/>
              </w:rPr>
              <w:t>；②</w:t>
            </w:r>
            <w:r>
              <w:rPr>
                <w:rFonts w:hint="eastAsia" w:ascii="宋体" w:hAnsi="宋体" w:cs="宋体"/>
                <w:kern w:val="0"/>
                <w:sz w:val="18"/>
                <w:szCs w:val="18"/>
                <w:u w:val="single"/>
                <w:lang w:val="en-US" w:eastAsia="zh-CN"/>
              </w:rPr>
              <w:t>89.78</w:t>
            </w:r>
            <w:r>
              <w:rPr>
                <w:rFonts w:hint="eastAsia" w:ascii="宋体" w:hAnsi="宋体" w:cs="宋体"/>
                <w:kern w:val="0"/>
                <w:sz w:val="18"/>
                <w:szCs w:val="18"/>
                <w:u w:val="single"/>
              </w:rPr>
              <w:t>%（秋）</w:t>
            </w:r>
            <w:r>
              <w:rPr>
                <w:rFonts w:hint="eastAsia" w:ascii="宋体" w:hAnsi="宋体" w:cs="宋体"/>
                <w:kern w:val="0"/>
                <w:sz w:val="18"/>
                <w:szCs w:val="18"/>
              </w:rPr>
              <w:t>的可开启外窗室内外表面的风压差大于</w:t>
            </w:r>
            <w:r>
              <w:rPr>
                <w:rFonts w:ascii="宋体" w:hAnsi="宋体" w:cs="宋体"/>
                <w:kern w:val="0"/>
                <w:sz w:val="18"/>
                <w:szCs w:val="18"/>
              </w:rPr>
              <w:t>0.5Pa</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室外风环境模拟计算报告；</w:t>
            </w:r>
            <w:r>
              <w:rPr>
                <w:rFonts w:ascii="宋体" w:cs="宋体"/>
                <w:kern w:val="0"/>
                <w:sz w:val="18"/>
                <w:szCs w:val="18"/>
              </w:rPr>
              <w:t xml:space="preserve"> </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center"/>
              <w:rPr>
                <w:rFonts w:ascii="宋体" w:cs="宋体"/>
                <w:kern w:val="0"/>
                <w:sz w:val="18"/>
                <w:szCs w:val="18"/>
              </w:rPr>
            </w:pPr>
            <w:r>
              <w:rPr>
                <w:rFonts w:hint="eastAsia" w:ascii="宋体" w:hAnsi="宋体" w:cs="宋体"/>
                <w:kern w:val="0"/>
                <w:sz w:val="18"/>
                <w:szCs w:val="18"/>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720" w:hRule="atLeas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4.2.8场地与公共交通设施具有便捷的联系</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 xml:space="preserve">1.场地出入口到达公共汽车站的距离 </w:t>
            </w:r>
            <w:r>
              <w:rPr>
                <w:rFonts w:hint="eastAsia" w:ascii="宋体" w:hAnsi="宋体"/>
                <w:sz w:val="18"/>
                <w:szCs w:val="18"/>
                <w:lang w:val="en-US" w:eastAsia="zh-CN"/>
              </w:rPr>
              <w:t>357</w:t>
            </w:r>
            <w:r>
              <w:rPr>
                <w:rFonts w:hint="eastAsia" w:ascii="宋体" w:hAnsi="宋体"/>
                <w:sz w:val="18"/>
                <w:szCs w:val="18"/>
              </w:rPr>
              <w:t xml:space="preserve">  m，或轨道交通站的距离       m；</w:t>
            </w:r>
            <w:r>
              <w:rPr>
                <w:rFonts w:hint="eastAsia" w:ascii="宋体" w:hAnsi="宋体"/>
                <w:sz w:val="18"/>
                <w:szCs w:val="18"/>
              </w:rPr>
              <w:br w:type="textWrapping"/>
            </w:r>
            <w:r>
              <w:rPr>
                <w:rFonts w:hint="eastAsia" w:ascii="宋体" w:hAnsi="宋体"/>
                <w:sz w:val="18"/>
                <w:szCs w:val="18"/>
              </w:rPr>
              <w:t>2.场地出入口800m范围内设有</w:t>
            </w:r>
            <w:r>
              <w:rPr>
                <w:rFonts w:hint="eastAsia" w:ascii="宋体" w:hAnsi="宋体"/>
                <w:sz w:val="18"/>
                <w:szCs w:val="18"/>
                <w:lang w:val="en-US" w:eastAsia="zh-CN"/>
              </w:rPr>
              <w:t>2</w:t>
            </w:r>
            <w:r>
              <w:rPr>
                <w:rFonts w:hint="eastAsia" w:ascii="宋体" w:hAnsi="宋体"/>
                <w:sz w:val="18"/>
                <w:szCs w:val="18"/>
              </w:rPr>
              <w:t>条线路的公交通站；</w:t>
            </w:r>
            <w:r>
              <w:rPr>
                <w:rFonts w:hint="eastAsia" w:ascii="宋体" w:hAnsi="宋体"/>
                <w:sz w:val="18"/>
                <w:szCs w:val="18"/>
              </w:rPr>
              <w:br w:type="textWrapping"/>
            </w:r>
            <w:r>
              <w:rPr>
                <w:rFonts w:hint="eastAsia" w:ascii="宋体" w:hAnsi="宋体"/>
                <w:color w:val="7F7F7F" w:themeColor="background1" w:themeShade="80"/>
                <w:sz w:val="18"/>
                <w:szCs w:val="18"/>
              </w:rPr>
              <w:t>3.有便捷的人行通道联系公共交通站点。</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 xml:space="preserve">总平面图,所在地交通图 </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ascii="宋体" w:hAnsi="宋体" w:eastAsia="宋体"/>
                <w:sz w:val="18"/>
                <w:szCs w:val="18"/>
                <w:lang w:eastAsia="zh-CN"/>
              </w:rPr>
            </w:pPr>
            <w:r>
              <w:rPr>
                <w:rFonts w:hint="eastAsia" w:ascii="宋体" w:hAnsi="宋体"/>
                <w:sz w:val="18"/>
                <w:szCs w:val="18"/>
                <w:lang w:val="en-US" w:eastAsia="zh-CN"/>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729"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4.2.9场地内人行通道采用无障碍设计</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1.场地内人行通道采用无障碍设计 ；</w:t>
            </w:r>
            <w:r>
              <w:rPr>
                <w:rFonts w:hint="eastAsia" w:ascii="宋体" w:hAnsi="宋体"/>
                <w:color w:val="7F7F7F" w:themeColor="background1" w:themeShade="80"/>
                <w:sz w:val="18"/>
                <w:szCs w:val="18"/>
              </w:rPr>
              <w:br w:type="textWrapping"/>
            </w:r>
            <w:r>
              <w:rPr>
                <w:rFonts w:hint="eastAsia" w:ascii="宋体" w:hAnsi="宋体"/>
                <w:color w:val="7F7F7F" w:themeColor="background1" w:themeShade="80"/>
                <w:sz w:val="18"/>
                <w:szCs w:val="18"/>
              </w:rPr>
              <w:t>2.场地外有无障碍通道 ；场地内无障碍通道与场地外相连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总平面图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ascii="宋体" w:hAnsi="宋体"/>
                <w:color w:val="7F7F7F" w:themeColor="background1" w:themeShade="80"/>
                <w:sz w:val="18"/>
                <w:szCs w:val="18"/>
                <w:lang w:eastAsia="zh-CN"/>
              </w:rPr>
            </w:pPr>
            <w:r>
              <w:rPr>
                <w:rFonts w:hint="eastAsia" w:ascii="宋体" w:hAnsi="宋体"/>
                <w:color w:val="7F7F7F" w:themeColor="background1" w:themeShade="80"/>
                <w:sz w:val="18"/>
                <w:szCs w:val="18"/>
                <w:lang w:val="en-US" w:eastAsia="zh-CN"/>
              </w:rPr>
              <w:t>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现场核查无障碍设施设置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50" w:hRule="atLeas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4.2.10 合理设置停车场所</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1.自行车停车设施位置合理、有遮阳防雨措施  。</w:t>
            </w:r>
            <w:r>
              <w:rPr>
                <w:rFonts w:hint="eastAsia" w:ascii="宋体" w:hAnsi="宋体"/>
                <w:color w:val="7F7F7F" w:themeColor="background1" w:themeShade="80"/>
                <w:sz w:val="18"/>
                <w:szCs w:val="18"/>
              </w:rPr>
              <w:br w:type="textWrapping"/>
            </w:r>
            <w:r>
              <w:rPr>
                <w:rFonts w:hint="eastAsia" w:ascii="宋体" w:hAnsi="宋体"/>
                <w:color w:val="7F7F7F" w:themeColor="background1" w:themeShade="80"/>
                <w:sz w:val="18"/>
                <w:szCs w:val="18"/>
              </w:rPr>
              <w:t>2.合理设置机动车停车设施，采取以下   项措施：①采用机械式、地下、停车楼等  ；②错时停车向社会开放；③不挤占步行空间及活动场所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总平面图；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ascii="宋体" w:hAnsi="宋体" w:eastAsia="宋体"/>
                <w:color w:val="7F7F7F" w:themeColor="background1" w:themeShade="80"/>
                <w:sz w:val="18"/>
                <w:szCs w:val="18"/>
                <w:lang w:eastAsia="zh-CN"/>
              </w:rPr>
            </w:pPr>
            <w:r>
              <w:rPr>
                <w:rFonts w:hint="eastAsia" w:ascii="宋体" w:hAnsi="宋体"/>
                <w:color w:val="7F7F7F" w:themeColor="background1" w:themeShade="80"/>
                <w:sz w:val="18"/>
                <w:szCs w:val="18"/>
                <w:lang w:val="en-US" w:eastAsia="zh-CN"/>
              </w:rPr>
              <w:t>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color w:val="7F7F7F" w:themeColor="background1" w:themeShade="80"/>
                <w:sz w:val="18"/>
                <w:szCs w:val="18"/>
              </w:rPr>
            </w:pPr>
            <w:r>
              <w:rPr>
                <w:rFonts w:hint="eastAsia" w:ascii="宋体" w:hAnsi="宋体"/>
                <w:color w:val="7F7F7F" w:themeColor="background1" w:themeShade="8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现场核查停车场设置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1316" w:hRule="atLeas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4.2.11</w:t>
            </w:r>
            <w:r>
              <w:rPr>
                <w:rFonts w:hint="eastAsia" w:ascii="宋体" w:hAnsi="宋体" w:cs="宋体"/>
                <w:kern w:val="0"/>
                <w:sz w:val="18"/>
                <w:szCs w:val="18"/>
              </w:rPr>
              <w:t>提供便利的公共服务</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w:t>
            </w:r>
            <w:r>
              <w:rPr>
                <w:rFonts w:ascii="宋体" w:hAnsi="宋体" w:cs="宋体"/>
                <w:kern w:val="0"/>
                <w:sz w:val="18"/>
                <w:szCs w:val="18"/>
              </w:rPr>
              <w:t>:</w:t>
            </w:r>
            <w:r>
              <w:rPr>
                <w:rFonts w:hint="eastAsia" w:ascii="宋体" w:hAnsi="宋体" w:cs="宋体"/>
                <w:kern w:val="0"/>
                <w:sz w:val="18"/>
                <w:szCs w:val="18"/>
              </w:rPr>
              <w:t xml:space="preserve">①出入口到达幼儿园的距离 </w:t>
            </w:r>
            <w:r>
              <w:rPr>
                <w:rFonts w:hint="eastAsia" w:ascii="宋体" w:hAnsi="宋体" w:cs="宋体"/>
                <w:kern w:val="0"/>
                <w:sz w:val="18"/>
                <w:szCs w:val="18"/>
                <w:u w:val="single"/>
              </w:rPr>
              <w:t xml:space="preserve"> </w:t>
            </w:r>
            <w:r>
              <w:rPr>
                <w:rFonts w:ascii="宋体" w:hAnsi="宋体" w:cs="宋体"/>
                <w:kern w:val="0"/>
                <w:sz w:val="18"/>
                <w:szCs w:val="18"/>
              </w:rPr>
              <w:t>m;</w:t>
            </w:r>
            <w:r>
              <w:rPr>
                <w:rFonts w:hint="eastAsia" w:ascii="宋体" w:hAnsi="宋体" w:cs="宋体"/>
                <w:kern w:val="0"/>
                <w:sz w:val="18"/>
                <w:szCs w:val="18"/>
              </w:rPr>
              <w:t>②出入口到达小学的距 离</w:t>
            </w:r>
            <w:r>
              <w:rPr>
                <w:rFonts w:hint="eastAsia" w:ascii="宋体" w:hAnsi="宋体" w:cs="宋体"/>
                <w:kern w:val="0"/>
                <w:sz w:val="18"/>
                <w:szCs w:val="18"/>
                <w:u w:val="single"/>
              </w:rPr>
              <w:t>m</w:t>
            </w:r>
            <w:r>
              <w:rPr>
                <w:rFonts w:ascii="宋体" w:hAnsi="宋体" w:cs="宋体"/>
                <w:kern w:val="0"/>
                <w:sz w:val="18"/>
                <w:szCs w:val="18"/>
              </w:rPr>
              <w:t>;</w:t>
            </w:r>
            <w:r>
              <w:rPr>
                <w:rFonts w:hint="eastAsia" w:ascii="宋体" w:hAnsi="宋体" w:cs="宋体"/>
                <w:kern w:val="0"/>
                <w:sz w:val="18"/>
                <w:szCs w:val="18"/>
              </w:rPr>
              <w:t>③出入口到达商业设施的距离</w:t>
            </w:r>
            <w:r>
              <w:rPr>
                <w:rFonts w:ascii="宋体" w:hAnsi="宋体" w:cs="宋体"/>
                <w:kern w:val="0"/>
                <w:sz w:val="18"/>
                <w:szCs w:val="18"/>
              </w:rPr>
              <w:t>m;</w:t>
            </w:r>
            <w:r>
              <w:rPr>
                <w:rFonts w:hint="eastAsia" w:ascii="宋体" w:hAnsi="宋体" w:cs="宋体"/>
                <w:kern w:val="0"/>
                <w:sz w:val="18"/>
                <w:szCs w:val="18"/>
              </w:rPr>
              <w:t>④相关设施集中设置并向周边居民开放；⑤场地</w:t>
            </w:r>
            <w:r>
              <w:rPr>
                <w:rFonts w:ascii="宋体" w:hAnsi="宋体" w:cs="宋体"/>
                <w:kern w:val="0"/>
                <w:sz w:val="18"/>
                <w:szCs w:val="18"/>
              </w:rPr>
              <w:t>1000m</w:t>
            </w:r>
            <w:r>
              <w:rPr>
                <w:rFonts w:hint="eastAsia" w:ascii="宋体" w:hAnsi="宋体" w:cs="宋体"/>
                <w:kern w:val="0"/>
                <w:sz w:val="18"/>
                <w:szCs w:val="18"/>
              </w:rPr>
              <w:t>范围内设有</w:t>
            </w:r>
            <w:r>
              <w:rPr>
                <w:rFonts w:hint="eastAsia" w:ascii="宋体" w:hAnsi="宋体" w:cs="宋体"/>
                <w:kern w:val="0"/>
                <w:sz w:val="18"/>
                <w:szCs w:val="18"/>
                <w:u w:val="single"/>
              </w:rPr>
              <w:t>5</w:t>
            </w:r>
            <w:r>
              <w:rPr>
                <w:rFonts w:hint="eastAsia" w:ascii="宋体" w:hAnsi="宋体" w:cs="宋体"/>
                <w:kern w:val="0"/>
                <w:sz w:val="18"/>
                <w:szCs w:val="18"/>
              </w:rPr>
              <w:t>种及以上的公共服务设施。</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w:t>
            </w:r>
            <w:r>
              <w:rPr>
                <w:rFonts w:ascii="宋体" w:hAnsi="宋体" w:cs="宋体"/>
                <w:kern w:val="0"/>
                <w:sz w:val="18"/>
                <w:szCs w:val="18"/>
              </w:rPr>
              <w:t>:</w:t>
            </w:r>
            <w:r>
              <w:rPr>
                <w:rFonts w:hint="eastAsia" w:ascii="宋体" w:hAnsi="宋体" w:cs="宋体"/>
                <w:kern w:val="0"/>
                <w:sz w:val="18"/>
                <w:szCs w:val="18"/>
              </w:rPr>
              <w:t>①</w:t>
            </w:r>
            <w:r>
              <w:rPr>
                <w:rFonts w:ascii="宋体" w:hAnsi="宋体" w:cs="宋体"/>
                <w:kern w:val="0"/>
                <w:sz w:val="18"/>
                <w:szCs w:val="18"/>
                <w:u w:val="single"/>
              </w:rPr>
              <w:t xml:space="preserve">  </w:t>
            </w:r>
            <w:r>
              <w:rPr>
                <w:rFonts w:hint="eastAsia" w:ascii="宋体" w:hAnsi="宋体" w:cs="宋体"/>
                <w:kern w:val="0"/>
                <w:sz w:val="18"/>
                <w:szCs w:val="18"/>
              </w:rPr>
              <w:t>种及以上的公共建筑集中设置，或公共建筑兼容</w:t>
            </w:r>
            <w:r>
              <w:rPr>
                <w:rFonts w:hint="eastAsia" w:ascii="宋体" w:hAnsi="宋体" w:cs="宋体"/>
                <w:kern w:val="0"/>
                <w:sz w:val="18"/>
                <w:szCs w:val="18"/>
                <w:u w:val="single"/>
              </w:rPr>
              <w:t xml:space="preserve"> </w:t>
            </w:r>
            <w:r>
              <w:rPr>
                <w:rFonts w:hint="eastAsia" w:ascii="宋体" w:hAnsi="宋体" w:cs="宋体"/>
                <w:kern w:val="0"/>
                <w:sz w:val="18"/>
                <w:szCs w:val="18"/>
                <w:u w:val="single"/>
                <w:lang w:val="en-US" w:eastAsia="zh-CN"/>
              </w:rPr>
              <w:t>2</w:t>
            </w:r>
            <w:r>
              <w:rPr>
                <w:rFonts w:hint="eastAsia" w:ascii="宋体" w:hAnsi="宋体" w:cs="宋体"/>
                <w:kern w:val="0"/>
                <w:sz w:val="18"/>
                <w:szCs w:val="18"/>
                <w:u w:val="single"/>
              </w:rPr>
              <w:t xml:space="preserve"> </w:t>
            </w:r>
            <w:r>
              <w:rPr>
                <w:rFonts w:hint="eastAsia" w:ascii="宋体" w:hAnsi="宋体" w:cs="宋体"/>
                <w:kern w:val="0"/>
                <w:sz w:val="18"/>
                <w:szCs w:val="18"/>
              </w:rPr>
              <w:t>种及以上的公共服务功能</w:t>
            </w:r>
            <w:r>
              <w:rPr>
                <w:rFonts w:ascii="宋体" w:hAnsi="宋体" w:cs="宋体"/>
                <w:kern w:val="0"/>
                <w:sz w:val="18"/>
                <w:szCs w:val="18"/>
              </w:rPr>
              <w:t>;</w:t>
            </w:r>
            <w:r>
              <w:rPr>
                <w:rFonts w:hint="eastAsia" w:ascii="宋体" w:hAnsi="宋体" w:cs="宋体"/>
                <w:kern w:val="0"/>
                <w:sz w:val="18"/>
                <w:szCs w:val="18"/>
              </w:rPr>
              <w:t>②配套辅助设施设备共同使用、资源共享■ ；③建筑向社会公众提供开放的公共空间；④室外活动场地错时向周边居民免费开放■。</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总平面图；建筑</w:t>
            </w:r>
            <w:r>
              <w:rPr>
                <w:rFonts w:ascii="宋体" w:hAnsi="宋体"/>
                <w:sz w:val="18"/>
                <w:szCs w:val="18"/>
              </w:rPr>
              <w:t>/建施-</w:t>
            </w:r>
            <w:r>
              <w:rPr>
                <w:rFonts w:hint="eastAsia" w:ascii="宋体" w:hAnsi="宋体"/>
                <w:sz w:val="18"/>
                <w:szCs w:val="18"/>
              </w:rPr>
              <w:t>03~04</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ascii="宋体" w:eastAsia="宋体" w:cs="宋体"/>
                <w:kern w:val="0"/>
                <w:sz w:val="18"/>
                <w:szCs w:val="18"/>
                <w:lang w:eastAsia="zh-CN"/>
              </w:rPr>
            </w:pPr>
            <w:r>
              <w:rPr>
                <w:rFonts w:hint="eastAsia" w:ascii="宋体" w:cs="宋体"/>
                <w:kern w:val="0"/>
                <w:sz w:val="18"/>
                <w:szCs w:val="18"/>
                <w:lang w:val="en-US" w:eastAsia="zh-CN"/>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860" w:hRule="exact"/>
        </w:trPr>
        <w:tc>
          <w:tcPr>
            <w:tcW w:w="469" w:type="dxa"/>
            <w:vMerge w:val="restart"/>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规划及景观</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ascii="宋体" w:cs="宋体"/>
                <w:kern w:val="0"/>
                <w:sz w:val="18"/>
                <w:szCs w:val="18"/>
              </w:rPr>
            </w:pPr>
            <w:r>
              <w:rPr>
                <w:rFonts w:ascii="宋体" w:hAnsi="宋体" w:cs="宋体"/>
                <w:kern w:val="0"/>
                <w:sz w:val="18"/>
                <w:szCs w:val="18"/>
              </w:rPr>
              <w:t>4.2.2</w:t>
            </w:r>
            <w:r>
              <w:rPr>
                <w:rFonts w:hint="eastAsia" w:ascii="宋体" w:hAnsi="宋体" w:cs="宋体"/>
                <w:kern w:val="0"/>
                <w:sz w:val="18"/>
                <w:szCs w:val="18"/>
              </w:rPr>
              <w:t>场地内合理设置绿化用地。</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ascii="宋体" w:cs="宋体"/>
                <w:kern w:val="0"/>
                <w:sz w:val="18"/>
                <w:szCs w:val="18"/>
              </w:rPr>
            </w:pPr>
            <w:r>
              <w:rPr>
                <w:rFonts w:hint="eastAsia" w:ascii="宋体" w:hAnsi="宋体" w:cs="宋体"/>
                <w:kern w:val="0"/>
                <w:sz w:val="18"/>
                <w:szCs w:val="18"/>
              </w:rPr>
              <w:t>居住建筑：住区绿地率</w:t>
            </w:r>
            <w:r>
              <w:rPr>
                <w:rFonts w:ascii="宋体" w:hAnsi="宋体" w:cs="宋体"/>
                <w:kern w:val="0"/>
                <w:sz w:val="18"/>
                <w:szCs w:val="18"/>
                <w:u w:val="single"/>
              </w:rPr>
              <w:t xml:space="preserve">  </w:t>
            </w:r>
            <w:r>
              <w:rPr>
                <w:rFonts w:ascii="宋体" w:hAnsi="宋体" w:cs="宋体"/>
                <w:kern w:val="0"/>
                <w:sz w:val="18"/>
                <w:szCs w:val="18"/>
              </w:rPr>
              <w:t xml:space="preserve"> </w:t>
            </w:r>
            <w:r>
              <w:rPr>
                <w:rFonts w:hint="eastAsia" w:ascii="宋体" w:hAnsi="宋体" w:cs="宋体"/>
                <w:kern w:val="0"/>
                <w:sz w:val="18"/>
                <w:szCs w:val="18"/>
              </w:rPr>
              <w:t>；人均公共绿地面积㎡。</w:t>
            </w:r>
            <w:r>
              <w:rPr>
                <w:rFonts w:ascii="宋体" w:hAnsi="宋体" w:cs="宋体"/>
                <w:kern w:val="0"/>
                <w:sz w:val="18"/>
                <w:szCs w:val="18"/>
              </w:rPr>
              <w:t xml:space="preserve">  </w:t>
            </w:r>
            <w:r>
              <w:rPr>
                <w:rFonts w:ascii="宋体" w:hAnsi="宋体" w:cs="宋体"/>
                <w:kern w:val="0"/>
                <w:sz w:val="18"/>
                <w:szCs w:val="18"/>
              </w:rPr>
              <w:br w:type="textWrapping"/>
            </w:r>
            <w:r>
              <w:rPr>
                <w:rFonts w:hint="eastAsia" w:ascii="宋体" w:hAnsi="宋体" w:cs="宋体"/>
                <w:kern w:val="0"/>
                <w:sz w:val="18"/>
                <w:szCs w:val="18"/>
              </w:rPr>
              <w:t xml:space="preserve">公共建筑：绿地率  </w:t>
            </w:r>
            <w:r>
              <w:rPr>
                <w:rFonts w:hint="eastAsia" w:ascii="宋体" w:hAnsi="宋体" w:cs="宋体"/>
                <w:kern w:val="0"/>
                <w:sz w:val="18"/>
                <w:szCs w:val="18"/>
                <w:u w:val="single"/>
                <w:lang w:val="en-US" w:eastAsia="zh-CN"/>
              </w:rPr>
              <w:t>40</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 xml:space="preserve">；绿地向公众开放 </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ascii="宋体" w:cs="宋体"/>
                <w:kern w:val="0"/>
                <w:sz w:val="18"/>
                <w:szCs w:val="18"/>
              </w:rPr>
            </w:pPr>
            <w:r>
              <w:rPr>
                <w:rFonts w:hint="eastAsia" w:ascii="宋体" w:hAnsi="宋体"/>
                <w:sz w:val="18"/>
                <w:szCs w:val="18"/>
              </w:rPr>
              <w:t>总平面图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9</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现场核查绿化场地设置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4.2.12 </w:t>
            </w:r>
            <w:r>
              <w:rPr>
                <w:rFonts w:hint="eastAsia" w:ascii="宋体" w:hAnsi="宋体" w:cs="宋体"/>
                <w:kern w:val="0"/>
                <w:sz w:val="18"/>
                <w:szCs w:val="18"/>
              </w:rPr>
              <w:t>结合现状进行设计与布局，保护场地内原有的自然水域、湿地和植被，采取表层土利用等生态补偿措施</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采取</w:t>
            </w:r>
            <w:r>
              <w:rPr>
                <w:rFonts w:hint="eastAsia" w:ascii="宋体" w:hAnsi="宋体" w:cs="宋体"/>
                <w:kern w:val="0"/>
                <w:sz w:val="18"/>
                <w:szCs w:val="18"/>
                <w:u w:val="single"/>
              </w:rPr>
              <w:t>　　　　　　　　　　　</w:t>
            </w:r>
            <w:r>
              <w:rPr>
                <w:rFonts w:hint="eastAsia" w:ascii="宋体" w:hAnsi="宋体" w:cs="宋体"/>
                <w:kern w:val="0"/>
                <w:sz w:val="18"/>
                <w:szCs w:val="18"/>
              </w:rPr>
              <w:t>生态补偿措施。</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设计图纸（专业</w:t>
            </w:r>
            <w:r>
              <w:rPr>
                <w:rFonts w:ascii="宋体" w:hAnsi="宋体"/>
                <w:sz w:val="18"/>
                <w:szCs w:val="18"/>
              </w:rPr>
              <w:t>/</w:t>
            </w:r>
            <w:r>
              <w:rPr>
                <w:rFonts w:hint="eastAsia" w:ascii="宋体" w:hAnsi="宋体"/>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现场核查生态保护和补偿情况</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860"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4.2.13 充分利用场地空间合理设置绿色雨水基础设施</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1.有调蓄雨水地表的面积占绿地面积的比例为     ；</w:t>
            </w:r>
            <w:r>
              <w:rPr>
                <w:rFonts w:hint="eastAsia" w:ascii="宋体" w:hAnsi="宋体"/>
                <w:sz w:val="18"/>
                <w:szCs w:val="18"/>
              </w:rPr>
              <w:br w:type="textWrapping"/>
            </w:r>
            <w:r>
              <w:rPr>
                <w:rFonts w:hint="eastAsia" w:ascii="宋体" w:hAnsi="宋体"/>
                <w:sz w:val="18"/>
                <w:szCs w:val="18"/>
              </w:rPr>
              <w:t xml:space="preserve">2.合理衔接和引导雨水进入地面生态设施，并采取径流污染控制措施 </w:t>
            </w:r>
            <w:r>
              <w:rPr>
                <w:rFonts w:hint="eastAsia" w:ascii="宋体" w:hAnsi="宋体" w:cs="宋体"/>
                <w:kern w:val="0"/>
                <w:sz w:val="18"/>
                <w:szCs w:val="18"/>
              </w:rPr>
              <w:t>■</w:t>
            </w:r>
            <w:r>
              <w:rPr>
                <w:rFonts w:hint="eastAsia" w:ascii="宋体" w:hAnsi="宋体"/>
                <w:sz w:val="18"/>
                <w:szCs w:val="18"/>
              </w:rPr>
              <w:t xml:space="preserve"> ；</w:t>
            </w:r>
            <w:r>
              <w:rPr>
                <w:rFonts w:hint="eastAsia" w:ascii="宋体" w:hAnsi="宋体"/>
                <w:sz w:val="18"/>
                <w:szCs w:val="18"/>
              </w:rPr>
              <w:br w:type="textWrapping"/>
            </w:r>
            <w:r>
              <w:rPr>
                <w:rFonts w:hint="eastAsia" w:ascii="宋体" w:hAnsi="宋体"/>
                <w:sz w:val="18"/>
                <w:szCs w:val="18"/>
              </w:rPr>
              <w:t>3.透水铺装面积的比例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设计图纸（专业/图号）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eastAsia="宋体"/>
                <w:sz w:val="18"/>
                <w:szCs w:val="18"/>
                <w:lang w:eastAsia="zh-CN"/>
              </w:rPr>
            </w:pPr>
            <w:r>
              <w:rPr>
                <w:rFonts w:hint="eastAsia" w:ascii="宋体" w:hAnsi="宋体"/>
                <w:sz w:val="18"/>
                <w:szCs w:val="18"/>
              </w:rPr>
              <w:t>　</w:t>
            </w:r>
            <w:r>
              <w:rPr>
                <w:rFonts w:hint="eastAsia" w:ascii="宋体" w:hAnsi="宋体"/>
                <w:sz w:val="18"/>
                <w:szCs w:val="18"/>
                <w:lang w:val="en-US" w:eastAsia="zh-CN"/>
              </w:rPr>
              <w:t>3</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w:t>
            </w:r>
            <w:r>
              <w:rPr>
                <w:rFonts w:ascii="宋体" w:hAnsi="宋体" w:cs="宋体"/>
                <w:kern w:val="0"/>
                <w:sz w:val="18"/>
                <w:szCs w:val="18"/>
              </w:rPr>
              <w:t>1.</w:t>
            </w:r>
            <w:r>
              <w:rPr>
                <w:rFonts w:hint="eastAsia" w:ascii="宋体" w:hAnsi="宋体" w:cs="宋体"/>
                <w:kern w:val="0"/>
                <w:sz w:val="18"/>
                <w:szCs w:val="18"/>
              </w:rPr>
              <w:t>下凹绿地等设施设置；</w:t>
            </w:r>
            <w:r>
              <w:rPr>
                <w:rFonts w:ascii="宋体" w:hAnsi="宋体" w:cs="宋体"/>
                <w:kern w:val="0"/>
                <w:sz w:val="18"/>
                <w:szCs w:val="18"/>
              </w:rPr>
              <w:t>2.</w:t>
            </w:r>
            <w:r>
              <w:rPr>
                <w:rFonts w:hint="eastAsia" w:ascii="宋体" w:hAnsi="宋体" w:cs="宋体"/>
                <w:kern w:val="0"/>
                <w:sz w:val="18"/>
                <w:szCs w:val="18"/>
              </w:rPr>
              <w:t>屋面和道路雨水进入地面生态设施；</w:t>
            </w:r>
            <w:r>
              <w:rPr>
                <w:rFonts w:ascii="宋体" w:hAnsi="宋体" w:cs="宋体"/>
                <w:kern w:val="0"/>
                <w:sz w:val="18"/>
                <w:szCs w:val="18"/>
              </w:rPr>
              <w:t>3.</w:t>
            </w:r>
            <w:r>
              <w:rPr>
                <w:rFonts w:hint="eastAsia" w:ascii="宋体" w:hAnsi="宋体" w:cs="宋体"/>
                <w:kern w:val="0"/>
                <w:sz w:val="18"/>
                <w:szCs w:val="18"/>
              </w:rPr>
              <w:t>透水铺装地面设置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建筑及景观</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4.2.4</w:t>
            </w:r>
            <w:r>
              <w:rPr>
                <w:rFonts w:hint="eastAsia" w:ascii="宋体" w:hAnsi="宋体" w:cs="宋体"/>
                <w:kern w:val="0"/>
                <w:sz w:val="18"/>
                <w:szCs w:val="18"/>
              </w:rPr>
              <w:t>建筑及照明设计避免产生光污染情况</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非玻璃幕墙建筑，玻璃幕墙反射比</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不大于0</w:t>
            </w:r>
            <w:r>
              <w:rPr>
                <w:rFonts w:ascii="宋体" w:hAnsi="宋体" w:cs="宋体"/>
                <w:kern w:val="0"/>
                <w:sz w:val="18"/>
                <w:szCs w:val="18"/>
                <w:u w:val="single"/>
              </w:rPr>
              <w:t xml:space="preserve">.2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室外夜景照明符合光污染限制规定</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总平面图；建筑</w:t>
            </w:r>
            <w:r>
              <w:rPr>
                <w:rFonts w:ascii="宋体" w:hAnsi="宋体"/>
                <w:sz w:val="18"/>
                <w:szCs w:val="18"/>
              </w:rPr>
              <w:t>/建施-22</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2</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查阅玻璃反射比的检测报告；</w:t>
            </w:r>
            <w:r>
              <w:rPr>
                <w:rFonts w:ascii="宋体" w:hAnsi="宋体" w:cs="宋体"/>
                <w:kern w:val="0"/>
                <w:sz w:val="18"/>
                <w:szCs w:val="18"/>
              </w:rPr>
              <w:t>2.</w:t>
            </w:r>
            <w:r>
              <w:rPr>
                <w:rFonts w:hint="eastAsia" w:ascii="宋体" w:hAnsi="宋体" w:cs="宋体"/>
                <w:kern w:val="0"/>
                <w:sz w:val="18"/>
                <w:szCs w:val="18"/>
              </w:rPr>
              <w:t>现场核查夜景照明设置等</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4.2.7</w:t>
            </w:r>
            <w:r>
              <w:rPr>
                <w:rFonts w:hint="eastAsia" w:ascii="宋体" w:hAnsi="宋体" w:cs="宋体"/>
                <w:color w:val="7F7F7F" w:themeColor="background1" w:themeShade="80"/>
                <w:kern w:val="0"/>
                <w:sz w:val="18"/>
                <w:szCs w:val="18"/>
              </w:rPr>
              <w:t>采取措施降低热岛强度</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遮荫面积达到</w:t>
            </w:r>
            <w:r>
              <w:rPr>
                <w:rFonts w:ascii="宋体" w:hAnsi="宋体" w:cs="宋体"/>
                <w:color w:val="7F7F7F" w:themeColor="background1" w:themeShade="80"/>
                <w:kern w:val="0"/>
                <w:sz w:val="18"/>
                <w:szCs w:val="18"/>
                <w:u w:val="single"/>
              </w:rPr>
              <w:t xml:space="preserve">     % </w:t>
            </w:r>
            <w:r>
              <w:rPr>
                <w:rFonts w:hint="eastAsia" w:ascii="宋体" w:hAnsi="宋体" w:cs="宋体"/>
                <w:color w:val="7F7F7F" w:themeColor="background1" w:themeShade="80"/>
                <w:kern w:val="0"/>
                <w:sz w:val="18"/>
                <w:szCs w:val="18"/>
              </w:rPr>
              <w:t>；</w:t>
            </w:r>
            <w:r>
              <w:rPr>
                <w:rFonts w:ascii="宋体" w:cs="宋体"/>
                <w:color w:val="7F7F7F" w:themeColor="background1" w:themeShade="80"/>
                <w:kern w:val="0"/>
                <w:sz w:val="18"/>
                <w:szCs w:val="18"/>
              </w:rPr>
              <w:br w:type="textWrapping"/>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超过</w:t>
            </w:r>
            <w:r>
              <w:rPr>
                <w:rFonts w:ascii="宋体" w:hAnsi="宋体" w:cs="宋体"/>
                <w:color w:val="7F7F7F" w:themeColor="background1" w:themeShade="80"/>
                <w:kern w:val="0"/>
                <w:sz w:val="18"/>
                <w:szCs w:val="18"/>
                <w:u w:val="single"/>
              </w:rPr>
              <w:t xml:space="preserve">     % </w:t>
            </w:r>
            <w:r>
              <w:rPr>
                <w:rFonts w:hint="eastAsia" w:ascii="宋体" w:hAnsi="宋体" w:cs="宋体"/>
                <w:color w:val="7F7F7F" w:themeColor="background1" w:themeShade="80"/>
                <w:kern w:val="0"/>
                <w:sz w:val="18"/>
                <w:szCs w:val="18"/>
              </w:rPr>
              <w:t>的道路路面、建筑屋面的太阳辐射反射系数不小于</w:t>
            </w:r>
            <w:r>
              <w:rPr>
                <w:rFonts w:ascii="宋体" w:hAnsi="宋体" w:cs="宋体"/>
                <w:color w:val="7F7F7F" w:themeColor="background1" w:themeShade="80"/>
                <w:kern w:val="0"/>
                <w:sz w:val="18"/>
                <w:szCs w:val="18"/>
              </w:rPr>
              <w:t>0.4</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olor w:val="7F7F7F" w:themeColor="background1" w:themeShade="80"/>
                <w:sz w:val="18"/>
                <w:szCs w:val="18"/>
              </w:rPr>
              <w:t>设计图纸（专业</w:t>
            </w:r>
            <w:r>
              <w:rPr>
                <w:rFonts w:ascii="宋体" w:hAnsi="宋体"/>
                <w:color w:val="7F7F7F" w:themeColor="background1" w:themeShade="80"/>
                <w:sz w:val="18"/>
                <w:szCs w:val="18"/>
              </w:rPr>
              <w:t>/</w:t>
            </w:r>
            <w:r>
              <w:rPr>
                <w:rFonts w:hint="eastAsia" w:ascii="宋体" w:hAnsi="宋体"/>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现场核查乔木情况；</w:t>
            </w:r>
            <w:r>
              <w:rPr>
                <w:rFonts w:ascii="宋体" w:hAnsi="宋体" w:cs="宋体"/>
                <w:kern w:val="0"/>
                <w:sz w:val="18"/>
                <w:szCs w:val="18"/>
              </w:rPr>
              <w:t>2.</w:t>
            </w:r>
            <w:r>
              <w:rPr>
                <w:rFonts w:hint="eastAsia" w:ascii="宋体" w:hAnsi="宋体" w:cs="宋体"/>
                <w:kern w:val="0"/>
                <w:sz w:val="18"/>
                <w:szCs w:val="18"/>
              </w:rPr>
              <w:t>查阅路面、屋面的太阳辐射反射比测试报告</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给排水</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4.2.14</w:t>
            </w:r>
            <w:r>
              <w:rPr>
                <w:rFonts w:hint="eastAsia" w:ascii="宋体" w:hAnsi="宋体" w:cs="宋体"/>
                <w:color w:val="7F7F7F" w:themeColor="background1" w:themeShade="80"/>
                <w:kern w:val="0"/>
                <w:sz w:val="18"/>
                <w:szCs w:val="18"/>
              </w:rPr>
              <w:t>合理规划地表与屋面雨水径流，对场地雨水实施外排总量控制</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场地年径流总量控制率</w:t>
            </w:r>
            <w:r>
              <w:rPr>
                <w:rFonts w:ascii="宋体" w:hAnsi="宋体" w:cs="宋体"/>
                <w:color w:val="7F7F7F" w:themeColor="background1" w:themeShade="80"/>
                <w:kern w:val="0"/>
                <w:sz w:val="18"/>
                <w:szCs w:val="18"/>
                <w:u w:val="single"/>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olor w:val="7F7F7F" w:themeColor="background1" w:themeShade="80"/>
                <w:sz w:val="18"/>
                <w:szCs w:val="18"/>
              </w:rPr>
              <w:t>设计控制雨量计算书；设计图纸（专业</w:t>
            </w:r>
            <w:r>
              <w:rPr>
                <w:rFonts w:ascii="宋体" w:hAnsi="宋体"/>
                <w:color w:val="7F7F7F" w:themeColor="background1" w:themeShade="80"/>
                <w:sz w:val="18"/>
                <w:szCs w:val="18"/>
              </w:rPr>
              <w:t>/</w:t>
            </w:r>
            <w:r>
              <w:rPr>
                <w:rFonts w:hint="eastAsia" w:ascii="宋体" w:hAnsi="宋体"/>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现场核查雨水设施（滞蓄、调蓄及收集回用等）</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920" w:hRule="exact"/>
        </w:trPr>
        <w:tc>
          <w:tcPr>
            <w:tcW w:w="469"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景观</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4.2.15</w:t>
            </w:r>
            <w:r>
              <w:rPr>
                <w:rFonts w:hint="eastAsia" w:ascii="宋体" w:hAnsi="宋体" w:cs="宋体"/>
                <w:color w:val="7F7F7F" w:themeColor="background1" w:themeShade="80"/>
                <w:kern w:val="0"/>
                <w:sz w:val="18"/>
                <w:szCs w:val="18"/>
              </w:rPr>
              <w:t>合理选择绿化方式，科学配置绿化植物</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种植适应当地气候和土壤条件的植物进行复层绿化</w:t>
            </w:r>
            <w:r>
              <w:rPr>
                <w:rFonts w:hint="eastAsia" w:ascii="宋体" w:hAnsi="宋体" w:cs="宋体"/>
                <w:color w:val="7F7F7F" w:themeColor="background1" w:themeShade="80"/>
                <w:kern w:val="0"/>
                <w:sz w:val="18"/>
                <w:szCs w:val="18"/>
                <w:u w:val="single"/>
              </w:rPr>
              <w:t>□</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 xml:space="preserve"> </w:t>
            </w:r>
            <w:r>
              <w:rPr>
                <w:rFonts w:ascii="宋体" w:hAnsi="宋体" w:cs="宋体"/>
                <w:color w:val="7F7F7F" w:themeColor="background1" w:themeShade="80"/>
                <w:kern w:val="0"/>
                <w:sz w:val="18"/>
                <w:szCs w:val="18"/>
              </w:rPr>
              <w:br w:type="textWrapping"/>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①居住建筑：乔木≥</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株</w:t>
            </w:r>
            <w:r>
              <w:rPr>
                <w:rFonts w:ascii="宋体" w:hAnsi="宋体" w:cs="宋体"/>
                <w:color w:val="7F7F7F" w:themeColor="background1" w:themeShade="80"/>
                <w:kern w:val="0"/>
                <w:sz w:val="18"/>
                <w:szCs w:val="18"/>
              </w:rPr>
              <w:t>/100m</w:t>
            </w:r>
            <w:r>
              <w:rPr>
                <w:rFonts w:ascii="宋体" w:hAnsi="宋体" w:cs="宋体"/>
                <w:color w:val="7F7F7F" w:themeColor="background1" w:themeShade="80"/>
                <w:kern w:val="0"/>
                <w:sz w:val="18"/>
                <w:szCs w:val="18"/>
                <w:vertAlign w:val="superscript"/>
              </w:rPr>
              <w:t xml:space="preserve">2 </w:t>
            </w:r>
            <w:r>
              <w:rPr>
                <w:rFonts w:hint="eastAsia" w:ascii="宋体" w:hAnsi="宋体" w:cs="宋体"/>
                <w:color w:val="7F7F7F" w:themeColor="background1" w:themeShade="80"/>
                <w:kern w:val="0"/>
                <w:sz w:val="18"/>
                <w:szCs w:val="18"/>
              </w:rPr>
              <w:t>；②公共建筑：垂直绿化</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屋顶绿化</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olor w:val="7F7F7F" w:themeColor="background1" w:themeShade="80"/>
                <w:sz w:val="18"/>
                <w:szCs w:val="18"/>
              </w:rPr>
              <w:t>设计图纸（景观/苗木表）</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xml:space="preserve">  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现场核查绿化种植情况</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97" w:hRule="exact"/>
        </w:trPr>
        <w:tc>
          <w:tcPr>
            <w:tcW w:w="16551" w:type="dxa"/>
            <w:gridSpan w:val="13"/>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二、节能与能源利用（设计参评总分：</w:t>
            </w:r>
            <w:r>
              <w:rPr>
                <w:rFonts w:ascii="黑体" w:hAnsi="黑体" w:eastAsia="黑体" w:cs="宋体"/>
                <w:kern w:val="0"/>
                <w:szCs w:val="21"/>
              </w:rPr>
              <w:t xml:space="preserve">100   </w:t>
            </w:r>
            <w:r>
              <w:rPr>
                <w:rFonts w:hint="eastAsia" w:ascii="黑体" w:hAnsi="黑体" w:eastAsia="黑体" w:cs="宋体"/>
                <w:kern w:val="0"/>
                <w:szCs w:val="21"/>
              </w:rPr>
              <w:t>本项目实际参评总分：</w:t>
            </w:r>
            <w:r>
              <w:rPr>
                <w:rFonts w:hint="eastAsia" w:ascii="黑体" w:hAnsi="黑体" w:eastAsia="黑体" w:cs="宋体"/>
                <w:kern w:val="0"/>
                <w:szCs w:val="21"/>
                <w:lang w:val="en-US" w:eastAsia="zh-CN"/>
              </w:rPr>
              <w:t>81</w:t>
            </w:r>
            <w:r>
              <w:rPr>
                <w:rFonts w:ascii="黑体" w:hAnsi="黑体" w:eastAsia="黑体" w:cs="宋体"/>
                <w:kern w:val="0"/>
                <w:szCs w:val="21"/>
              </w:rPr>
              <w:t xml:space="preserve">      </w:t>
            </w:r>
            <w:r>
              <w:rPr>
                <w:rFonts w:hint="eastAsia" w:ascii="黑体" w:hAnsi="黑体" w:eastAsia="黑体" w:cs="宋体"/>
                <w:kern w:val="0"/>
                <w:szCs w:val="21"/>
              </w:rPr>
              <w:t>本项目实际得分：</w:t>
            </w:r>
            <w:r>
              <w:rPr>
                <w:rFonts w:ascii="黑体" w:hAnsi="黑体" w:eastAsia="黑体" w:cs="宋体"/>
                <w:kern w:val="0"/>
                <w:szCs w:val="21"/>
              </w:rPr>
              <w:t>3</w:t>
            </w:r>
            <w:r>
              <w:rPr>
                <w:rFonts w:hint="eastAsia" w:ascii="黑体" w:hAnsi="黑体" w:eastAsia="黑体" w:cs="宋体"/>
                <w:kern w:val="0"/>
                <w:szCs w:val="21"/>
                <w:lang w:val="en-US" w:eastAsia="zh-CN"/>
              </w:rPr>
              <w:t>3</w:t>
            </w:r>
            <w:r>
              <w:rPr>
                <w:rFonts w:hint="eastAsia" w:ascii="黑体" w:hAnsi="黑体" w:eastAsia="黑体" w:cs="宋体"/>
                <w:kern w:val="0"/>
                <w:szCs w:val="21"/>
              </w:rPr>
              <w:t>　　本项目计算得分：</w:t>
            </w:r>
            <w:r>
              <w:rPr>
                <w:rFonts w:ascii="黑体" w:hAnsi="黑体" w:eastAsia="黑体" w:cs="宋体"/>
                <w:kern w:val="0"/>
                <w:szCs w:val="21"/>
              </w:rPr>
              <w:t>4</w:t>
            </w:r>
            <w:r>
              <w:rPr>
                <w:rFonts w:hint="eastAsia" w:ascii="黑体" w:hAnsi="黑体" w:eastAsia="黑体" w:cs="宋体"/>
                <w:kern w:val="0"/>
                <w:szCs w:val="21"/>
                <w:lang w:val="en-US" w:eastAsia="zh-CN"/>
              </w:rPr>
              <w:t>0.74</w:t>
            </w:r>
            <w:r>
              <w:rPr>
                <w:rFonts w:hint="eastAsia" w:ascii="黑体" w:hAnsi="黑体" w:eastAsia="黑体" w:cs="宋体"/>
                <w:kern w:val="0"/>
                <w:szCs w:val="21"/>
              </w:rPr>
              <w:t xml:space="preserve"> </w:t>
            </w:r>
            <w:r>
              <w:rPr>
                <w:rFonts w:ascii="黑体" w:hAnsi="黑体" w:eastAsia="黑体" w:cs="宋体"/>
                <w:kern w:val="0"/>
                <w:szCs w:val="21"/>
              </w:rPr>
              <w:t xml:space="preserve">  </w:t>
            </w:r>
            <w:r>
              <w:rPr>
                <w:rFonts w:hint="eastAsia" w:ascii="黑体" w:hAnsi="黑体" w:eastAsia="黑体" w:cs="宋体"/>
                <w:kern w:val="0"/>
                <w:szCs w:val="21"/>
              </w:rPr>
              <w:t>）</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Cs w:val="21"/>
              </w:rPr>
            </w:pP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二、节能与能源利用</w:t>
            </w: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建筑</w:t>
            </w: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5.1.1 </w:t>
            </w:r>
            <w:r>
              <w:rPr>
                <w:rFonts w:hint="eastAsia" w:ascii="宋体" w:hAnsi="宋体" w:cs="宋体"/>
                <w:kern w:val="0"/>
                <w:sz w:val="18"/>
                <w:szCs w:val="18"/>
              </w:rPr>
              <w:t>建筑设计应符合国家现行建筑节能设计标准强制性条文的规定</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建筑设计应符合国家现行建筑节能设计标准强制性条文的规定</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节能计算书</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5.2.2</w:t>
            </w:r>
            <w:r>
              <w:rPr>
                <w:rFonts w:hint="eastAsia" w:ascii="宋体" w:hAnsi="宋体" w:cs="宋体"/>
                <w:kern w:val="0"/>
                <w:sz w:val="18"/>
                <w:szCs w:val="18"/>
              </w:rPr>
              <w:t>外窗、玻璃幕墙的可开启部分能使建筑获得良好的通风</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幕墙透明部分开启面积比例</w:t>
            </w:r>
            <w:r>
              <w:rPr>
                <w:rFonts w:hint="eastAsia" w:ascii="宋体" w:hAnsi="宋体" w:cs="宋体"/>
                <w:kern w:val="0"/>
                <w:sz w:val="18"/>
                <w:szCs w:val="18"/>
                <w:u w:val="single"/>
              </w:rPr>
              <w:t xml:space="preserve"> </w:t>
            </w:r>
            <w:r>
              <w:rPr>
                <w:rFonts w:hint="eastAsia" w:ascii="宋体" w:hAnsi="宋体" w:cs="宋体"/>
                <w:kern w:val="0"/>
                <w:sz w:val="18"/>
                <w:szCs w:val="18"/>
                <w:u w:val="single"/>
                <w:lang w:val="en-US" w:eastAsia="zh-CN"/>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外窗可开启面积比例</w:t>
            </w:r>
            <w:r>
              <w:rPr>
                <w:rFonts w:hint="eastAsia" w:ascii="宋体" w:hAnsi="宋体" w:cs="宋体"/>
                <w:kern w:val="0"/>
                <w:sz w:val="18"/>
                <w:szCs w:val="18"/>
                <w:u w:val="single"/>
                <w:lang w:val="en-US" w:eastAsia="zh-CN"/>
              </w:rPr>
              <w:t>31.59</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外窗开启面积比例计算书；节能计算书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4</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现场核查外窗可开启设置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5.2.3 </w:t>
            </w:r>
            <w:r>
              <w:rPr>
                <w:rFonts w:hint="eastAsia" w:ascii="宋体" w:hAnsi="宋体" w:cs="宋体"/>
                <w:color w:val="7F7F7F" w:themeColor="background1" w:themeShade="80"/>
                <w:kern w:val="0"/>
                <w:sz w:val="18"/>
                <w:szCs w:val="18"/>
              </w:rPr>
              <w:t>围护结构热工性能指标优于国家现行建筑节能设计标准的规定</w:t>
            </w:r>
          </w:p>
        </w:tc>
        <w:tc>
          <w:tcPr>
            <w:tcW w:w="6807" w:type="dxa"/>
            <w:gridSpan w:val="6"/>
            <w:tcBorders>
              <w:top w:val="single" w:color="auto" w:sz="4" w:space="0"/>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围护结构热工性能提高幅度</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供暖空调全年计算负荷降低幅度</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节能计算书</w:t>
            </w:r>
          </w:p>
        </w:tc>
        <w:tc>
          <w:tcPr>
            <w:tcW w:w="425" w:type="dxa"/>
            <w:tcBorders>
              <w:top w:val="single" w:color="auto" w:sz="4" w:space="0"/>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single" w:color="auto" w:sz="4" w:space="0"/>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现场核查（遮阳措施或空调设施等））</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1070" w:hRule="exac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规划建筑</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5.2.1结合场地自然条件，对建筑的体形、朝向、楼距、窗墙比等进行优化设计</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 xml:space="preserve">1.居住建筑：朝向 　  ，窗墙比  ，楼间距    ；             </w:t>
            </w:r>
            <w:r>
              <w:rPr>
                <w:rFonts w:hint="eastAsia" w:ascii="宋体" w:hAnsi="宋体"/>
                <w:sz w:val="18"/>
                <w:szCs w:val="18"/>
              </w:rPr>
              <w:br w:type="textWrapping"/>
            </w:r>
            <w:r>
              <w:rPr>
                <w:rFonts w:hint="eastAsia" w:ascii="宋体" w:hAnsi="宋体"/>
                <w:sz w:val="18"/>
                <w:szCs w:val="18"/>
              </w:rPr>
              <w:t xml:space="preserve">2.公共建筑：窗墙比 </w:t>
            </w:r>
            <w:r>
              <w:rPr>
                <w:rFonts w:hint="eastAsia" w:ascii="宋体" w:hAnsi="宋体"/>
                <w:sz w:val="18"/>
                <w:szCs w:val="18"/>
                <w:lang w:val="en-US" w:eastAsia="zh-CN"/>
              </w:rPr>
              <w:t>0.27</w:t>
            </w:r>
            <w:r>
              <w:rPr>
                <w:rFonts w:hint="eastAsia" w:ascii="宋体" w:hAnsi="宋体"/>
                <w:sz w:val="18"/>
                <w:szCs w:val="18"/>
              </w:rPr>
              <w:t xml:space="preserve"> ； 3.进行优化设计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hAnsi="宋体"/>
                <w:sz w:val="18"/>
                <w:szCs w:val="18"/>
              </w:rPr>
            </w:pPr>
            <w:r>
              <w:rPr>
                <w:rFonts w:hint="eastAsia" w:ascii="宋体" w:hAnsi="宋体"/>
                <w:sz w:val="18"/>
                <w:szCs w:val="18"/>
              </w:rPr>
              <w:t>节能计算书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hint="eastAsia" w:ascii="宋体" w:hAnsi="宋体"/>
                <w:sz w:val="18"/>
                <w:szCs w:val="18"/>
                <w:lang w:eastAsia="zh-CN"/>
              </w:rPr>
            </w:pPr>
            <w:r>
              <w:rPr>
                <w:rFonts w:hint="eastAsia" w:ascii="宋体" w:hAnsi="宋体"/>
                <w:sz w:val="18"/>
                <w:szCs w:val="18"/>
              </w:rPr>
              <w:t>　</w:t>
            </w:r>
            <w:r>
              <w:rPr>
                <w:rFonts w:hint="eastAsia" w:ascii="宋体" w:hAnsi="宋体"/>
                <w:sz w:val="18"/>
                <w:szCs w:val="18"/>
                <w:lang w:val="en-US" w:eastAsia="zh-CN"/>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left"/>
              <w:rPr>
                <w:rFonts w:hint="eastAsia" w:ascii="宋体" w:hAnsi="宋体"/>
                <w:sz w:val="18"/>
                <w:szCs w:val="18"/>
              </w:rPr>
            </w:pPr>
            <w:r>
              <w:rPr>
                <w:rFonts w:hint="eastAsia" w:ascii="宋体" w:hAnsi="宋体"/>
                <w:sz w:val="18"/>
                <w:szCs w:val="18"/>
              </w:rPr>
              <w:t>　</w:t>
            </w:r>
          </w:p>
        </w:tc>
        <w:tc>
          <w:tcPr>
            <w:tcW w:w="236" w:type="dxa"/>
            <w:vMerge w:val="continue"/>
            <w:tcBorders>
              <w:left w:val="nil"/>
              <w:bottom w:val="single" w:color="auto" w:sz="4" w:space="0"/>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现场核查窗墙比、楼距等</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暖通.</w:t>
            </w:r>
          </w:p>
          <w:p>
            <w:pPr>
              <w:widowControl/>
              <w:spacing w:line="288" w:lineRule="auto"/>
              <w:jc w:val="center"/>
              <w:rPr>
                <w:rFonts w:ascii="宋体" w:hAnsi="宋体" w:cs="宋体"/>
                <w:kern w:val="0"/>
                <w:sz w:val="18"/>
                <w:szCs w:val="18"/>
              </w:rPr>
            </w:pPr>
            <w:r>
              <w:rPr>
                <w:rFonts w:ascii="宋体" w:hAnsi="宋体" w:cs="宋体"/>
                <w:kern w:val="0"/>
                <w:sz w:val="18"/>
                <w:szCs w:val="18"/>
              </w:rPr>
              <w:t>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hAnsi="宋体" w:cs="宋体"/>
                <w:kern w:val="0"/>
                <w:sz w:val="18"/>
                <w:szCs w:val="18"/>
              </w:rPr>
            </w:pPr>
          </w:p>
          <w:p>
            <w:pPr>
              <w:widowControl/>
              <w:spacing w:line="288" w:lineRule="auto"/>
              <w:jc w:val="center"/>
              <w:rPr>
                <w:rFonts w:ascii="宋体" w:cs="宋体"/>
                <w:kern w:val="0"/>
                <w:sz w:val="18"/>
                <w:szCs w:val="18"/>
              </w:rPr>
            </w:pPr>
            <w:r>
              <w:rPr>
                <w:rFonts w:ascii="宋体" w:hAnsi="宋体" w:cs="宋体"/>
                <w:kern w:val="0"/>
                <w:sz w:val="18"/>
                <w:szCs w:val="18"/>
              </w:rPr>
              <w:t>0</w:t>
            </w:r>
          </w:p>
        </w:tc>
        <w:tc>
          <w:tcPr>
            <w:tcW w:w="445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5.1.2</w:t>
            </w:r>
            <w:r>
              <w:rPr>
                <w:rFonts w:hint="eastAsia" w:ascii="宋体" w:hAnsi="宋体" w:cs="宋体"/>
                <w:kern w:val="0"/>
                <w:sz w:val="18"/>
                <w:szCs w:val="18"/>
              </w:rPr>
              <w:t>不应采用电直接加热设备作为供暖空调系统的供暖热源和空气加湿热源</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黑体" w:hAnsi="黑体" w:eastAsia="黑体" w:cs="宋体"/>
                <w:kern w:val="0"/>
                <w:sz w:val="18"/>
                <w:szCs w:val="18"/>
              </w:rPr>
            </w:pPr>
            <w:r>
              <w:rPr>
                <w:rFonts w:hint="eastAsia" w:ascii="宋体" w:hAnsi="宋体" w:cs="宋体"/>
                <w:kern w:val="0"/>
                <w:sz w:val="18"/>
                <w:szCs w:val="18"/>
              </w:rPr>
              <w:t>本项目采用分体式空调</w:t>
            </w:r>
          </w:p>
        </w:tc>
        <w:tc>
          <w:tcPr>
            <w:tcW w:w="3543"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电气设计说明</w:t>
            </w:r>
          </w:p>
        </w:tc>
        <w:tc>
          <w:tcPr>
            <w:tcW w:w="425"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p>
        </w:tc>
        <w:tc>
          <w:tcPr>
            <w:tcW w:w="236" w:type="dxa"/>
            <w:vMerge w:val="restart"/>
            <w:tcBorders>
              <w:top w:val="single" w:color="auto" w:sz="4" w:space="0"/>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809"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5.2.4 </w:t>
            </w:r>
            <w:r>
              <w:rPr>
                <w:rFonts w:hint="eastAsia" w:ascii="宋体" w:hAnsi="宋体" w:cs="宋体"/>
                <w:kern w:val="0"/>
                <w:sz w:val="18"/>
                <w:szCs w:val="18"/>
              </w:rPr>
              <w:t>供暖空调系统的冷、热源机组能效均优于现行设计标准以及现行能效限定值要求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hint="eastAsia" w:ascii="宋体" w:hAnsi="宋体" w:cs="宋体"/>
                <w:kern w:val="0"/>
                <w:sz w:val="18"/>
                <w:szCs w:val="18"/>
              </w:rPr>
              <w:t>1未设计空调采暖系统 不参评。</w:t>
            </w:r>
          </w:p>
          <w:p>
            <w:pPr>
              <w:widowControl/>
              <w:spacing w:line="288" w:lineRule="auto"/>
              <w:jc w:val="left"/>
              <w:rPr>
                <w:rFonts w:ascii="宋体" w:hAnsi="宋体" w:cs="宋体"/>
                <w:kern w:val="0"/>
                <w:sz w:val="18"/>
                <w:szCs w:val="18"/>
              </w:rPr>
            </w:pPr>
            <w:r>
              <w:rPr>
                <w:rFonts w:hint="eastAsia" w:ascii="宋体" w:hAnsi="宋体" w:cs="宋体"/>
                <w:kern w:val="0"/>
                <w:sz w:val="18"/>
                <w:szCs w:val="18"/>
              </w:rPr>
              <w:t xml:space="preserve">2机组类型  分体空调   ；能效指标  </w:t>
            </w:r>
            <w:r>
              <w:rPr>
                <w:rFonts w:ascii="宋体" w:hAnsi="宋体" w:cs="宋体"/>
                <w:kern w:val="0"/>
                <w:sz w:val="18"/>
                <w:szCs w:val="18"/>
              </w:rPr>
              <w:t>2级</w:t>
            </w:r>
            <w:r>
              <w:rPr>
                <w:rFonts w:hint="eastAsia" w:ascii="宋体" w:hAnsi="宋体" w:cs="宋体"/>
                <w:kern w:val="0"/>
                <w:sz w:val="18"/>
                <w:szCs w:val="18"/>
              </w:rPr>
              <w:t xml:space="preserve">   ；■ 提高或降低幅度    　　　　 。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电气设计说明</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1120"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5.2.5 </w:t>
            </w:r>
            <w:r>
              <w:rPr>
                <w:rFonts w:hint="eastAsia" w:ascii="宋体" w:hAnsi="宋体" w:cs="宋体"/>
                <w:kern w:val="0"/>
                <w:sz w:val="18"/>
                <w:szCs w:val="18"/>
              </w:rPr>
              <w:t>集中供暖系统热水循环泵的耗电输热比和系统风机的单位风量耗功率符合现行设计标准等有关规定，循环水泵的耗电输冷热比比现行设计规范规定值低</w:t>
            </w:r>
            <w:r>
              <w:rPr>
                <w:rFonts w:ascii="宋体" w:hAnsi="宋体" w:cs="宋体"/>
                <w:b/>
                <w:bCs/>
                <w:kern w:val="0"/>
                <w:sz w:val="18"/>
                <w:szCs w:val="18"/>
              </w:rPr>
              <w:t>20%</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非集中空调或供暖</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耗电输热比</w:t>
            </w:r>
            <w:r>
              <w:rPr>
                <w:rFonts w:ascii="宋体" w:hAnsi="宋体" w:cs="宋体"/>
                <w:kern w:val="0"/>
                <w:sz w:val="18"/>
                <w:szCs w:val="18"/>
                <w:u w:val="single"/>
              </w:rPr>
              <w:t xml:space="preserve">     </w:t>
            </w:r>
            <w:r>
              <w:rPr>
                <w:rFonts w:hint="eastAsia" w:ascii="宋体" w:hAnsi="宋体" w:cs="宋体"/>
                <w:kern w:val="0"/>
                <w:sz w:val="18"/>
                <w:szCs w:val="18"/>
              </w:rPr>
              <w:t>；通风空调系统风机的风量耗功率</w:t>
            </w:r>
            <w:r>
              <w:rPr>
                <w:rFonts w:ascii="宋体" w:hAnsi="宋体" w:cs="宋体"/>
                <w:kern w:val="0"/>
                <w:sz w:val="18"/>
                <w:szCs w:val="18"/>
                <w:u w:val="single"/>
              </w:rPr>
              <w:t xml:space="preserve">    </w:t>
            </w:r>
            <w:r>
              <w:rPr>
                <w:rFonts w:hint="eastAsia" w:ascii="宋体" w:hAnsi="宋体" w:cs="宋体"/>
                <w:kern w:val="0"/>
                <w:sz w:val="18"/>
                <w:szCs w:val="18"/>
              </w:rPr>
              <w:t>；冷热水循环水泵的耗电输冷（热）比较现行国家规定值低</w:t>
            </w:r>
            <w:r>
              <w:rPr>
                <w:rFonts w:ascii="宋体" w:hAnsi="宋体" w:cs="宋体"/>
                <w:kern w:val="0"/>
                <w:sz w:val="18"/>
                <w:szCs w:val="18"/>
                <w:u w:val="single"/>
              </w:rPr>
              <w:t xml:space="preserve">   </w:t>
            </w:r>
            <w:r>
              <w:rPr>
                <w:rFonts w:hint="eastAsia" w:ascii="宋体" w:hAnsi="宋体" w:cs="宋体"/>
                <w:kern w:val="0"/>
                <w:sz w:val="18"/>
                <w:szCs w:val="18"/>
                <w:u w:val="single"/>
              </w:rPr>
              <w:t>　</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电气设计说明</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r>
              <w:rPr>
                <w:rFonts w:ascii="宋体" w:hAnsi="宋体" w:cs="宋体"/>
                <w:kern w:val="0"/>
                <w:sz w:val="18"/>
                <w:szCs w:val="18"/>
              </w:rPr>
              <w:t>6</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5.2.6</w:t>
            </w:r>
            <w:r>
              <w:rPr>
                <w:rFonts w:hint="eastAsia" w:ascii="宋体" w:hAnsi="宋体" w:cs="宋体"/>
                <w:kern w:val="0"/>
                <w:sz w:val="18"/>
                <w:szCs w:val="18"/>
              </w:rPr>
              <w:t>合理选择和优化供暖、通风与空调系统</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供暖、通风与空调系统能耗降低幅度</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空调动态负荷计算书；设计图纸（专业</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0</w:t>
            </w:r>
          </w:p>
        </w:tc>
        <w:tc>
          <w:tcPr>
            <w:tcW w:w="850"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5.2.7</w:t>
            </w:r>
            <w:r>
              <w:rPr>
                <w:rFonts w:hint="eastAsia" w:ascii="宋体" w:hAnsi="宋体" w:cs="宋体"/>
                <w:kern w:val="0"/>
                <w:sz w:val="18"/>
                <w:szCs w:val="18"/>
              </w:rPr>
              <w:t>采取措施降低过渡季节供暖、通风与空调系统能耗</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本项目采用分体空调，可随时开窗通风。</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暖通设计说明</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现场核查相关设备和措施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73" w:hRule="atLeas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5.2.8</w:t>
            </w:r>
            <w:r>
              <w:rPr>
                <w:rFonts w:hint="eastAsia" w:ascii="宋体" w:hAnsi="宋体" w:cs="宋体"/>
                <w:kern w:val="0"/>
                <w:sz w:val="18"/>
                <w:szCs w:val="18"/>
              </w:rPr>
              <w:t>采取措施降低部分负荷、部分空间使用下的供暖、通风与空调系统能耗</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①区分房间朝向，分区控制</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；②合理选配机组台数与容量，部分负荷性能符合标准</w:t>
            </w:r>
            <w:r>
              <w:rPr>
                <w:rFonts w:ascii="宋体" w:hAnsi="宋体" w:cs="宋体"/>
                <w:kern w:val="0"/>
                <w:sz w:val="18"/>
                <w:szCs w:val="18"/>
                <w:u w:val="single"/>
              </w:rPr>
              <w:t xml:space="preserve">  </w:t>
            </w:r>
            <w:r>
              <w:rPr>
                <w:rFonts w:hint="eastAsia" w:ascii="宋体" w:hAnsi="宋体" w:cs="宋体"/>
                <w:kern w:val="0"/>
                <w:sz w:val="18"/>
                <w:szCs w:val="18"/>
              </w:rPr>
              <w:t>；③水、风系统采用变频技术，采取水力平衡措施</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采用分体机、多联机，可认定①③为满足</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暖通设计说明</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xml:space="preserve"> 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不参评-</w:t>
            </w:r>
            <w:r>
              <w:rPr>
                <w:rFonts w:ascii="宋体" w:hAnsi="宋体" w:cs="宋体"/>
                <w:kern w:val="0"/>
                <w:sz w:val="18"/>
                <w:szCs w:val="18"/>
              </w:rPr>
              <w:t>3</w:t>
            </w: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现场核查相关设备和措施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809"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5.2.13 </w:t>
            </w:r>
            <w:r>
              <w:rPr>
                <w:rFonts w:hint="eastAsia" w:ascii="宋体" w:hAnsi="宋体" w:cs="宋体"/>
                <w:kern w:val="0"/>
                <w:sz w:val="18"/>
                <w:szCs w:val="18"/>
              </w:rPr>
              <w:t>排风能量回收系统设计合理并运行可靠</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无独立新风系统，或温差不超过</w:t>
            </w:r>
            <w:r>
              <w:rPr>
                <w:rFonts w:ascii="宋体" w:hAnsi="宋体" w:cs="宋体"/>
                <w:kern w:val="0"/>
                <w:sz w:val="18"/>
                <w:szCs w:val="18"/>
              </w:rPr>
              <w:t>15</w:t>
            </w:r>
            <w:r>
              <w:rPr>
                <w:rFonts w:hint="eastAsia" w:ascii="宋体" w:hAnsi="宋体" w:cs="宋体"/>
                <w:kern w:val="0"/>
                <w:sz w:val="18"/>
                <w:szCs w:val="18"/>
              </w:rPr>
              <w:t>℃</w:t>
            </w:r>
            <w:r>
              <w:rPr>
                <w:rFonts w:hint="eastAsia" w:ascii="宋体" w:hAnsi="宋体" w:cs="宋体"/>
                <w:kern w:val="0"/>
                <w:sz w:val="18"/>
                <w:szCs w:val="18"/>
                <w:u w:val="single"/>
              </w:rPr>
              <w:t>　</w:t>
            </w:r>
            <w:r>
              <w:rPr>
                <w:rFonts w:hint="eastAsia" w:ascii="宋体" w:hAnsi="宋体" w:cs="宋体"/>
                <w:kern w:val="0"/>
                <w:sz w:val="18"/>
                <w:szCs w:val="18"/>
              </w:rPr>
              <w:t>■</w:t>
            </w:r>
            <w:r>
              <w:rPr>
                <w:rFonts w:hint="eastAsia" w:ascii="宋体" w:hAnsi="宋体" w:cs="宋体"/>
                <w:kern w:val="0"/>
                <w:sz w:val="18"/>
                <w:szCs w:val="18"/>
                <w:u w:val="single"/>
              </w:rPr>
              <w:t>　</w:t>
            </w:r>
            <w:r>
              <w:rPr>
                <w:rFonts w:hint="eastAsia"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①排风热回收装置热回收效率</w:t>
            </w:r>
            <w:r>
              <w:rPr>
                <w:rFonts w:ascii="宋体" w:hAnsi="宋体" w:cs="宋体"/>
                <w:kern w:val="0"/>
                <w:sz w:val="18"/>
                <w:szCs w:val="18"/>
                <w:u w:val="single"/>
              </w:rPr>
              <w:t xml:space="preserve">      % </w:t>
            </w:r>
            <w:r>
              <w:rPr>
                <w:rFonts w:hint="eastAsia" w:ascii="宋体" w:hAnsi="宋体" w:cs="宋体"/>
                <w:kern w:val="0"/>
                <w:sz w:val="18"/>
                <w:szCs w:val="18"/>
              </w:rPr>
              <w:t>；②双向换气装置的热回收效率</w:t>
            </w:r>
            <w:r>
              <w:rPr>
                <w:rFonts w:ascii="宋体" w:hAnsi="宋体" w:cs="宋体"/>
                <w:kern w:val="0"/>
                <w:sz w:val="18"/>
                <w:szCs w:val="18"/>
                <w:u w:val="single"/>
              </w:rPr>
              <w:t xml:space="preserve">  </w:t>
            </w:r>
            <w:r>
              <w:rPr>
                <w:rFonts w:hint="eastAsia" w:ascii="宋体" w:hAnsi="宋体" w:cs="宋体"/>
                <w:kern w:val="0"/>
                <w:sz w:val="18"/>
                <w:szCs w:val="18"/>
                <w:u w:val="single"/>
              </w:rPr>
              <w:t>　</w:t>
            </w:r>
            <w:r>
              <w:rPr>
                <w:rFonts w:ascii="宋体" w:hAnsi="宋体" w:cs="宋体"/>
                <w:kern w:val="0"/>
                <w:sz w:val="18"/>
                <w:szCs w:val="18"/>
                <w:u w:val="single"/>
              </w:rPr>
              <w:t xml:space="preserve"> % </w:t>
            </w:r>
            <w:r>
              <w:rPr>
                <w:rFonts w:hint="eastAsia" w:ascii="宋体" w:hAnsi="宋体" w:cs="宋体"/>
                <w:kern w:val="0"/>
                <w:sz w:val="18"/>
                <w:szCs w:val="18"/>
              </w:rPr>
              <w:t>。</w:t>
            </w:r>
            <w:r>
              <w:rPr>
                <w:rFonts w:ascii="宋体" w:hAnsi="宋体" w:cs="宋体"/>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　不参评</w:t>
            </w:r>
          </w:p>
          <w:p>
            <w:pPr>
              <w:widowControl/>
              <w:spacing w:line="288" w:lineRule="auto"/>
              <w:jc w:val="center"/>
              <w:rPr>
                <w:rFonts w:ascii="宋体" w:cs="宋体"/>
                <w:kern w:val="0"/>
                <w:sz w:val="18"/>
                <w:szCs w:val="18"/>
              </w:rPr>
            </w:pPr>
            <w:r>
              <w:rPr>
                <w:rFonts w:hint="eastAsia" w:ascii="宋体" w:hAnsi="宋体" w:cs="宋体"/>
                <w:kern w:val="0"/>
                <w:sz w:val="18"/>
                <w:szCs w:val="18"/>
              </w:rPr>
              <w:t>3分</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845"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5.2.14 </w:t>
            </w:r>
            <w:r>
              <w:rPr>
                <w:rFonts w:hint="eastAsia" w:ascii="宋体" w:hAnsi="宋体" w:cs="宋体"/>
                <w:kern w:val="0"/>
                <w:sz w:val="18"/>
                <w:szCs w:val="18"/>
              </w:rPr>
              <w:t>合理采用蓄冷蓄热系统</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居住建筑或峰谷电价差低于</w:t>
            </w:r>
            <w:r>
              <w:rPr>
                <w:rFonts w:ascii="宋体" w:hAnsi="宋体" w:cs="宋体"/>
                <w:kern w:val="0"/>
                <w:sz w:val="18"/>
                <w:szCs w:val="18"/>
              </w:rPr>
              <w:t>2.5</w:t>
            </w:r>
            <w:r>
              <w:rPr>
                <w:rFonts w:hint="eastAsia" w:ascii="宋体" w:hAnsi="宋体" w:cs="宋体"/>
                <w:kern w:val="0"/>
                <w:sz w:val="18"/>
                <w:szCs w:val="18"/>
              </w:rPr>
              <w:t>倍的公共建筑</w:t>
            </w:r>
            <w:r>
              <w:rPr>
                <w:rFonts w:hint="eastAsia" w:ascii="宋体" w:hAnsi="宋体" w:cs="宋体"/>
                <w:kern w:val="0"/>
                <w:sz w:val="18"/>
                <w:szCs w:val="18"/>
                <w:u w:val="single"/>
              </w:rPr>
              <w:t xml:space="preserve"> </w:t>
            </w:r>
            <w:r>
              <w:rPr>
                <w:rFonts w:hint="eastAsia" w:ascii="宋体" w:hAnsi="宋体" w:cs="宋体"/>
                <w:kern w:val="0"/>
                <w:sz w:val="18"/>
                <w:szCs w:val="18"/>
              </w:rPr>
              <w:t xml:space="preserve"> ■</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蓄能设备提供的设计日冷量达到</w:t>
            </w:r>
            <w:r>
              <w:rPr>
                <w:rFonts w:ascii="宋体" w:hAnsi="宋体" w:cs="宋体"/>
                <w:kern w:val="0"/>
                <w:sz w:val="18"/>
                <w:szCs w:val="18"/>
                <w:u w:val="single"/>
              </w:rPr>
              <w:t xml:space="preserve">    %</w:t>
            </w:r>
            <w:r>
              <w:rPr>
                <w:rFonts w:hint="eastAsia" w:ascii="宋体" w:hAnsi="宋体" w:cs="宋体"/>
                <w:kern w:val="0"/>
                <w:sz w:val="18"/>
                <w:szCs w:val="18"/>
              </w:rPr>
              <w:t>；谷价时段设备运行能量的</w:t>
            </w:r>
            <w:r>
              <w:rPr>
                <w:rFonts w:hint="eastAsia" w:ascii="宋体" w:hAnsi="宋体" w:cs="宋体"/>
                <w:kern w:val="0"/>
                <w:sz w:val="18"/>
                <w:szCs w:val="18"/>
                <w:u w:val="single"/>
              </w:rPr>
              <w:t>　</w:t>
            </w:r>
            <w:r>
              <w:rPr>
                <w:rFonts w:ascii="宋体" w:hAnsi="宋体" w:cs="宋体"/>
                <w:kern w:val="0"/>
                <w:sz w:val="18"/>
                <w:szCs w:val="18"/>
                <w:u w:val="single"/>
              </w:rPr>
              <w:t xml:space="preserve"> %</w:t>
            </w:r>
            <w:r>
              <w:rPr>
                <w:rFonts w:hint="eastAsia" w:ascii="宋体" w:hAnsi="宋体" w:cs="宋体"/>
                <w:kern w:val="0"/>
                <w:sz w:val="18"/>
                <w:szCs w:val="18"/>
              </w:rPr>
              <w:t>被存储使用。</w:t>
            </w:r>
          </w:p>
        </w:tc>
        <w:tc>
          <w:tcPr>
            <w:tcW w:w="3543"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　不参评</w:t>
            </w:r>
          </w:p>
          <w:p>
            <w:pPr>
              <w:widowControl/>
              <w:spacing w:line="288" w:lineRule="auto"/>
              <w:jc w:val="center"/>
              <w:rPr>
                <w:rFonts w:ascii="宋体" w:cs="宋体"/>
                <w:kern w:val="0"/>
                <w:sz w:val="18"/>
                <w:szCs w:val="18"/>
              </w:rPr>
            </w:pPr>
            <w:r>
              <w:rPr>
                <w:rFonts w:hint="eastAsia" w:ascii="宋体" w:hAnsi="宋体" w:cs="宋体"/>
                <w:kern w:val="0"/>
                <w:sz w:val="18"/>
                <w:szCs w:val="18"/>
              </w:rPr>
              <w:t>3分</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24" w:hRule="atLeast"/>
        </w:trPr>
        <w:tc>
          <w:tcPr>
            <w:tcW w:w="46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暖通及给排水</w:t>
            </w:r>
          </w:p>
        </w:tc>
        <w:tc>
          <w:tcPr>
            <w:tcW w:w="445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5.2.15 </w:t>
            </w:r>
            <w:r>
              <w:rPr>
                <w:rFonts w:hint="eastAsia" w:ascii="宋体" w:hAnsi="宋体" w:cs="宋体"/>
                <w:kern w:val="0"/>
                <w:sz w:val="18"/>
                <w:szCs w:val="18"/>
              </w:rPr>
              <w:t>合理利用余热废热解决建筑的蒸汽、供暖或生活热水需求</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建筑无可用余热或无稳定热需求</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余热或废热提供的能量占建筑所需蒸汽设计日总量的</w:t>
            </w:r>
            <w:r>
              <w:rPr>
                <w:rFonts w:ascii="宋体" w:hAnsi="宋体" w:cs="宋体"/>
                <w:kern w:val="0"/>
                <w:sz w:val="18"/>
                <w:szCs w:val="18"/>
                <w:u w:val="single"/>
              </w:rPr>
              <w:t xml:space="preserve">    %</w:t>
            </w:r>
            <w:r>
              <w:rPr>
                <w:rFonts w:hint="eastAsia" w:ascii="宋体" w:hAnsi="宋体" w:cs="宋体"/>
                <w:kern w:val="0"/>
                <w:sz w:val="18"/>
                <w:szCs w:val="18"/>
              </w:rPr>
              <w:t>，供暖设计日总量的</w:t>
            </w:r>
            <w:r>
              <w:rPr>
                <w:rFonts w:ascii="宋体" w:hAnsi="宋体" w:cs="宋体"/>
                <w:kern w:val="0"/>
                <w:sz w:val="18"/>
                <w:szCs w:val="18"/>
                <w:u w:val="single"/>
              </w:rPr>
              <w:t xml:space="preserve">    %</w:t>
            </w:r>
            <w:r>
              <w:rPr>
                <w:rFonts w:hint="eastAsia" w:ascii="宋体" w:hAnsi="宋体" w:cs="宋体"/>
                <w:kern w:val="0"/>
                <w:sz w:val="18"/>
                <w:szCs w:val="18"/>
              </w:rPr>
              <w:t>，生活热水设计日总量的</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　不参评</w:t>
            </w:r>
          </w:p>
          <w:p>
            <w:pPr>
              <w:widowControl/>
              <w:spacing w:line="288" w:lineRule="auto"/>
              <w:jc w:val="center"/>
              <w:rPr>
                <w:rFonts w:ascii="宋体" w:cs="宋体"/>
                <w:kern w:val="0"/>
                <w:sz w:val="18"/>
                <w:szCs w:val="18"/>
              </w:rPr>
            </w:pPr>
            <w:r>
              <w:rPr>
                <w:rFonts w:hint="eastAsia" w:ascii="宋体" w:hAnsi="宋体" w:cs="宋体"/>
                <w:kern w:val="0"/>
                <w:sz w:val="18"/>
                <w:szCs w:val="18"/>
              </w:rPr>
              <w:t>4分</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现场核查余热回收设施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858" w:hRule="exact"/>
        </w:trPr>
        <w:tc>
          <w:tcPr>
            <w:tcW w:w="46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电气</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5.1.3</w:t>
            </w:r>
            <w:r>
              <w:rPr>
                <w:rFonts w:hint="eastAsia" w:ascii="宋体" w:hAnsi="宋体" w:cs="宋体"/>
                <w:kern w:val="0"/>
                <w:sz w:val="18"/>
                <w:szCs w:val="18"/>
              </w:rPr>
              <w:t>冷热源、输配系统和照明等各部分能耗应进行独立分项计量。</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w:t>
            </w:r>
            <w:r>
              <w:rPr>
                <w:rFonts w:ascii="宋体" w:hAnsi="宋体" w:cs="宋体"/>
                <w:kern w:val="0"/>
                <w:sz w:val="18"/>
                <w:szCs w:val="18"/>
                <w:u w:val="single"/>
              </w:rPr>
              <w:t xml:space="preserve"> </w:t>
            </w:r>
            <w:r>
              <w:rPr>
                <w:rFonts w:hint="eastAsia" w:ascii="宋体" w:hAnsi="宋体" w:cs="宋体"/>
                <w:kern w:val="0"/>
                <w:sz w:val="18"/>
                <w:szCs w:val="18"/>
                <w:u w:val="single"/>
              </w:rPr>
              <w:t xml:space="preserve">不参评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公共建筑：对建筑内各耗能进行独立分项计量■。</w:t>
            </w:r>
            <w:r>
              <w:rPr>
                <w:rFonts w:ascii="宋体" w:hAnsi="宋体" w:cs="宋体"/>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配电系统图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现场核查分项计量装置设置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1144" w:hRule="exact"/>
        </w:trPr>
        <w:tc>
          <w:tcPr>
            <w:tcW w:w="46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5.1.4 </w:t>
            </w:r>
            <w:r>
              <w:rPr>
                <w:rFonts w:hint="eastAsia" w:ascii="宋体" w:hAnsi="宋体" w:cs="宋体"/>
                <w:kern w:val="0"/>
                <w:sz w:val="18"/>
                <w:szCs w:val="18"/>
              </w:rPr>
              <w:t>各房间或场所的照明功率密度值不得高于现行国家标准《建筑照明设计标准》</w:t>
            </w:r>
            <w:r>
              <w:rPr>
                <w:rFonts w:ascii="宋体" w:hAnsi="宋体" w:cs="宋体"/>
                <w:kern w:val="0"/>
                <w:sz w:val="18"/>
                <w:szCs w:val="18"/>
              </w:rPr>
              <w:t>GB 50034</w:t>
            </w:r>
            <w:r>
              <w:rPr>
                <w:rFonts w:hint="eastAsia" w:ascii="宋体" w:hAnsi="宋体" w:cs="宋体"/>
                <w:kern w:val="0"/>
                <w:sz w:val="18"/>
                <w:szCs w:val="18"/>
              </w:rPr>
              <w:t>中的现行值规定</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黑体" w:hAnsi="黑体" w:eastAsia="黑体" w:cs="宋体"/>
                <w:kern w:val="0"/>
                <w:sz w:val="18"/>
                <w:szCs w:val="18"/>
              </w:rPr>
            </w:pPr>
            <w:r>
              <w:rPr>
                <w:rFonts w:hint="eastAsia" w:ascii="宋体" w:hAnsi="宋体" w:cs="宋体"/>
                <w:kern w:val="0"/>
                <w:sz w:val="18"/>
                <w:szCs w:val="18"/>
                <w:lang w:eastAsia="zh-CN"/>
              </w:rPr>
              <w:t>本工程一般照明均采用节能型光源及灯具，</w:t>
            </w:r>
            <w:r>
              <w:rPr>
                <w:rFonts w:hint="eastAsia" w:ascii="宋体" w:hAnsi="宋体" w:cs="宋体"/>
                <w:kern w:val="0"/>
                <w:sz w:val="18"/>
                <w:szCs w:val="18"/>
                <w:lang w:val="en-US" w:eastAsia="zh-CN"/>
              </w:rPr>
              <w:t>照明灯具效率为：高强度气体放电灯：开敞式＞75%，栅格或透光罩＞60%，格栅＞50%。有天然采光的楼梯间，走道的照明除应急照明外，均采用节能自熄开关。荧光灯均采用功率因数大于0.9的节能荧光灯。</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照度计算书；照明平面图；电气设计说明</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现场核查照明设施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5.2.9 </w:t>
            </w:r>
            <w:r>
              <w:rPr>
                <w:rFonts w:hint="eastAsia" w:ascii="宋体" w:hAnsi="宋体" w:cs="宋体"/>
                <w:kern w:val="0"/>
                <w:sz w:val="18"/>
                <w:szCs w:val="18"/>
              </w:rPr>
              <w:t>走廊、楼梯间、门厅、大堂、大空间等场所的照明系统采取分区、定时、感应等节能控制措施</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hint="eastAsia" w:ascii="宋体" w:hAnsi="宋体" w:cs="宋体"/>
                <w:kern w:val="0"/>
                <w:sz w:val="18"/>
                <w:szCs w:val="18"/>
              </w:rPr>
              <w:t>采用■</w:t>
            </w:r>
            <w:r>
              <w:rPr>
                <w:rFonts w:ascii="宋体" w:hAnsi="宋体" w:cs="宋体"/>
                <w:kern w:val="0"/>
                <w:sz w:val="18"/>
                <w:szCs w:val="18"/>
              </w:rPr>
              <w:t xml:space="preserve">  </w:t>
            </w:r>
            <w:r>
              <w:rPr>
                <w:rFonts w:hint="eastAsia" w:ascii="宋体" w:hAnsi="宋体" w:cs="宋体"/>
                <w:kern w:val="0"/>
                <w:sz w:val="18"/>
                <w:szCs w:val="18"/>
              </w:rPr>
              <w:t>不采用□</w:t>
            </w:r>
            <w:r>
              <w:rPr>
                <w:rFonts w:ascii="宋体" w:hAnsi="宋体" w:cs="宋体"/>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电气设计说明；照明平面图；设备表</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tcPr>
          <w:p>
            <w:pPr>
              <w:widowControl/>
              <w:spacing w:line="288" w:lineRule="auto"/>
              <w:jc w:val="center"/>
              <w:rPr>
                <w:rFonts w:ascii="宋体" w:cs="宋体"/>
                <w:kern w:val="0"/>
                <w:sz w:val="18"/>
                <w:szCs w:val="18"/>
              </w:rPr>
            </w:pPr>
            <w:r>
              <w:rPr>
                <w:rFonts w:ascii="宋体" w:hAnsi="宋体" w:cs="宋体"/>
                <w:kern w:val="0"/>
                <w:sz w:val="18"/>
                <w:szCs w:val="18"/>
              </w:rPr>
              <w:t>5</w:t>
            </w: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现场核查照明控制设施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5.2.10 </w:t>
            </w:r>
            <w:r>
              <w:rPr>
                <w:rFonts w:hint="eastAsia" w:ascii="宋体" w:hAnsi="宋体" w:cs="宋体"/>
                <w:kern w:val="0"/>
                <w:sz w:val="18"/>
                <w:szCs w:val="18"/>
              </w:rPr>
              <w:t>照明功率密度值达到现行国家标准《建筑照明设计标准》</w:t>
            </w:r>
            <w:r>
              <w:rPr>
                <w:rFonts w:ascii="宋体" w:hAnsi="宋体" w:cs="宋体"/>
                <w:kern w:val="0"/>
                <w:sz w:val="18"/>
                <w:szCs w:val="18"/>
              </w:rPr>
              <w:t>GB 50034</w:t>
            </w:r>
            <w:r>
              <w:rPr>
                <w:rFonts w:hint="eastAsia" w:ascii="宋体" w:hAnsi="宋体" w:cs="宋体"/>
                <w:kern w:val="0"/>
                <w:sz w:val="18"/>
                <w:szCs w:val="18"/>
              </w:rPr>
              <w:t>中的目标值规定</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主要功能房间满足要求 □</w:t>
            </w:r>
            <w:r>
              <w:rPr>
                <w:rFonts w:ascii="宋体" w:hAnsi="宋体" w:cs="宋体"/>
                <w:kern w:val="0"/>
                <w:sz w:val="18"/>
                <w:szCs w:val="18"/>
              </w:rPr>
              <w:t xml:space="preserve"> </w:t>
            </w:r>
            <w:r>
              <w:rPr>
                <w:rFonts w:hint="eastAsia" w:ascii="宋体" w:hAnsi="宋体" w:cs="宋体"/>
                <w:kern w:val="0"/>
                <w:sz w:val="18"/>
                <w:szCs w:val="18"/>
              </w:rPr>
              <w:t>；所有区域均满足要求</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设计图纸（电气</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lang w:val="en-US" w:eastAsia="zh-CN"/>
              </w:rPr>
              <w:t>0</w:t>
            </w:r>
            <w:r>
              <w:rPr>
                <w:rFonts w:hint="eastAsia" w:ascii="宋体" w:hAnsi="宋体" w:cs="宋体"/>
                <w:kern w:val="0"/>
                <w:sz w:val="18"/>
                <w:szCs w:val="18"/>
              </w:rPr>
              <w:t>　</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现场核查照明设施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561" w:hRule="atLeas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电气及建筑</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5.2.11</w:t>
            </w:r>
            <w:r>
              <w:rPr>
                <w:rFonts w:hint="eastAsia" w:ascii="宋体" w:hAnsi="宋体" w:cs="宋体"/>
                <w:kern w:val="0"/>
                <w:sz w:val="18"/>
                <w:szCs w:val="18"/>
              </w:rPr>
              <w:t>合理选用电梯和自动扶梯，并采取电梯群控、扶梯自动启停等节能控制措施</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无电梯■；</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合理选用电梯，且采用群控、自动启停等节能控制措施□。</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电气设计说明</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查阅产品质量合格证明等资料并现场核查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电气及给排水</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5.2.12</w:t>
            </w:r>
            <w:r>
              <w:rPr>
                <w:rFonts w:hint="eastAsia" w:ascii="宋体" w:hAnsi="宋体" w:cs="宋体"/>
                <w:color w:val="7F7F7F" w:themeColor="background1" w:themeShade="80"/>
                <w:kern w:val="0"/>
                <w:sz w:val="18"/>
                <w:szCs w:val="18"/>
              </w:rPr>
              <w:t>合理选用节能型电气设备</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变压器类型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损耗：空载</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w:t>
            </w:r>
            <w:r>
              <w:rPr>
                <w:rFonts w:hint="eastAsia" w:ascii="宋体" w:hAnsi="宋体" w:cs="宋体"/>
                <w:color w:val="7F7F7F" w:themeColor="background1" w:themeShade="80"/>
                <w:kern w:val="0"/>
                <w:sz w:val="18"/>
                <w:szCs w:val="18"/>
              </w:rPr>
              <w:t>，负载</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，能效等级</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3.</w:t>
            </w:r>
            <w:r>
              <w:rPr>
                <w:rFonts w:hint="eastAsia" w:ascii="宋体" w:hAnsi="宋体" w:cs="宋体"/>
                <w:color w:val="7F7F7F" w:themeColor="background1" w:themeShade="80"/>
                <w:kern w:val="0"/>
                <w:sz w:val="18"/>
                <w:szCs w:val="18"/>
              </w:rPr>
              <w:t>水泵能效值</w:t>
            </w:r>
            <w:r>
              <w:rPr>
                <w:rFonts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，风机能效值</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设计图纸（建筑</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ind w:firstLine="180" w:firstLineChars="100"/>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查阅变压器、水泵、风机等设备的产品型式检验报告并现场核查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69"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5.2.16 </w:t>
            </w:r>
            <w:r>
              <w:rPr>
                <w:rFonts w:hint="eastAsia" w:ascii="宋体" w:hAnsi="宋体" w:cs="宋体"/>
                <w:color w:val="7F7F7F" w:themeColor="background1" w:themeShade="80"/>
                <w:kern w:val="0"/>
                <w:sz w:val="18"/>
                <w:szCs w:val="18"/>
              </w:rPr>
              <w:t>根据当地气候和自然资源条件，合理利用可再生能源</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由可再生能源提供的生活用热水比例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；由可再生能源提供的空调用冷量和热量比例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w:t>
            </w:r>
            <w:r>
              <w:rPr>
                <w:rFonts w:ascii="宋体" w:hAnsi="宋体" w:cs="宋体"/>
                <w:color w:val="7F7F7F" w:themeColor="background1" w:themeShade="80"/>
                <w:kern w:val="0"/>
                <w:sz w:val="18"/>
                <w:szCs w:val="18"/>
                <w:u w:val="single"/>
              </w:rPr>
              <w:t xml:space="preserve">  % </w:t>
            </w:r>
            <w:r>
              <w:rPr>
                <w:rFonts w:hint="eastAsia" w:ascii="宋体" w:hAnsi="宋体" w:cs="宋体"/>
                <w:color w:val="7F7F7F" w:themeColor="background1" w:themeShade="80"/>
                <w:kern w:val="0"/>
                <w:sz w:val="18"/>
                <w:szCs w:val="18"/>
              </w:rPr>
              <w:t>；由可再生能源提供的电量比例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w:t>
            </w:r>
            <w:r>
              <w:rPr>
                <w:rFonts w:ascii="宋体" w:hAnsi="宋体" w:cs="宋体"/>
                <w:color w:val="7F7F7F" w:themeColor="background1" w:themeShade="80"/>
                <w:kern w:val="0"/>
                <w:sz w:val="18"/>
                <w:szCs w:val="18"/>
                <w:u w:val="single"/>
              </w:rPr>
              <w:t>%</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给排水</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0</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现场核查可再生能源利用设施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97" w:hRule="exact"/>
        </w:trPr>
        <w:tc>
          <w:tcPr>
            <w:tcW w:w="16551" w:type="dxa"/>
            <w:gridSpan w:val="13"/>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三、节水与水资源利用（设计参评总分：100</w:t>
            </w:r>
            <w:r>
              <w:rPr>
                <w:rFonts w:ascii="黑体" w:hAnsi="黑体" w:eastAsia="黑体" w:cs="宋体"/>
                <w:kern w:val="0"/>
                <w:szCs w:val="21"/>
              </w:rPr>
              <w:t xml:space="preserve">  </w:t>
            </w:r>
            <w:r>
              <w:rPr>
                <w:rFonts w:hint="eastAsia" w:ascii="黑体" w:hAnsi="黑体" w:eastAsia="黑体" w:cs="宋体"/>
                <w:kern w:val="0"/>
                <w:szCs w:val="21"/>
              </w:rPr>
              <w:t>本项目实际参评总分：86</w:t>
            </w:r>
            <w:r>
              <w:rPr>
                <w:rFonts w:ascii="黑体" w:hAnsi="黑体" w:eastAsia="黑体" w:cs="宋体"/>
                <w:kern w:val="0"/>
                <w:szCs w:val="21"/>
              </w:rPr>
              <w:t xml:space="preserve">      </w:t>
            </w:r>
            <w:r>
              <w:rPr>
                <w:rFonts w:hint="eastAsia" w:ascii="黑体" w:hAnsi="黑体" w:eastAsia="黑体" w:cs="宋体"/>
                <w:kern w:val="0"/>
                <w:szCs w:val="21"/>
              </w:rPr>
              <w:t>本项目实际得分：</w:t>
            </w:r>
            <w:r>
              <w:rPr>
                <w:rFonts w:ascii="黑体" w:hAnsi="黑体" w:eastAsia="黑体" w:cs="宋体"/>
                <w:kern w:val="0"/>
                <w:szCs w:val="21"/>
              </w:rPr>
              <w:t>61</w:t>
            </w:r>
            <w:r>
              <w:rPr>
                <w:rFonts w:hint="eastAsia" w:ascii="黑体" w:hAnsi="黑体" w:eastAsia="黑体" w:cs="宋体"/>
                <w:kern w:val="0"/>
                <w:szCs w:val="21"/>
              </w:rPr>
              <w:t>　本项目计算得分：</w:t>
            </w:r>
            <w:r>
              <w:rPr>
                <w:rFonts w:ascii="黑体" w:hAnsi="黑体" w:eastAsia="黑体" w:cs="宋体"/>
                <w:kern w:val="0"/>
                <w:szCs w:val="21"/>
              </w:rPr>
              <w:t>70.93</w:t>
            </w:r>
            <w:r>
              <w:rPr>
                <w:rFonts w:hint="eastAsia" w:ascii="黑体" w:hAnsi="黑体" w:eastAsia="黑体" w:cs="宋体"/>
                <w:kern w:val="0"/>
                <w:szCs w:val="21"/>
              </w:rPr>
              <w:t>）</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Cs w:val="21"/>
              </w:rPr>
            </w:pP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三、节水与水资源利用</w:t>
            </w: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给排水</w:t>
            </w: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6.1.1</w:t>
            </w:r>
            <w:r>
              <w:rPr>
                <w:rFonts w:hint="eastAsia" w:ascii="宋体" w:hAnsi="宋体" w:cs="宋体"/>
                <w:kern w:val="0"/>
                <w:sz w:val="18"/>
                <w:szCs w:val="18"/>
              </w:rPr>
              <w:t>应制定水资源利用方案，统筹利用各种水资源</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给排水平面图；设备表；给排水系统图；水系统规划方案</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6.1.2</w:t>
            </w:r>
            <w:r>
              <w:rPr>
                <w:rFonts w:hint="eastAsia" w:ascii="宋体" w:hAnsi="宋体" w:cs="宋体"/>
                <w:kern w:val="0"/>
                <w:sz w:val="18"/>
                <w:szCs w:val="18"/>
              </w:rPr>
              <w:t>给排水系统设置应合理、完善、安全</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给排水平面图；设备表；给排水系统图；水系统规划方案</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6.1.3</w:t>
            </w:r>
            <w:r>
              <w:rPr>
                <w:rFonts w:hint="eastAsia" w:ascii="宋体" w:hAnsi="宋体" w:cs="宋体"/>
                <w:kern w:val="0"/>
                <w:sz w:val="18"/>
                <w:szCs w:val="18"/>
              </w:rPr>
              <w:t>应采用节水器具</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给排水设备表，水系统规划方案</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查阅产品说明书或产品节水性能检测报告等，并现场核查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6.2.2</w:t>
            </w:r>
            <w:r>
              <w:rPr>
                <w:rFonts w:hint="eastAsia" w:ascii="宋体" w:hAnsi="宋体" w:cs="宋体"/>
                <w:kern w:val="0"/>
                <w:sz w:val="18"/>
                <w:szCs w:val="18"/>
              </w:rPr>
              <w:t>采取有效措施避免管网漏损</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选用密闭、耐腐蚀、耐久的阀门的管材■</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采取有效措施避免管网漏损■</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3.</w:t>
            </w:r>
            <w:r>
              <w:rPr>
                <w:rFonts w:hint="eastAsia" w:ascii="宋体" w:hAnsi="宋体" w:cs="宋体"/>
                <w:kern w:val="0"/>
                <w:sz w:val="18"/>
                <w:szCs w:val="18"/>
              </w:rPr>
              <w:t>安装分级计量水表■</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给排水设备表</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7</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查阅用水计量和漏损检测情况报告并现场核查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6.2.3</w:t>
            </w:r>
            <w:r>
              <w:rPr>
                <w:rFonts w:hint="eastAsia" w:ascii="宋体" w:hAnsi="宋体" w:cs="宋体"/>
                <w:kern w:val="0"/>
                <w:sz w:val="18"/>
                <w:szCs w:val="18"/>
              </w:rPr>
              <w:t>给水系统无超压出流现象</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用水点供水压力不大于</w:t>
            </w:r>
            <w:r>
              <w:rPr>
                <w:rFonts w:ascii="宋体" w:hAnsi="宋体" w:cs="宋体"/>
                <w:kern w:val="0"/>
                <w:sz w:val="18"/>
                <w:szCs w:val="18"/>
                <w:u w:val="single"/>
              </w:rPr>
              <w:t xml:space="preserve">  0.2</w:t>
            </w:r>
            <w:r>
              <w:rPr>
                <w:rFonts w:hint="eastAsia" w:ascii="宋体" w:hAnsi="宋体" w:cs="宋体"/>
                <w:kern w:val="0"/>
                <w:sz w:val="18"/>
                <w:szCs w:val="18"/>
                <w:u w:val="single"/>
              </w:rPr>
              <w:t>　</w:t>
            </w:r>
            <w:r>
              <w:rPr>
                <w:rFonts w:ascii="宋体" w:hAnsi="宋体" w:cs="宋体"/>
                <w:kern w:val="0"/>
                <w:sz w:val="18"/>
                <w:szCs w:val="18"/>
                <w:u w:val="single"/>
              </w:rPr>
              <w:t xml:space="preserve"> </w:t>
            </w:r>
            <w:r>
              <w:rPr>
                <w:rFonts w:ascii="宋体" w:hAnsi="宋体" w:cs="宋体"/>
                <w:kern w:val="0"/>
                <w:sz w:val="18"/>
                <w:szCs w:val="18"/>
              </w:rPr>
              <w:t>MPa</w:t>
            </w:r>
            <w:r>
              <w:rPr>
                <w:rFonts w:hint="eastAsia" w:ascii="宋体" w:hAnsi="宋体" w:cs="宋体"/>
                <w:kern w:val="0"/>
                <w:sz w:val="18"/>
                <w:szCs w:val="18"/>
              </w:rPr>
              <w:t>，且不小于用水器具要求的最低工作压力。</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给排水系统图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8</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33"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6.2.4</w:t>
            </w:r>
            <w:r>
              <w:rPr>
                <w:rFonts w:hint="eastAsia" w:ascii="宋体" w:hAnsi="宋体" w:cs="宋体"/>
                <w:kern w:val="0"/>
                <w:sz w:val="18"/>
                <w:szCs w:val="18"/>
              </w:rPr>
              <w:t>设置用水计量装置</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按使用用途，分别设置用水计量装置■；</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按付费或管理单位，设置计量装置 ■  。</w:t>
            </w:r>
            <w:r>
              <w:rPr>
                <w:rFonts w:ascii="宋体" w:hAnsi="宋体" w:cs="宋体"/>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现场核查水表设置</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6.2.5</w:t>
            </w:r>
            <w:r>
              <w:rPr>
                <w:rFonts w:hint="eastAsia" w:ascii="宋体" w:hAnsi="宋体" w:cs="宋体"/>
                <w:kern w:val="0"/>
                <w:sz w:val="18"/>
                <w:szCs w:val="18"/>
              </w:rPr>
              <w:t>公用浴室采取节水措施</w:t>
            </w:r>
          </w:p>
        </w:tc>
        <w:tc>
          <w:tcPr>
            <w:tcW w:w="6807" w:type="dxa"/>
            <w:gridSpan w:val="6"/>
            <w:tcBorders>
              <w:top w:val="single" w:color="auto" w:sz="4" w:space="0"/>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无公共浴室：</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采用带恒温控制和温度显示的淋浴器</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；设置用者付费的设施</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nil"/>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建筑平面图</w:t>
            </w:r>
          </w:p>
        </w:tc>
        <w:tc>
          <w:tcPr>
            <w:tcW w:w="425" w:type="dxa"/>
            <w:tcBorders>
              <w:top w:val="nil"/>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shd w:val="clear" w:color="auto" w:fill="FFFFFF" w:themeFill="background1"/>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不参评4　</w:t>
            </w:r>
          </w:p>
          <w:p>
            <w:pPr>
              <w:widowControl/>
              <w:spacing w:line="288" w:lineRule="auto"/>
              <w:jc w:val="center"/>
              <w:rPr>
                <w:rFonts w:ascii="宋体" w:cs="宋体"/>
                <w:kern w:val="0"/>
                <w:sz w:val="18"/>
                <w:szCs w:val="18"/>
              </w:rPr>
            </w:pPr>
            <w:r>
              <w:rPr>
                <w:rFonts w:hint="eastAsia" w:ascii="宋体" w:hAnsi="宋体" w:cs="宋体"/>
                <w:kern w:val="0"/>
                <w:sz w:val="18"/>
                <w:szCs w:val="18"/>
              </w:rPr>
              <w:t>4分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查阅产品说明书或产品检验报告并现场核查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6.2.6</w:t>
            </w:r>
            <w:r>
              <w:rPr>
                <w:rFonts w:hint="eastAsia" w:ascii="宋体" w:hAnsi="宋体" w:cs="宋体"/>
                <w:kern w:val="0"/>
                <w:sz w:val="18"/>
                <w:szCs w:val="18"/>
              </w:rPr>
              <w:t>使用较高用水效率等级的卫生器具</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卫生器具用水效率等级达到</w:t>
            </w:r>
            <w:r>
              <w:rPr>
                <w:rFonts w:ascii="宋体" w:hAnsi="宋体" w:cs="宋体"/>
                <w:kern w:val="0"/>
                <w:sz w:val="18"/>
                <w:szCs w:val="18"/>
                <w:u w:val="single"/>
              </w:rPr>
              <w:t xml:space="preserve"> </w:t>
            </w:r>
            <w:r>
              <w:rPr>
                <w:rFonts w:hint="eastAsia" w:ascii="宋体" w:hAnsi="宋体" w:cs="宋体"/>
                <w:kern w:val="0"/>
                <w:sz w:val="18"/>
                <w:szCs w:val="18"/>
                <w:u w:val="single"/>
              </w:rPr>
              <w:t>2</w:t>
            </w:r>
            <w:r>
              <w:rPr>
                <w:rFonts w:ascii="宋体" w:hAnsi="宋体" w:cs="宋体"/>
                <w:kern w:val="0"/>
                <w:sz w:val="18"/>
                <w:szCs w:val="18"/>
                <w:u w:val="single"/>
              </w:rPr>
              <w:t xml:space="preserve">  </w:t>
            </w:r>
            <w:r>
              <w:rPr>
                <w:rFonts w:hint="eastAsia" w:ascii="宋体" w:hAnsi="宋体" w:cs="宋体"/>
                <w:kern w:val="0"/>
                <w:sz w:val="18"/>
                <w:szCs w:val="18"/>
              </w:rPr>
              <w:t>级。</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给排水/给排水设备表，水系统规划方案</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10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查阅产品说明书或产品节水性能检测报告等，并现场核查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6.2.9 </w:t>
            </w:r>
            <w:r>
              <w:rPr>
                <w:rFonts w:hint="eastAsia" w:ascii="宋体" w:hAnsi="宋体" w:cs="宋体"/>
                <w:kern w:val="0"/>
                <w:sz w:val="18"/>
                <w:szCs w:val="18"/>
              </w:rPr>
              <w:t>除卫生器具、绿化灌溉和冷却塔外的其他用水采用了节水技术或措施</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其他用水中采用节水技术或措施比例达到</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100</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cs="宋体"/>
                <w:kern w:val="0"/>
                <w:sz w:val="18"/>
                <w:szCs w:val="18"/>
              </w:rPr>
              <w:t>建筑设计说明</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5</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查阅产品说明书或产品节水性能检测报告等，并现场核查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1047"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6.2.10 </w:t>
            </w:r>
            <w:r>
              <w:rPr>
                <w:rFonts w:hint="eastAsia" w:ascii="宋体" w:hAnsi="宋体" w:cs="宋体"/>
                <w:color w:val="7F7F7F" w:themeColor="background1" w:themeShade="80"/>
                <w:kern w:val="0"/>
                <w:sz w:val="18"/>
                <w:szCs w:val="18"/>
              </w:rPr>
              <w:t>合理使用非传统水源</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养老院、幼儿园、医院</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 xml:space="preserve"> 。</w:t>
            </w:r>
            <w:r>
              <w:rPr>
                <w:rFonts w:ascii="宋体" w:cs="宋体"/>
                <w:color w:val="7F7F7F" w:themeColor="background1" w:themeShade="80"/>
                <w:kern w:val="0"/>
                <w:sz w:val="18"/>
                <w:szCs w:val="18"/>
              </w:rPr>
              <w:br w:type="textWrapping"/>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建筑类型：</w:t>
            </w:r>
            <w:r>
              <w:rPr>
                <w:rFonts w:hint="eastAsia"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）非传统水源利用率</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，采取的措施</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）绿化、道路冲洗、洗车用水采用非传统水源比例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，冲厕采用非传统水源比例</w:t>
            </w:r>
            <w:r>
              <w:rPr>
                <w:rFonts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0</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现场核查非传统水源利用设施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景观及给排水</w:t>
            </w: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6.2.7 </w:t>
            </w:r>
            <w:r>
              <w:rPr>
                <w:rFonts w:hint="eastAsia" w:ascii="宋体" w:hAnsi="宋体" w:cs="宋体"/>
                <w:color w:val="7F7F7F" w:themeColor="background1" w:themeShade="80"/>
                <w:kern w:val="0"/>
                <w:sz w:val="18"/>
                <w:szCs w:val="18"/>
              </w:rPr>
              <w:t>绿化灌溉采用节水灌溉方式</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采用节水灌溉方式的面积达到</w:t>
            </w:r>
            <w:r>
              <w:rPr>
                <w:rFonts w:hint="eastAsia"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，设置湿度感应器等节水控制措施</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cs="宋体"/>
                <w:color w:val="7F7F7F" w:themeColor="background1" w:themeShade="80"/>
                <w:kern w:val="0"/>
                <w:sz w:val="18"/>
                <w:szCs w:val="18"/>
              </w:rPr>
              <w:br w:type="textWrapping"/>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种植无需永久灌溉植物面积达到</w:t>
            </w:r>
            <w:r>
              <w:rPr>
                <w:rFonts w:ascii="宋体" w:hAnsi="宋体" w:cs="宋体"/>
                <w:color w:val="7F7F7F" w:themeColor="background1" w:themeShade="80"/>
                <w:kern w:val="0"/>
                <w:sz w:val="18"/>
                <w:szCs w:val="18"/>
              </w:rPr>
              <w:t xml:space="preserve">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，其余部分采用节水灌溉方式</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ind w:firstLine="180" w:firstLineChars="100"/>
              <w:jc w:val="both"/>
              <w:rPr>
                <w:rFonts w:ascii="宋体" w:cs="宋体"/>
                <w:color w:val="7F7F7F" w:themeColor="background1" w:themeShade="80"/>
                <w:kern w:val="0"/>
                <w:sz w:val="18"/>
                <w:szCs w:val="18"/>
              </w:rPr>
            </w:pPr>
            <w:r>
              <w:rPr>
                <w:rFonts w:hint="eastAsia" w:ascii="宋体" w:cs="宋体"/>
                <w:color w:val="7F7F7F" w:themeColor="background1" w:themeShade="80"/>
                <w:kern w:val="0"/>
                <w:sz w:val="18"/>
                <w:szCs w:val="18"/>
              </w:rPr>
              <w:t>0</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tcBorders>
              <w:top w:val="nil"/>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查阅节水灌溉产品说明书并现场核查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41" w:hRule="atLeas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6.2.12</w:t>
            </w:r>
            <w:r>
              <w:rPr>
                <w:rFonts w:hint="eastAsia" w:ascii="宋体" w:hAnsi="宋体" w:cs="宋体"/>
                <w:kern w:val="0"/>
                <w:sz w:val="18"/>
                <w:szCs w:val="18"/>
              </w:rPr>
              <w:t>结合雨水利用设施进行景观水体设计，采用生态水处理技术保障水体水质</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不设置景观水体</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　　</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景观水体利用雨水的补水量占其水体蒸发量的</w:t>
            </w:r>
            <w:r>
              <w:rPr>
                <w:rFonts w:ascii="宋体" w:hAnsi="宋体" w:cs="宋体"/>
                <w:kern w:val="0"/>
                <w:sz w:val="18"/>
                <w:szCs w:val="18"/>
                <w:u w:val="single"/>
              </w:rPr>
              <w:t xml:space="preserve">      </w:t>
            </w:r>
            <w:r>
              <w:rPr>
                <w:rFonts w:ascii="宋体" w:hAnsi="宋体" w:cs="宋体"/>
                <w:kern w:val="0"/>
                <w:sz w:val="18"/>
                <w:szCs w:val="18"/>
              </w:rPr>
              <w:t>%</w:t>
            </w:r>
            <w:r>
              <w:rPr>
                <w:rFonts w:hint="eastAsia" w:ascii="宋体" w:hAnsi="宋体" w:cs="宋体"/>
                <w:kern w:val="0"/>
                <w:sz w:val="18"/>
                <w:szCs w:val="18"/>
              </w:rPr>
              <w:t>，且采取以下措施：</w:t>
            </w:r>
            <w:r>
              <w:rPr>
                <w:rFonts w:ascii="宋体" w:cs="宋体"/>
                <w:kern w:val="0"/>
                <w:sz w:val="18"/>
                <w:szCs w:val="18"/>
              </w:rPr>
              <w:br w:type="textWrapping"/>
            </w:r>
            <w:r>
              <w:rPr>
                <w:rFonts w:hint="eastAsia" w:ascii="宋体" w:hAnsi="宋体" w:cs="宋体"/>
                <w:kern w:val="0"/>
                <w:sz w:val="18"/>
                <w:szCs w:val="18"/>
              </w:rPr>
              <w:t>①控制面源污染</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②利用水生动、植物净化水体</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景观总平面图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7</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现场核查相关措施</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93" w:hRule="atLeast"/>
        </w:trPr>
        <w:tc>
          <w:tcPr>
            <w:tcW w:w="469"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暖通及给排水</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6.2.8 </w:t>
            </w:r>
            <w:r>
              <w:rPr>
                <w:rFonts w:hint="eastAsia" w:ascii="宋体" w:hAnsi="宋体" w:cs="宋体"/>
                <w:kern w:val="0"/>
                <w:sz w:val="18"/>
                <w:szCs w:val="18"/>
              </w:rPr>
              <w:t>空调设备或系统采用节水冷却技术</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不设置空调</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设置空调：①循环冷却水设置水处理装置</w:t>
            </w:r>
            <w:r>
              <w:rPr>
                <w:rFonts w:ascii="宋体" w:hAnsi="宋体" w:cs="宋体"/>
                <w:kern w:val="0"/>
                <w:sz w:val="18"/>
                <w:szCs w:val="18"/>
                <w:u w:val="single"/>
              </w:rPr>
              <w:t xml:space="preserve">  </w:t>
            </w:r>
            <w:r>
              <w:rPr>
                <w:rFonts w:hint="eastAsia" w:ascii="宋体" w:hAnsi="宋体" w:cs="宋体"/>
                <w:kern w:val="0"/>
                <w:sz w:val="18"/>
                <w:szCs w:val="18"/>
              </w:rPr>
              <w:t>，采取避免停泵溢出的措施；②采用无蒸发耗水量的冷却技术</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ascii="宋体" w:hAnsi="宋体" w:cs="宋体"/>
                <w:kern w:val="0"/>
                <w:sz w:val="18"/>
                <w:szCs w:val="18"/>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给排水（给排水</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10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restart"/>
            <w:tcBorders>
              <w:top w:val="single" w:color="auto" w:sz="4" w:space="0"/>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查阅产品说明书并现场核查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80"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6.2.11 </w:t>
            </w:r>
            <w:r>
              <w:rPr>
                <w:rFonts w:hint="eastAsia" w:ascii="宋体" w:hAnsi="宋体" w:cs="宋体"/>
                <w:kern w:val="0"/>
                <w:sz w:val="18"/>
                <w:szCs w:val="18"/>
              </w:rPr>
              <w:t>冷却水补水使用非传统水源</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项目没有冷却水补水系统</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ascii="宋体" w:hAnsi="宋体" w:cs="宋体"/>
                <w:kern w:val="0"/>
                <w:sz w:val="18"/>
                <w:szCs w:val="18"/>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冷却水补水使用非传统水源的量占总用水量比例</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给排水（给排水</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8</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查阅产品说明书并现场核查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97" w:hRule="exact"/>
        </w:trPr>
        <w:tc>
          <w:tcPr>
            <w:tcW w:w="16551" w:type="dxa"/>
            <w:gridSpan w:val="1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88" w:lineRule="auto"/>
              <w:jc w:val="center"/>
              <w:rPr>
                <w:rFonts w:ascii="宋体" w:cs="宋体"/>
                <w:kern w:val="0"/>
                <w:szCs w:val="21"/>
              </w:rPr>
            </w:pPr>
            <w:r>
              <w:rPr>
                <w:rFonts w:hint="eastAsia" w:ascii="黑体" w:hAnsi="黑体" w:eastAsia="黑体"/>
                <w:szCs w:val="21"/>
              </w:rPr>
              <w:t>四、节材与材料资源利用（设计参评总分：100</w:t>
            </w:r>
            <w:r>
              <w:rPr>
                <w:rFonts w:ascii="黑体" w:hAnsi="黑体" w:eastAsia="黑体"/>
                <w:szCs w:val="21"/>
              </w:rPr>
              <w:t xml:space="preserve">  </w:t>
            </w:r>
            <w:r>
              <w:rPr>
                <w:rFonts w:hint="eastAsia" w:ascii="黑体" w:hAnsi="黑体" w:eastAsia="黑体"/>
                <w:szCs w:val="21"/>
              </w:rPr>
              <w:t>本项目实际参评总分：</w:t>
            </w:r>
            <w:r>
              <w:rPr>
                <w:rFonts w:hint="eastAsia" w:ascii="黑体" w:hAnsi="黑体" w:eastAsia="黑体"/>
                <w:szCs w:val="21"/>
                <w:lang w:val="en-US" w:eastAsia="zh-CN"/>
              </w:rPr>
              <w:t>69</w:t>
            </w:r>
            <w:r>
              <w:rPr>
                <w:rFonts w:ascii="黑体" w:hAnsi="黑体" w:eastAsia="黑体"/>
                <w:szCs w:val="21"/>
              </w:rPr>
              <w:t xml:space="preserve">     </w:t>
            </w:r>
            <w:r>
              <w:rPr>
                <w:rFonts w:hint="eastAsia" w:ascii="黑体" w:hAnsi="黑体" w:eastAsia="黑体"/>
                <w:szCs w:val="21"/>
              </w:rPr>
              <w:t>本项目实际得分：</w:t>
            </w:r>
            <w:r>
              <w:rPr>
                <w:rFonts w:hint="eastAsia" w:ascii="黑体" w:hAnsi="黑体" w:eastAsia="黑体"/>
                <w:szCs w:val="21"/>
                <w:lang w:val="en-US" w:eastAsia="zh-CN"/>
              </w:rPr>
              <w:t>46</w:t>
            </w:r>
            <w:r>
              <w:rPr>
                <w:rFonts w:hint="eastAsia" w:ascii="黑体" w:hAnsi="黑体" w:eastAsia="黑体"/>
                <w:szCs w:val="21"/>
              </w:rPr>
              <w:t>　　本项目计算得分</w:t>
            </w:r>
            <w:r>
              <w:rPr>
                <w:rFonts w:hint="eastAsia" w:ascii="黑体" w:hAnsi="黑体" w:eastAsia="黑体"/>
                <w:szCs w:val="21"/>
                <w:lang w:val="en-US" w:eastAsia="zh-CN"/>
              </w:rPr>
              <w:t>66.67</w:t>
            </w:r>
            <w:r>
              <w:rPr>
                <w:rFonts w:ascii="黑体" w:hAnsi="黑体" w:eastAsia="黑体"/>
                <w:szCs w:val="21"/>
              </w:rPr>
              <w:t xml:space="preserve"> </w:t>
            </w:r>
            <w:r>
              <w:rPr>
                <w:rFonts w:hint="eastAsia" w:ascii="黑体" w:hAnsi="黑体" w:eastAsia="黑体"/>
                <w:szCs w:val="21"/>
              </w:rPr>
              <w:t>）</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Cs w:val="21"/>
              </w:rPr>
            </w:pP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Cs w:val="21"/>
              </w:rPr>
            </w:pPr>
            <w:r>
              <w:rPr>
                <w:rFonts w:hint="eastAsia" w:ascii="黑体" w:hAnsi="黑体" w:eastAsia="黑体"/>
                <w:szCs w:val="21"/>
              </w:rPr>
              <w:t>四、节材与材料资源利用</w:t>
            </w: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建筑</w:t>
            </w: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7.1.1</w:t>
            </w:r>
            <w:r>
              <w:rPr>
                <w:rFonts w:ascii="宋体"/>
                <w:b/>
                <w:bCs/>
                <w:kern w:val="0"/>
                <w:sz w:val="18"/>
                <w:szCs w:val="18"/>
              </w:rPr>
              <w:t> </w:t>
            </w:r>
            <w:r>
              <w:rPr>
                <w:rFonts w:hint="eastAsia" w:ascii="宋体" w:hAnsi="宋体" w:cs="宋体"/>
                <w:kern w:val="0"/>
                <w:sz w:val="18"/>
                <w:szCs w:val="18"/>
              </w:rPr>
              <w:t>不得采用国家和地方禁止和限制使用的建筑材料及制品</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sz w:val="18"/>
                <w:szCs w:val="18"/>
              </w:rPr>
              <w:t>本项目未采用国家和地方禁止和限制使用的建筑材料及制品。</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7.1.3 </w:t>
            </w:r>
            <w:r>
              <w:rPr>
                <w:rFonts w:hint="eastAsia" w:ascii="宋体" w:hAnsi="宋体" w:cs="宋体"/>
                <w:kern w:val="0"/>
                <w:sz w:val="18"/>
                <w:szCs w:val="18"/>
              </w:rPr>
              <w:t>建筑造型要素应简约，且无大量装饰性构件</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color w:val="FF0000"/>
                <w:kern w:val="0"/>
                <w:sz w:val="18"/>
                <w:szCs w:val="18"/>
              </w:rPr>
            </w:pPr>
            <w:r>
              <w:rPr>
                <w:rFonts w:hint="eastAsia" w:ascii="宋体" w:hAnsi="宋体" w:cs="宋体"/>
                <w:kern w:val="0"/>
                <w:sz w:val="18"/>
                <w:szCs w:val="18"/>
              </w:rPr>
              <w:t>工程总造价</w:t>
            </w:r>
            <w:r>
              <w:rPr>
                <w:rFonts w:ascii="宋体" w:hAnsi="宋体" w:cs="宋体"/>
                <w:kern w:val="0"/>
                <w:sz w:val="18"/>
                <w:szCs w:val="18"/>
                <w:u w:val="single"/>
              </w:rPr>
              <w:t xml:space="preserve">      </w:t>
            </w:r>
            <w:r>
              <w:rPr>
                <w:rFonts w:hint="eastAsia" w:ascii="宋体" w:hAnsi="宋体" w:cs="宋体"/>
                <w:kern w:val="0"/>
                <w:sz w:val="18"/>
                <w:szCs w:val="18"/>
              </w:rPr>
              <w:t>，装饰性构件造价</w:t>
            </w:r>
            <w:r>
              <w:rPr>
                <w:rFonts w:ascii="宋体" w:hAnsi="宋体" w:cs="宋体"/>
                <w:kern w:val="0"/>
                <w:sz w:val="18"/>
                <w:szCs w:val="18"/>
                <w:u w:val="single"/>
              </w:rPr>
              <w:t xml:space="preserve">  </w:t>
            </w:r>
            <w:r>
              <w:rPr>
                <w:rFonts w:hint="eastAsia" w:ascii="宋体" w:hAnsi="宋体" w:cs="宋体"/>
                <w:kern w:val="0"/>
                <w:sz w:val="18"/>
                <w:szCs w:val="18"/>
              </w:rPr>
              <w:t>，比例</w:t>
            </w:r>
            <w:r>
              <w:rPr>
                <w:rFonts w:ascii="宋体" w:hAnsi="宋体" w:cs="宋体"/>
                <w:kern w:val="0"/>
                <w:sz w:val="18"/>
                <w:szCs w:val="18"/>
                <w:u w:val="single"/>
              </w:rPr>
              <w:t xml:space="preserve">   %</w:t>
            </w:r>
            <w:r>
              <w:rPr>
                <w:rFonts w:ascii="宋体" w:hAnsi="宋体" w:cs="宋体"/>
                <w:kern w:val="0"/>
                <w:sz w:val="18"/>
                <w:szCs w:val="18"/>
              </w:rPr>
              <w:t xml:space="preserve"> </w:t>
            </w:r>
            <w:r>
              <w:rPr>
                <w:rFonts w:hint="eastAsia" w:ascii="宋体" w:hAnsi="宋体" w:cs="宋体"/>
                <w:kern w:val="0"/>
                <w:sz w:val="18"/>
                <w:szCs w:val="18"/>
              </w:rPr>
              <w:t>。</w:t>
            </w:r>
            <w:r>
              <w:rPr>
                <w:rFonts w:ascii="宋体" w:hAnsi="宋体" w:cs="宋体"/>
                <w:color w:val="FF0000"/>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项目效果图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现场核查装饰性构件</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7.2.1 </w:t>
            </w:r>
            <w:r>
              <w:rPr>
                <w:rFonts w:hint="eastAsia" w:ascii="宋体" w:hAnsi="宋体" w:cs="宋体"/>
                <w:kern w:val="0"/>
                <w:sz w:val="18"/>
                <w:szCs w:val="18"/>
              </w:rPr>
              <w:t>择优选用建筑形体</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规则□</w:t>
            </w:r>
            <w:r>
              <w:rPr>
                <w:rFonts w:ascii="宋体" w:hAnsi="宋体" w:cs="宋体"/>
                <w:kern w:val="0"/>
                <w:sz w:val="18"/>
                <w:szCs w:val="18"/>
              </w:rPr>
              <w:t xml:space="preserve">   </w:t>
            </w:r>
            <w:r>
              <w:rPr>
                <w:rFonts w:hint="eastAsia" w:ascii="宋体" w:hAnsi="宋体" w:cs="宋体"/>
                <w:kern w:val="0"/>
                <w:sz w:val="18"/>
                <w:szCs w:val="18"/>
              </w:rPr>
              <w:t>不规则■</w:t>
            </w:r>
            <w:r>
              <w:rPr>
                <w:rFonts w:ascii="宋体" w:hAnsi="宋体" w:cs="宋体"/>
                <w:kern w:val="0"/>
                <w:sz w:val="18"/>
                <w:szCs w:val="18"/>
              </w:rPr>
              <w:t xml:space="preserve">   </w:t>
            </w:r>
            <w:r>
              <w:rPr>
                <w:rFonts w:hint="eastAsia" w:ascii="宋体" w:hAnsi="宋体" w:cs="宋体"/>
                <w:kern w:val="0"/>
                <w:sz w:val="18"/>
                <w:szCs w:val="18"/>
              </w:rPr>
              <w:t>特别不规则□</w:t>
            </w:r>
            <w:r>
              <w:rPr>
                <w:rFonts w:ascii="宋体" w:hAnsi="宋体" w:cs="宋体"/>
                <w:kern w:val="0"/>
                <w:sz w:val="18"/>
                <w:szCs w:val="18"/>
              </w:rPr>
              <w:t xml:space="preserve">   </w:t>
            </w:r>
            <w:r>
              <w:rPr>
                <w:rFonts w:hint="eastAsia" w:ascii="宋体" w:hAnsi="宋体" w:cs="宋体"/>
                <w:kern w:val="0"/>
                <w:sz w:val="18"/>
                <w:szCs w:val="18"/>
              </w:rPr>
              <w:t>严重不规则□</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建筑形体规则性判定报告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3</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921" w:hRule="exact"/>
        </w:trPr>
        <w:tc>
          <w:tcPr>
            <w:tcW w:w="469" w:type="dxa"/>
            <w:vMerge w:val="continue"/>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7.2.4 </w:t>
            </w:r>
            <w:r>
              <w:rPr>
                <w:rFonts w:hint="eastAsia" w:ascii="宋体" w:hAnsi="宋体" w:cs="宋体"/>
                <w:kern w:val="0"/>
                <w:sz w:val="18"/>
                <w:szCs w:val="18"/>
              </w:rPr>
              <w:t>公共建筑中可变换功能的室内空间采用可重复使用的隔断（墙）</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w:t>
            </w:r>
            <w:r>
              <w:rPr>
                <w:rFonts w:hint="eastAsia" w:ascii="宋体" w:hAnsi="宋体" w:cs="宋体"/>
                <w:kern w:val="0"/>
                <w:sz w:val="18"/>
                <w:szCs w:val="18"/>
                <w:u w:val="single"/>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公共建筑：可重复使用隔断（墙）比例</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可重复使用隔断（墙）比例计算书；设计图纸（专业</w:t>
            </w:r>
            <w:r>
              <w:rPr>
                <w:sz w:val="18"/>
                <w:szCs w:val="18"/>
              </w:rPr>
              <w:t>/</w:t>
            </w:r>
            <w:r>
              <w:rPr>
                <w:rFonts w:hint="eastAsia"/>
                <w:sz w:val="18"/>
                <w:szCs w:val="18"/>
              </w:rPr>
              <w:t>图号）</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现场核查可重复使用材料使用</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07" w:hRule="exact"/>
        </w:trPr>
        <w:tc>
          <w:tcPr>
            <w:tcW w:w="469" w:type="dxa"/>
            <w:vMerge w:val="continue"/>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7.2.12</w:t>
            </w:r>
            <w:r>
              <w:rPr>
                <w:rFonts w:hint="eastAsia" w:ascii="宋体" w:hAnsi="宋体" w:cs="宋体"/>
                <w:kern w:val="0"/>
                <w:sz w:val="18"/>
                <w:szCs w:val="18"/>
              </w:rPr>
              <w:t>采用可再利用材料和可再循环材料</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住宅建筑：可再利用材料和可再循环材料用量比例达到</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10.75</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公共建筑：可再利用材料和可再循环材料用量比例达到</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可再循环材料比例计算书；设计图纸（专业</w:t>
            </w:r>
            <w:r>
              <w:rPr>
                <w:sz w:val="18"/>
                <w:szCs w:val="18"/>
              </w:rPr>
              <w:t>/</w:t>
            </w:r>
            <w:r>
              <w:rPr>
                <w:rFonts w:hint="eastAsia"/>
                <w:sz w:val="18"/>
                <w:szCs w:val="18"/>
              </w:rPr>
              <w:t>图号）</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ind w:firstLine="180" w:firstLineChars="100"/>
              <w:jc w:val="left"/>
              <w:rPr>
                <w:rFonts w:ascii="宋体" w:cs="宋体"/>
                <w:kern w:val="0"/>
                <w:sz w:val="18"/>
                <w:szCs w:val="18"/>
              </w:rPr>
            </w:pPr>
            <w:r>
              <w:rPr>
                <w:rFonts w:hint="eastAsia" w:ascii="宋体" w:cs="宋体"/>
                <w:kern w:val="0"/>
                <w:sz w:val="18"/>
                <w:szCs w:val="18"/>
              </w:rPr>
              <w:t>8</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现场核查可循环材料使用</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结构</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7.1.2 </w:t>
            </w:r>
            <w:r>
              <w:rPr>
                <w:rFonts w:hint="eastAsia" w:ascii="宋体" w:hAnsi="宋体" w:cs="宋体"/>
                <w:kern w:val="0"/>
                <w:sz w:val="18"/>
                <w:szCs w:val="18"/>
              </w:rPr>
              <w:t>混凝土结构中梁、柱纵向受力普通钢筋应采用不低于</w:t>
            </w:r>
            <w:r>
              <w:rPr>
                <w:rFonts w:ascii="宋体" w:hAnsi="宋体" w:cs="宋体"/>
                <w:kern w:val="0"/>
                <w:sz w:val="18"/>
                <w:szCs w:val="18"/>
              </w:rPr>
              <w:t>400MPa</w:t>
            </w:r>
            <w:r>
              <w:rPr>
                <w:rFonts w:hint="eastAsia" w:ascii="宋体" w:hAnsi="宋体" w:cs="宋体"/>
                <w:kern w:val="0"/>
                <w:sz w:val="18"/>
                <w:szCs w:val="18"/>
              </w:rPr>
              <w:t>级的热轧带肋钢筋</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本工程钢筋混凝土构件中，纵向钢筋全部采用</w:t>
            </w:r>
            <w:r>
              <w:rPr>
                <w:rFonts w:ascii="宋体" w:hAnsi="宋体" w:cs="宋体"/>
                <w:kern w:val="0"/>
                <w:sz w:val="18"/>
                <w:szCs w:val="18"/>
              </w:rPr>
              <w:t>HRB400</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详全部结施图，高强度钢筋比例计算书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7.2.2 </w:t>
            </w:r>
            <w:r>
              <w:rPr>
                <w:rFonts w:hint="eastAsia" w:ascii="宋体" w:hAnsi="宋体" w:cs="宋体"/>
                <w:color w:val="7F7F7F" w:themeColor="background1" w:themeShade="80"/>
                <w:kern w:val="0"/>
                <w:sz w:val="18"/>
                <w:szCs w:val="18"/>
              </w:rPr>
              <w:t>对地基基础、结构体系、结构构件进行优化设计，达到节材效果</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是□</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否■</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7.2.8</w:t>
            </w:r>
            <w:r>
              <w:rPr>
                <w:rFonts w:hint="eastAsia" w:ascii="宋体" w:hAnsi="宋体" w:cs="宋体"/>
                <w:kern w:val="0"/>
                <w:sz w:val="18"/>
                <w:szCs w:val="18"/>
              </w:rPr>
              <w:t>现浇混凝土采用预拌混凝土</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是■</w:t>
            </w:r>
            <w:r>
              <w:rPr>
                <w:rFonts w:ascii="宋体" w:hAnsi="宋体" w:cs="宋体"/>
                <w:kern w:val="0"/>
                <w:sz w:val="18"/>
                <w:szCs w:val="18"/>
              </w:rPr>
              <w:t xml:space="preserve">   </w:t>
            </w:r>
            <w:r>
              <w:rPr>
                <w:rFonts w:hint="eastAsia" w:ascii="宋体" w:hAnsi="宋体" w:cs="宋体"/>
                <w:kern w:val="0"/>
                <w:sz w:val="18"/>
                <w:szCs w:val="18"/>
              </w:rPr>
              <w:t>否□</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结构</w:t>
            </w:r>
            <w:r>
              <w:rPr>
                <w:sz w:val="18"/>
                <w:szCs w:val="18"/>
              </w:rPr>
              <w:t>/</w:t>
            </w:r>
            <w:r>
              <w:rPr>
                <w:rFonts w:hint="eastAsia"/>
                <w:sz w:val="18"/>
                <w:szCs w:val="18"/>
              </w:rPr>
              <w:t>01</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ind w:firstLine="180" w:firstLineChars="100"/>
              <w:jc w:val="left"/>
              <w:rPr>
                <w:rFonts w:ascii="宋体" w:cs="宋体"/>
                <w:kern w:val="0"/>
                <w:sz w:val="18"/>
                <w:szCs w:val="18"/>
              </w:rPr>
            </w:pPr>
            <w:r>
              <w:rPr>
                <w:rFonts w:ascii="宋体" w:hAnsi="宋体" w:cs="宋体"/>
                <w:kern w:val="0"/>
                <w:sz w:val="18"/>
                <w:szCs w:val="18"/>
              </w:rPr>
              <w:t>10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7.2.9</w:t>
            </w:r>
            <w:r>
              <w:rPr>
                <w:rFonts w:hint="eastAsia" w:ascii="宋体" w:hAnsi="宋体" w:cs="宋体"/>
                <w:kern w:val="0"/>
                <w:sz w:val="18"/>
                <w:szCs w:val="18"/>
              </w:rPr>
              <w:t>建筑砂浆采用预拌砂浆</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建筑砂浆采用预拌砂浆的比例达到</w:t>
            </w:r>
            <w:r>
              <w:rPr>
                <w:rFonts w:ascii="宋体" w:hAnsi="宋体" w:cs="宋体"/>
                <w:kern w:val="0"/>
                <w:sz w:val="18"/>
                <w:szCs w:val="18"/>
                <w:u w:val="single"/>
              </w:rPr>
              <w:t xml:space="preserve">  </w:t>
            </w:r>
            <w:r>
              <w:rPr>
                <w:rFonts w:hint="eastAsia" w:ascii="宋体" w:hAnsi="宋体" w:cs="宋体"/>
                <w:kern w:val="0"/>
                <w:sz w:val="18"/>
                <w:szCs w:val="18"/>
                <w:u w:val="single"/>
              </w:rPr>
              <w:t>100</w:t>
            </w:r>
            <w:r>
              <w:rPr>
                <w:rFonts w:ascii="宋体" w:hAnsi="宋体" w:cs="宋体"/>
                <w:kern w:val="0"/>
                <w:sz w:val="18"/>
                <w:szCs w:val="18"/>
                <w:u w:val="single"/>
              </w:rPr>
              <w:t xml:space="preserve">  %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结构</w:t>
            </w:r>
            <w:r>
              <w:rPr>
                <w:sz w:val="18"/>
                <w:szCs w:val="18"/>
              </w:rPr>
              <w:t>/</w:t>
            </w:r>
            <w:r>
              <w:rPr>
                <w:rFonts w:hint="eastAsia"/>
                <w:sz w:val="18"/>
                <w:szCs w:val="18"/>
              </w:rPr>
              <w:t>01</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5</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bottom w:val="nil"/>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33" w:hRule="atLeas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7.2.10</w:t>
            </w:r>
            <w:r>
              <w:rPr>
                <w:rFonts w:hint="eastAsia" w:ascii="宋体" w:hAnsi="宋体" w:cs="宋体"/>
                <w:kern w:val="0"/>
                <w:sz w:val="18"/>
                <w:szCs w:val="18"/>
              </w:rPr>
              <w:t>合理采用高强建筑结构材料</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砌体结构和木结构</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混凝土结构：①高强钢筋的比例</w:t>
            </w:r>
            <w:r>
              <w:rPr>
                <w:rFonts w:hint="eastAsia" w:ascii="宋体" w:hAnsi="宋体" w:cs="宋体"/>
                <w:kern w:val="0"/>
                <w:sz w:val="18"/>
                <w:szCs w:val="18"/>
                <w:u w:val="single"/>
                <w:lang w:val="en-US" w:eastAsia="zh-CN"/>
              </w:rPr>
              <w:t>100</w:t>
            </w:r>
            <w:r>
              <w:rPr>
                <w:rFonts w:hint="eastAsia" w:ascii="宋体" w:hAnsi="宋体" w:cs="宋体"/>
                <w:kern w:val="0"/>
                <w:sz w:val="18"/>
                <w:szCs w:val="18"/>
                <w:u w:val="single"/>
              </w:rPr>
              <w:t xml:space="preserve"> </w:t>
            </w:r>
            <w:r>
              <w:rPr>
                <w:rFonts w:ascii="宋体" w:hAnsi="宋体" w:cs="宋体"/>
                <w:kern w:val="0"/>
                <w:sz w:val="18"/>
                <w:szCs w:val="18"/>
                <w:u w:val="single"/>
              </w:rPr>
              <w:t>%</w:t>
            </w:r>
            <w:r>
              <w:rPr>
                <w:rFonts w:hint="eastAsia" w:ascii="宋体" w:hAnsi="宋体" w:cs="宋体"/>
                <w:kern w:val="0"/>
                <w:sz w:val="18"/>
                <w:szCs w:val="18"/>
              </w:rPr>
              <w:t>，②竖向承重结构中高强混凝土的比</w:t>
            </w:r>
            <w:r>
              <w:rPr>
                <w:rFonts w:hint="eastAsia" w:ascii="宋体" w:hAnsi="宋体" w:cs="宋体"/>
                <w:kern w:val="0"/>
                <w:sz w:val="18"/>
                <w:szCs w:val="18"/>
                <w:u w:val="single"/>
              </w:rPr>
              <w:t xml:space="preserve"> 　</w:t>
            </w:r>
            <w:r>
              <w:rPr>
                <w:rFonts w:ascii="宋体" w:hAnsi="宋体" w:cs="宋体"/>
                <w:kern w:val="0"/>
                <w:sz w:val="18"/>
                <w:szCs w:val="18"/>
                <w:u w:val="single"/>
              </w:rPr>
              <w:t>%</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3.</w:t>
            </w:r>
            <w:r>
              <w:rPr>
                <w:rFonts w:hint="eastAsia" w:ascii="宋体" w:hAnsi="宋体" w:cs="宋体"/>
                <w:kern w:val="0"/>
                <w:sz w:val="18"/>
                <w:szCs w:val="18"/>
              </w:rPr>
              <w:t>钢结构：高强钢材的比例</w:t>
            </w:r>
            <w:r>
              <w:rPr>
                <w:rFonts w:hint="eastAsia" w:ascii="宋体" w:hAnsi="宋体" w:cs="宋体"/>
                <w:kern w:val="0"/>
                <w:sz w:val="18"/>
                <w:szCs w:val="18"/>
                <w:u w:val="single"/>
              </w:rPr>
              <w:t>　　　　</w:t>
            </w:r>
            <w:r>
              <w:rPr>
                <w:rFonts w:ascii="宋体" w:hAnsi="宋体" w:cs="宋体"/>
                <w:kern w:val="0"/>
                <w:sz w:val="18"/>
                <w:szCs w:val="18"/>
                <w:u w:val="single"/>
              </w:rPr>
              <w:t>%</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高强度钢比例计算书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ind w:firstLine="90" w:firstLineChars="50"/>
              <w:jc w:val="left"/>
              <w:rPr>
                <w:rFonts w:ascii="宋体" w:cs="宋体"/>
                <w:kern w:val="0"/>
                <w:sz w:val="18"/>
                <w:szCs w:val="18"/>
              </w:rPr>
            </w:pPr>
            <w:r>
              <w:rPr>
                <w:rFonts w:hint="eastAsia" w:ascii="宋体" w:hAnsi="宋体" w:cs="宋体"/>
                <w:kern w:val="0"/>
                <w:sz w:val="18"/>
                <w:szCs w:val="18"/>
              </w:rPr>
              <w:t>10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restart"/>
            <w:tcBorders>
              <w:top w:val="nil"/>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7.2.11</w:t>
            </w:r>
            <w:r>
              <w:rPr>
                <w:rFonts w:hint="eastAsia" w:ascii="宋体" w:hAnsi="宋体" w:cs="宋体"/>
                <w:color w:val="7F7F7F" w:themeColor="background1" w:themeShade="80"/>
                <w:kern w:val="0"/>
                <w:sz w:val="18"/>
                <w:szCs w:val="18"/>
              </w:rPr>
              <w:t>合理采用高耐久性建筑结构材料</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非混凝土结构或钢结构</w:t>
            </w:r>
            <w:r>
              <w:rPr>
                <w:rFonts w:hint="eastAsia"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cs="宋体"/>
                <w:color w:val="7F7F7F" w:themeColor="background1" w:themeShade="80"/>
                <w:kern w:val="0"/>
                <w:sz w:val="18"/>
                <w:szCs w:val="18"/>
              </w:rPr>
              <w:br w:type="textWrapping"/>
            </w:r>
            <w:r>
              <w:rPr>
                <w:rFonts w:ascii="宋体" w:hAnsi="宋体" w:cs="宋体"/>
                <w:color w:val="7F7F7F" w:themeColor="background1" w:themeShade="80"/>
                <w:kern w:val="0"/>
                <w:sz w:val="18"/>
                <w:szCs w:val="18"/>
              </w:rPr>
              <w:t>2.</w:t>
            </w:r>
            <w:r>
              <w:rPr>
                <w:rFonts w:hint="eastAsia" w:ascii="宋体" w:hAnsi="宋体" w:cs="宋体"/>
                <w:color w:val="7F7F7F" w:themeColor="background1" w:themeShade="80"/>
                <w:kern w:val="0"/>
                <w:sz w:val="18"/>
                <w:szCs w:val="18"/>
              </w:rPr>
              <w:t>高耐久性混凝土的比例</w:t>
            </w:r>
            <w:r>
              <w:rPr>
                <w:rFonts w:hint="eastAsia" w:ascii="宋体" w:hAnsi="宋体" w:cs="宋体"/>
                <w:color w:val="7F7F7F" w:themeColor="background1" w:themeShade="80"/>
                <w:kern w:val="0"/>
                <w:sz w:val="18"/>
                <w:szCs w:val="18"/>
                <w:u w:val="single"/>
              </w:rPr>
              <w:t>　　　</w:t>
            </w:r>
            <w:r>
              <w:rPr>
                <w:rFonts w:ascii="宋体" w:hAnsi="宋体" w:cs="宋体"/>
                <w:color w:val="7F7F7F" w:themeColor="background1" w:themeShade="80"/>
                <w:kern w:val="0"/>
                <w:sz w:val="18"/>
                <w:szCs w:val="18"/>
                <w:u w:val="single"/>
              </w:rPr>
              <w:t>%</w:t>
            </w:r>
            <w:r>
              <w:rPr>
                <w:rFonts w:hint="eastAsia" w:ascii="宋体" w:hAnsi="宋体" w:cs="宋体"/>
                <w:color w:val="7F7F7F" w:themeColor="background1" w:themeShade="80"/>
                <w:kern w:val="0"/>
                <w:sz w:val="18"/>
                <w:szCs w:val="18"/>
              </w:rPr>
              <w:t>；或采用耐候结构钢或耐候防腐涂料</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1060" w:hRule="exact"/>
        </w:trPr>
        <w:tc>
          <w:tcPr>
            <w:tcW w:w="469"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建筑及装修</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sz w:val="18"/>
                <w:szCs w:val="18"/>
              </w:rPr>
            </w:pPr>
            <w:r>
              <w:rPr>
                <w:rFonts w:hint="eastAsia"/>
                <w:sz w:val="18"/>
                <w:szCs w:val="18"/>
              </w:rPr>
              <w:t>7.2.3 土建工程与装修工程一体化设计</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sz w:val="18"/>
                <w:szCs w:val="18"/>
              </w:rPr>
            </w:pPr>
            <w:r>
              <w:rPr>
                <w:rFonts w:hint="eastAsia"/>
                <w:sz w:val="18"/>
                <w:szCs w:val="18"/>
              </w:rPr>
              <w:t>居住建筑：土建与装修一体化设计的户数比例达到0% 。</w:t>
            </w:r>
            <w:r>
              <w:rPr>
                <w:rFonts w:hint="eastAsia"/>
                <w:sz w:val="18"/>
                <w:szCs w:val="18"/>
              </w:rPr>
              <w:br w:type="textWrapping"/>
            </w:r>
            <w:r>
              <w:rPr>
                <w:rFonts w:hint="eastAsia"/>
                <w:sz w:val="18"/>
                <w:szCs w:val="18"/>
              </w:rPr>
              <w:t xml:space="preserve">公共建筑：公共部位装修一体化 □  ；所有部位均装修一体化 </w:t>
            </w:r>
            <w:r>
              <w:rPr>
                <w:rFonts w:hint="eastAsia" w:ascii="宋体" w:hAnsi="宋体" w:cs="宋体"/>
                <w:kern w:val="0"/>
                <w:sz w:val="18"/>
                <w:szCs w:val="18"/>
              </w:rPr>
              <w:t>■</w:t>
            </w:r>
            <w:r>
              <w:rPr>
                <w:rFonts w:hint="eastAsia"/>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sz w:val="18"/>
                <w:szCs w:val="18"/>
              </w:rPr>
            </w:pPr>
            <w:r>
              <w:rPr>
                <w:rFonts w:hint="eastAsia"/>
                <w:sz w:val="18"/>
                <w:szCs w:val="18"/>
              </w:rPr>
              <w:t>建筑/建施-01</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sz w:val="18"/>
                <w:szCs w:val="18"/>
              </w:rPr>
            </w:pPr>
            <w:r>
              <w:rPr>
                <w:rFonts w:hint="eastAsia"/>
                <w:sz w:val="18"/>
                <w:szCs w:val="18"/>
                <w:lang w:val="en-US" w:eastAsia="zh-CN"/>
              </w:rPr>
              <w:t>1</w:t>
            </w:r>
            <w:r>
              <w:rPr>
                <w:rFonts w:hint="eastAsia"/>
                <w:sz w:val="18"/>
                <w:szCs w:val="18"/>
              </w:rPr>
              <w:t>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sz w:val="18"/>
                <w:szCs w:val="18"/>
              </w:rPr>
            </w:pPr>
            <w:r>
              <w:rPr>
                <w:rFonts w:hint="eastAsia"/>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现场核查一体化施工（比例或使用部位）</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80"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sz w:val="18"/>
                <w:szCs w:val="18"/>
              </w:rPr>
            </w:pPr>
            <w:r>
              <w:rPr>
                <w:rFonts w:hint="eastAsia"/>
                <w:sz w:val="18"/>
                <w:szCs w:val="18"/>
              </w:rPr>
              <w:t>7.2.6采用整体化定型设计的厨房、卫浴间</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sz w:val="18"/>
                <w:szCs w:val="18"/>
              </w:rPr>
            </w:pPr>
            <w:r>
              <w:rPr>
                <w:rFonts w:hint="eastAsia"/>
                <w:sz w:val="18"/>
                <w:szCs w:val="18"/>
              </w:rPr>
              <w:t>1.非居住及旅馆的建筑　不参评</w:t>
            </w:r>
            <w:r>
              <w:rPr>
                <w:rFonts w:hint="eastAsia" w:ascii="宋体" w:hAnsi="宋体" w:cs="宋体"/>
                <w:kern w:val="0"/>
                <w:sz w:val="18"/>
                <w:szCs w:val="18"/>
              </w:rPr>
              <w:t>■</w:t>
            </w:r>
            <w:r>
              <w:rPr>
                <w:rFonts w:hint="eastAsia"/>
                <w:sz w:val="18"/>
                <w:szCs w:val="18"/>
              </w:rPr>
              <w:t>；</w:t>
            </w:r>
            <w:r>
              <w:rPr>
                <w:rFonts w:hint="eastAsia"/>
                <w:sz w:val="18"/>
                <w:szCs w:val="18"/>
              </w:rPr>
              <w:br w:type="textWrapping"/>
            </w:r>
            <w:r>
              <w:rPr>
                <w:rFonts w:hint="eastAsia"/>
                <w:sz w:val="18"/>
                <w:szCs w:val="18"/>
              </w:rPr>
              <w:t>2.采用整体化定型设计的厨房     ，旅馆建筑　；</w:t>
            </w:r>
            <w:r>
              <w:rPr>
                <w:rFonts w:hint="eastAsia"/>
                <w:sz w:val="18"/>
                <w:szCs w:val="18"/>
              </w:rPr>
              <w:br w:type="textWrapping"/>
            </w:r>
            <w:r>
              <w:rPr>
                <w:rFonts w:hint="eastAsia"/>
                <w:sz w:val="18"/>
                <w:szCs w:val="18"/>
              </w:rPr>
              <w:t>3.采用整体化定型设计的卫浴间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sz w:val="18"/>
                <w:szCs w:val="18"/>
              </w:rPr>
            </w:pPr>
            <w:r>
              <w:rPr>
                <w:rFonts w:hint="eastAsia"/>
                <w:sz w:val="18"/>
                <w:szCs w:val="18"/>
              </w:rPr>
              <w:t>设计图纸（专业/图号）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sz w:val="18"/>
                <w:szCs w:val="18"/>
              </w:rPr>
            </w:pPr>
            <w:r>
              <w:rPr>
                <w:rFonts w:hint="eastAsia" w:ascii="宋体" w:hAnsi="宋体" w:cs="宋体"/>
                <w:kern w:val="0"/>
                <w:sz w:val="18"/>
                <w:szCs w:val="18"/>
              </w:rPr>
              <w:t>　不参评</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现场核查整体厨房、卫生间</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80" w:hRule="exac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建筑及结构</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7.2.5</w:t>
            </w:r>
            <w:r>
              <w:rPr>
                <w:rFonts w:hint="eastAsia" w:ascii="宋体" w:hAnsi="宋体" w:cs="宋体"/>
                <w:color w:val="7F7F7F" w:themeColor="background1" w:themeShade="80"/>
                <w:kern w:val="0"/>
                <w:sz w:val="18"/>
                <w:szCs w:val="18"/>
              </w:rPr>
              <w:t>采用工业化生产的预制构件</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预制构件用量比例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预制构件用量比例计算书；设计图纸（专业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现场核查工业化构件</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97" w:hRule="exact"/>
        </w:trPr>
        <w:tc>
          <w:tcPr>
            <w:tcW w:w="16551" w:type="dxa"/>
            <w:gridSpan w:val="13"/>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五、室内环境质量（设计参评总分：</w:t>
            </w:r>
            <w:r>
              <w:rPr>
                <w:rFonts w:ascii="黑体" w:hAnsi="黑体" w:eastAsia="黑体" w:cs="宋体"/>
                <w:kern w:val="0"/>
                <w:szCs w:val="21"/>
              </w:rPr>
              <w:t xml:space="preserve">100  </w:t>
            </w:r>
            <w:r>
              <w:rPr>
                <w:rFonts w:hint="eastAsia" w:ascii="黑体" w:hAnsi="黑体" w:eastAsia="黑体" w:cs="宋体"/>
                <w:kern w:val="0"/>
                <w:szCs w:val="21"/>
              </w:rPr>
              <w:t>本项目实际参评总分：</w:t>
            </w:r>
            <w:r>
              <w:rPr>
                <w:rFonts w:hint="eastAsia" w:ascii="黑体" w:hAnsi="黑体" w:eastAsia="黑体" w:cs="宋体"/>
                <w:kern w:val="0"/>
                <w:szCs w:val="21"/>
                <w:lang w:val="en-US" w:eastAsia="zh-CN"/>
              </w:rPr>
              <w:t>74</w:t>
            </w:r>
            <w:r>
              <w:rPr>
                <w:rFonts w:ascii="黑体" w:hAnsi="黑体" w:eastAsia="黑体" w:cs="宋体"/>
                <w:kern w:val="0"/>
                <w:szCs w:val="21"/>
              </w:rPr>
              <w:t xml:space="preserve">   </w:t>
            </w:r>
            <w:r>
              <w:rPr>
                <w:rFonts w:hint="eastAsia" w:ascii="黑体" w:hAnsi="黑体" w:eastAsia="黑体" w:cs="宋体"/>
                <w:kern w:val="0"/>
                <w:szCs w:val="21"/>
              </w:rPr>
              <w:t>本项目实际得分：</w:t>
            </w:r>
            <w:r>
              <w:rPr>
                <w:rFonts w:ascii="黑体" w:hAnsi="黑体" w:eastAsia="黑体" w:cs="宋体"/>
                <w:kern w:val="0"/>
                <w:szCs w:val="21"/>
              </w:rPr>
              <w:t xml:space="preserve"> </w:t>
            </w:r>
            <w:r>
              <w:rPr>
                <w:rFonts w:hint="eastAsia" w:ascii="黑体" w:hAnsi="黑体" w:eastAsia="黑体" w:cs="宋体"/>
                <w:kern w:val="0"/>
                <w:szCs w:val="21"/>
                <w:lang w:val="en-US" w:eastAsia="zh-CN"/>
              </w:rPr>
              <w:t>3</w:t>
            </w:r>
            <w:r>
              <w:rPr>
                <w:rFonts w:ascii="黑体" w:hAnsi="黑体" w:eastAsia="黑体" w:cs="宋体"/>
                <w:kern w:val="0"/>
                <w:szCs w:val="21"/>
              </w:rPr>
              <w:t>8</w:t>
            </w:r>
            <w:r>
              <w:rPr>
                <w:rFonts w:hint="eastAsia" w:ascii="黑体" w:hAnsi="黑体" w:eastAsia="黑体" w:cs="宋体"/>
                <w:kern w:val="0"/>
                <w:szCs w:val="21"/>
              </w:rPr>
              <w:t>　　本项目计算得分：</w:t>
            </w:r>
            <w:r>
              <w:rPr>
                <w:rFonts w:ascii="黑体" w:hAnsi="黑体" w:eastAsia="黑体" w:cs="宋体"/>
                <w:kern w:val="0"/>
                <w:szCs w:val="21"/>
              </w:rPr>
              <w:t>5</w:t>
            </w:r>
            <w:r>
              <w:rPr>
                <w:rFonts w:hint="eastAsia" w:ascii="黑体" w:hAnsi="黑体" w:eastAsia="黑体" w:cs="宋体"/>
                <w:kern w:val="0"/>
                <w:szCs w:val="21"/>
                <w:lang w:val="en-US" w:eastAsia="zh-CN"/>
              </w:rPr>
              <w:t>1.35</w:t>
            </w:r>
            <w:r>
              <w:rPr>
                <w:rFonts w:ascii="黑体" w:hAnsi="黑体" w:eastAsia="黑体" w:cs="宋体"/>
                <w:kern w:val="0"/>
                <w:szCs w:val="21"/>
              </w:rPr>
              <w:t xml:space="preserve"> </w:t>
            </w:r>
            <w:r>
              <w:rPr>
                <w:rFonts w:hint="eastAsia" w:ascii="黑体" w:hAnsi="黑体" w:eastAsia="黑体" w:cs="宋体"/>
                <w:kern w:val="0"/>
                <w:szCs w:val="21"/>
              </w:rPr>
              <w:t>）</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Cs w:val="21"/>
              </w:rPr>
            </w:pP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五、室内环境质量</w:t>
            </w: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建筑及暖通</w:t>
            </w: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8.1.1 </w:t>
            </w:r>
            <w:r>
              <w:rPr>
                <w:rFonts w:hint="eastAsia" w:ascii="宋体" w:hAnsi="宋体" w:cs="宋体"/>
                <w:kern w:val="0"/>
                <w:sz w:val="18"/>
                <w:szCs w:val="18"/>
              </w:rPr>
              <w:t>主要功能房间的室内噪声级应满足现行国家标准《民用建筑隔声设计规范》</w:t>
            </w:r>
            <w:r>
              <w:rPr>
                <w:rFonts w:ascii="宋体" w:hAnsi="宋体" w:cs="宋体"/>
                <w:kern w:val="0"/>
                <w:sz w:val="18"/>
                <w:szCs w:val="18"/>
              </w:rPr>
              <w:t xml:space="preserve"> GB 50118</w:t>
            </w:r>
            <w:r>
              <w:rPr>
                <w:rFonts w:hint="eastAsia" w:ascii="宋体" w:hAnsi="宋体" w:cs="宋体"/>
                <w:kern w:val="0"/>
                <w:sz w:val="18"/>
                <w:szCs w:val="18"/>
              </w:rPr>
              <w:t>中的低限要求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是■</w:t>
            </w:r>
            <w:r>
              <w:rPr>
                <w:rFonts w:ascii="宋体" w:hAnsi="宋体" w:cs="宋体"/>
                <w:kern w:val="0"/>
                <w:sz w:val="18"/>
                <w:szCs w:val="18"/>
              </w:rPr>
              <w:t xml:space="preserve">    </w:t>
            </w:r>
            <w:r>
              <w:rPr>
                <w:rFonts w:hint="eastAsia" w:ascii="宋体" w:hAnsi="宋体" w:cs="宋体"/>
                <w:kern w:val="0"/>
                <w:sz w:val="18"/>
                <w:szCs w:val="18"/>
              </w:rPr>
              <w:t>否□</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建筑平面图；室内背景噪声计算书</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查阅室内噪声检测报告并现场核查</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8.2.1 </w:t>
            </w:r>
            <w:r>
              <w:rPr>
                <w:rFonts w:hint="eastAsia" w:ascii="宋体" w:hAnsi="宋体" w:cs="宋体"/>
                <w:kern w:val="0"/>
                <w:sz w:val="18"/>
                <w:szCs w:val="18"/>
              </w:rPr>
              <w:t>主要功能房间室内噪声级</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主要功能房间室内噪声级达到国标</w:t>
            </w:r>
            <w:r>
              <w:rPr>
                <w:rFonts w:hint="eastAsia" w:ascii="宋体" w:hAnsi="宋体" w:cs="宋体"/>
                <w:kern w:val="0"/>
                <w:sz w:val="18"/>
                <w:szCs w:val="18"/>
                <w:lang w:val="en-US" w:eastAsia="zh-CN"/>
              </w:rPr>
              <w:t>高标准要求</w:t>
            </w:r>
            <w:r>
              <w:rPr>
                <w:rFonts w:hint="eastAsia" w:ascii="宋体" w:hAnsi="宋体" w:cs="宋体"/>
                <w:kern w:val="0"/>
                <w:sz w:val="18"/>
                <w:szCs w:val="18"/>
              </w:rPr>
              <w:t xml:space="preserve"> ■；</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主要功能房间室内噪声级达到国标高要求标准限值</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建筑平面图；室内背景噪声计算报告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查阅室内噪声检测报告并现场核查</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建筑</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8.1.2 </w:t>
            </w:r>
            <w:r>
              <w:rPr>
                <w:rFonts w:hint="eastAsia" w:ascii="宋体" w:hAnsi="宋体" w:cs="宋体"/>
                <w:kern w:val="0"/>
                <w:sz w:val="18"/>
                <w:szCs w:val="18"/>
              </w:rPr>
              <w:t>主要功能房间结构构件的隔声性能应满足现行《民用建筑隔声设计规范》</w:t>
            </w:r>
            <w:r>
              <w:rPr>
                <w:rFonts w:ascii="宋体" w:hAnsi="宋体" w:cs="宋体"/>
                <w:kern w:val="0"/>
                <w:sz w:val="18"/>
                <w:szCs w:val="18"/>
              </w:rPr>
              <w:t>GB 50118</w:t>
            </w:r>
            <w:r>
              <w:rPr>
                <w:rFonts w:hint="eastAsia" w:ascii="宋体" w:hAnsi="宋体" w:cs="宋体"/>
                <w:kern w:val="0"/>
                <w:sz w:val="18"/>
                <w:szCs w:val="18"/>
              </w:rPr>
              <w:t>中低限要求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hint="eastAsia" w:ascii="宋体" w:hAnsi="宋体" w:cs="宋体"/>
                <w:kern w:val="0"/>
                <w:sz w:val="18"/>
                <w:szCs w:val="18"/>
              </w:rPr>
              <w:t>围护结构空气隔声性能达标■；楼板撞击隔声性能达标■</w:t>
            </w:r>
            <w:r>
              <w:rPr>
                <w:rFonts w:ascii="宋体" w:hAnsi="宋体" w:cs="宋体"/>
                <w:kern w:val="0"/>
                <w:sz w:val="18"/>
                <w:szCs w:val="18"/>
              </w:rPr>
              <w:t xml:space="preserve"> .</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建筑构造做法表；建筑构件隔声性能报告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查阅构件隔声性能的实验室检验报告并现场核查</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8.1.5 </w:t>
            </w:r>
            <w:r>
              <w:rPr>
                <w:rFonts w:hint="eastAsia" w:ascii="宋体" w:hAnsi="宋体" w:cs="宋体"/>
                <w:kern w:val="0"/>
                <w:sz w:val="18"/>
                <w:szCs w:val="18"/>
              </w:rPr>
              <w:t>在室内设计温、湿度条件下，建筑围护结构内表面不得结露</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本项目属于夏热冬暖地区可不参评</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不参评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8.1.6 </w:t>
            </w:r>
            <w:r>
              <w:rPr>
                <w:rFonts w:hint="eastAsia" w:ascii="宋体" w:hAnsi="宋体" w:cs="宋体"/>
                <w:kern w:val="0"/>
                <w:sz w:val="18"/>
                <w:szCs w:val="18"/>
              </w:rPr>
              <w:t>屋顶和东西外墙隔热性能应满足现行国家标准《民用建筑热工设计规范》</w:t>
            </w:r>
            <w:r>
              <w:rPr>
                <w:rFonts w:ascii="宋体" w:hAnsi="宋体" w:cs="宋体"/>
                <w:kern w:val="0"/>
                <w:sz w:val="18"/>
                <w:szCs w:val="18"/>
              </w:rPr>
              <w:t xml:space="preserve"> GB 50176</w:t>
            </w:r>
            <w:r>
              <w:rPr>
                <w:rFonts w:hint="eastAsia" w:ascii="宋体" w:hAnsi="宋体" w:cs="宋体"/>
                <w:kern w:val="0"/>
                <w:sz w:val="18"/>
                <w:szCs w:val="18"/>
              </w:rPr>
              <w:t>的要求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隔热检查计算书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901"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8.2.2 </w:t>
            </w:r>
            <w:r>
              <w:rPr>
                <w:rFonts w:hint="eastAsia" w:ascii="宋体" w:hAnsi="宋体" w:cs="宋体"/>
                <w:kern w:val="0"/>
                <w:sz w:val="18"/>
                <w:szCs w:val="18"/>
              </w:rPr>
              <w:t>主要功能房间的隔声性能良好</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构件及相邻房间之间空气声隔声性能达国标平均值  ；达到高要求标准限值</w:t>
            </w:r>
            <w:r>
              <w:rPr>
                <w:rFonts w:ascii="宋体" w:hAnsi="宋体" w:cs="宋体"/>
                <w:kern w:val="0"/>
                <w:sz w:val="18"/>
                <w:szCs w:val="18"/>
                <w:u w:val="single"/>
              </w:rPr>
              <w:t xml:space="preserve"> </w:t>
            </w:r>
            <w:r>
              <w:rPr>
                <w:rFonts w:hint="eastAsia" w:ascii="宋体" w:hAnsi="宋体" w:cs="宋体"/>
                <w:kern w:val="0"/>
                <w:sz w:val="18"/>
                <w:szCs w:val="18"/>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楼板的撞击声隔声性能达到国标平均值■ ；达到高要求标准限值。</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建筑构造做法表，建筑构件隔声性能报告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hint="eastAsia" w:ascii="宋体" w:eastAsia="宋体" w:cs="宋体"/>
                <w:kern w:val="0"/>
                <w:sz w:val="18"/>
                <w:szCs w:val="18"/>
                <w:lang w:eastAsia="zh-CN"/>
              </w:rPr>
            </w:pPr>
            <w:r>
              <w:rPr>
                <w:rFonts w:hint="eastAsia" w:ascii="宋体" w:hAnsi="宋体" w:cs="宋体"/>
                <w:kern w:val="0"/>
                <w:sz w:val="18"/>
                <w:szCs w:val="18"/>
                <w:lang w:val="en-US" w:eastAsia="zh-CN"/>
              </w:rPr>
              <w:t>3</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查阅构件隔声性能的实验室检验报告并现场核查</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71"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8.2.3 </w:t>
            </w:r>
            <w:r>
              <w:rPr>
                <w:rFonts w:hint="eastAsia" w:ascii="宋体" w:hAnsi="宋体" w:cs="宋体"/>
                <w:kern w:val="0"/>
                <w:sz w:val="18"/>
                <w:szCs w:val="18"/>
              </w:rPr>
              <w:t>采取减少噪声干扰的措施</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建筑平面、空间布局合理，没有明显的噪声干扰■</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采用同层排水或其他降低排水噪声的有效措施，使用率达到</w:t>
            </w:r>
            <w:r>
              <w:rPr>
                <w:rFonts w:hint="eastAsia" w:ascii="宋体" w:hAnsi="宋体" w:cs="宋体"/>
                <w:kern w:val="0"/>
                <w:sz w:val="18"/>
                <w:szCs w:val="18"/>
                <w:u w:val="single"/>
              </w:rPr>
              <w:t xml:space="preserve"> </w:t>
            </w:r>
            <w:r>
              <w:rPr>
                <w:rFonts w:ascii="宋体" w:hAnsi="宋体" w:cs="宋体"/>
                <w:kern w:val="0"/>
                <w:sz w:val="18"/>
                <w:szCs w:val="18"/>
                <w:u w:val="single"/>
              </w:rPr>
              <w:t>%</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ind w:firstLine="180" w:firstLineChars="100"/>
              <w:jc w:val="left"/>
              <w:rPr>
                <w:rFonts w:ascii="宋体" w:cs="宋体"/>
                <w:kern w:val="0"/>
                <w:sz w:val="18"/>
                <w:szCs w:val="18"/>
              </w:rPr>
            </w:pPr>
            <w:r>
              <w:rPr>
                <w:rFonts w:hint="eastAsia" w:ascii="宋体" w:hAnsi="宋体" w:cs="宋体"/>
                <w:kern w:val="0"/>
                <w:sz w:val="18"/>
                <w:szCs w:val="18"/>
              </w:rPr>
              <w:t xml:space="preserve">2 </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现场核查减少噪声干扰的措施</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83"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8.2.4 </w:t>
            </w:r>
            <w:r>
              <w:rPr>
                <w:rFonts w:hint="eastAsia" w:ascii="宋体" w:hAnsi="宋体" w:cs="宋体"/>
                <w:kern w:val="0"/>
                <w:sz w:val="18"/>
                <w:szCs w:val="18"/>
              </w:rPr>
              <w:t>公共建筑中的多功能厅、接待大厅、会议室和其他有声学要求的房间进行专项声学设计，满足功能要求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公共建筑：满足</w:t>
            </w:r>
            <w:r>
              <w:rPr>
                <w:rFonts w:hint="eastAsia" w:ascii="宋体" w:hAnsi="宋体" w:cs="宋体"/>
                <w:kern w:val="0"/>
                <w:sz w:val="18"/>
                <w:szCs w:val="18"/>
                <w:lang w:eastAsia="zh-CN"/>
              </w:rPr>
              <w:t>□</w:t>
            </w:r>
            <w:r>
              <w:rPr>
                <w:rFonts w:ascii="宋体" w:hAnsi="宋体" w:cs="宋体"/>
                <w:kern w:val="0"/>
                <w:sz w:val="18"/>
                <w:szCs w:val="18"/>
              </w:rPr>
              <w:t xml:space="preserve">   </w:t>
            </w:r>
            <w:r>
              <w:rPr>
                <w:rFonts w:hint="eastAsia" w:ascii="宋体" w:hAnsi="宋体" w:cs="宋体"/>
                <w:kern w:val="0"/>
                <w:sz w:val="18"/>
                <w:szCs w:val="18"/>
              </w:rPr>
              <w:t>不满足</w:t>
            </w:r>
            <w:r>
              <w:rPr>
                <w:rFonts w:hint="eastAsia" w:ascii="宋体" w:hAnsi="宋体" w:cs="宋体"/>
                <w:kern w:val="0"/>
                <w:sz w:val="18"/>
                <w:szCs w:val="18"/>
                <w:lang w:eastAsia="zh-CN"/>
              </w:rPr>
              <w:t>□</w:t>
            </w:r>
            <w:r>
              <w:rPr>
                <w:rFonts w:ascii="宋体" w:hAnsi="宋体" w:cs="宋体"/>
                <w:kern w:val="0"/>
                <w:sz w:val="18"/>
                <w:szCs w:val="18"/>
              </w:rPr>
              <w:t xml:space="preserve"> </w:t>
            </w:r>
            <w:r>
              <w:rPr>
                <w:rFonts w:hint="eastAsia" w:ascii="宋体" w:hAnsi="宋体" w:cs="宋体"/>
                <w:kern w:val="0"/>
                <w:sz w:val="18"/>
                <w:szCs w:val="18"/>
              </w:rPr>
              <w:t xml:space="preserve"> 无声学要求房间，不参评■</w:t>
            </w:r>
            <w:r>
              <w:rPr>
                <w:rFonts w:ascii="宋体" w:hAnsi="宋体" w:cs="宋体"/>
                <w:kern w:val="0"/>
                <w:sz w:val="18"/>
                <w:szCs w:val="18"/>
              </w:rPr>
              <w:t xml:space="preserve">  </w:t>
            </w:r>
          </w:p>
        </w:tc>
        <w:tc>
          <w:tcPr>
            <w:tcW w:w="3543" w:type="dxa"/>
            <w:gridSpan w:val="3"/>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声学设计专项报告；设计图纸（建筑/建施-01）</w:t>
            </w:r>
          </w:p>
        </w:tc>
        <w:tc>
          <w:tcPr>
            <w:tcW w:w="425"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不参评　</w:t>
            </w:r>
          </w:p>
        </w:tc>
        <w:tc>
          <w:tcPr>
            <w:tcW w:w="236" w:type="dxa"/>
            <w:vMerge w:val="continue"/>
            <w:tcBorders>
              <w:left w:val="nil"/>
              <w:right w:val="single" w:color="auto" w:sz="4" w:space="0"/>
            </w:tcBorders>
            <w:shd w:val="clear" w:color="auto" w:fill="auto"/>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查阅声学检测报告并现场核查</w:t>
            </w:r>
          </w:p>
        </w:tc>
        <w:tc>
          <w:tcPr>
            <w:tcW w:w="567" w:type="dxa"/>
            <w:tcBorders>
              <w:top w:val="nil"/>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865"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color w:val="7F7F7F" w:themeColor="background1" w:themeShade="80"/>
                <w:sz w:val="18"/>
                <w:szCs w:val="18"/>
              </w:rPr>
            </w:pPr>
            <w:r>
              <w:rPr>
                <w:rFonts w:hint="eastAsia"/>
                <w:color w:val="7F7F7F" w:themeColor="background1" w:themeShade="80"/>
                <w:sz w:val="18"/>
                <w:szCs w:val="18"/>
              </w:rPr>
              <w:t>8.2.5 建筑主要功能房间具有良好的户外视野</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color w:val="7F7F7F" w:themeColor="background1" w:themeShade="80"/>
                <w:sz w:val="18"/>
                <w:szCs w:val="18"/>
              </w:rPr>
            </w:pPr>
            <w:r>
              <w:rPr>
                <w:rFonts w:hint="eastAsia"/>
                <w:color w:val="7F7F7F" w:themeColor="background1" w:themeShade="80"/>
                <w:sz w:val="18"/>
                <w:szCs w:val="18"/>
              </w:rPr>
              <w:t xml:space="preserve">1.居住建筑：与相邻建筑的直接间距   m；                     </w:t>
            </w:r>
            <w:r>
              <w:rPr>
                <w:rFonts w:hint="eastAsia"/>
                <w:color w:val="7F7F7F" w:themeColor="background1" w:themeShade="80"/>
                <w:sz w:val="18"/>
                <w:szCs w:val="18"/>
              </w:rPr>
              <w:br w:type="textWrapping"/>
            </w:r>
            <w:r>
              <w:rPr>
                <w:rFonts w:hint="eastAsia"/>
                <w:color w:val="7F7F7F" w:themeColor="background1" w:themeShade="80"/>
                <w:sz w:val="18"/>
                <w:szCs w:val="18"/>
              </w:rPr>
              <w:t>2.公共建筑：与主要功能房间能通过外窗看到室外自然景观，无明显视线干扰。</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color w:val="7F7F7F" w:themeColor="background1" w:themeShade="80"/>
                <w:sz w:val="18"/>
                <w:szCs w:val="18"/>
              </w:rPr>
            </w:pPr>
            <w:r>
              <w:rPr>
                <w:rFonts w:hint="eastAsia"/>
                <w:color w:val="7F7F7F" w:themeColor="background1" w:themeShade="80"/>
                <w:sz w:val="18"/>
                <w:szCs w:val="18"/>
              </w:rPr>
              <w:t>建筑/建筑平面图</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color w:val="7F7F7F" w:themeColor="background1" w:themeShade="80"/>
                <w:sz w:val="18"/>
                <w:szCs w:val="18"/>
              </w:rPr>
            </w:pPr>
            <w:r>
              <w:rPr>
                <w:rFonts w:hint="eastAsia"/>
                <w:color w:val="7F7F7F" w:themeColor="background1" w:themeShade="80"/>
                <w:sz w:val="18"/>
                <w:szCs w:val="18"/>
              </w:rPr>
              <w:t>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color w:val="7F7F7F" w:themeColor="background1" w:themeShade="80"/>
                <w:sz w:val="18"/>
                <w:szCs w:val="18"/>
              </w:rPr>
            </w:pPr>
            <w:r>
              <w:rPr>
                <w:rFonts w:hint="eastAsia"/>
                <w:color w:val="7F7F7F" w:themeColor="background1" w:themeShade="8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18"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8.2.6 </w:t>
            </w:r>
            <w:r>
              <w:rPr>
                <w:rFonts w:hint="eastAsia" w:ascii="宋体" w:hAnsi="宋体" w:cs="宋体"/>
                <w:kern w:val="0"/>
                <w:sz w:val="18"/>
                <w:szCs w:val="18"/>
              </w:rPr>
              <w:t>主要功能房间的采光系数满足现行国家标准《建筑采光设计标准》</w:t>
            </w:r>
            <w:r>
              <w:rPr>
                <w:rFonts w:ascii="宋体" w:hAnsi="宋体" w:cs="宋体"/>
                <w:kern w:val="0"/>
                <w:sz w:val="18"/>
                <w:szCs w:val="18"/>
              </w:rPr>
              <w:t>GB 50033</w:t>
            </w:r>
            <w:r>
              <w:rPr>
                <w:rFonts w:hint="eastAsia" w:ascii="宋体" w:hAnsi="宋体" w:cs="宋体"/>
                <w:kern w:val="0"/>
                <w:sz w:val="18"/>
                <w:szCs w:val="18"/>
              </w:rPr>
              <w:t>的要求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居住建筑：窗地面积比</w:t>
            </w:r>
            <w:r>
              <w:rPr>
                <w:rFonts w:ascii="宋体" w:hAnsi="宋体" w:cs="宋体"/>
                <w:kern w:val="0"/>
                <w:sz w:val="18"/>
                <w:szCs w:val="18"/>
                <w:u w:val="single"/>
              </w:rPr>
              <w:t xml:space="preserve">   </w:t>
            </w:r>
            <w:r>
              <w:rPr>
                <w:rFonts w:ascii="宋体" w:cs="宋体"/>
                <w:kern w:val="0"/>
                <w:sz w:val="18"/>
                <w:szCs w:val="18"/>
              </w:rPr>
              <w:t>,</w:t>
            </w:r>
            <w:r>
              <w:t xml:space="preserve"> </w:t>
            </w:r>
            <w:r>
              <w:rPr>
                <w:rFonts w:hint="eastAsia" w:ascii="宋体" w:hAnsi="宋体" w:cs="宋体"/>
                <w:kern w:val="0"/>
                <w:sz w:val="18"/>
                <w:szCs w:val="18"/>
              </w:rPr>
              <w:t>可见光透过率</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0.61</w:t>
            </w:r>
            <w:r>
              <w:rPr>
                <w:rFonts w:ascii="宋体" w:hAnsi="宋体" w:cs="宋体"/>
                <w:kern w:val="0"/>
                <w:sz w:val="18"/>
                <w:szCs w:val="18"/>
                <w:u w:val="single"/>
              </w:rPr>
              <w:t xml:space="preserve">  </w:t>
            </w:r>
            <w:r>
              <w:rPr>
                <w:rFonts w:hint="eastAsia" w:ascii="宋体" w:hAnsi="宋体" w:cs="宋体"/>
                <w:kern w:val="0"/>
                <w:sz w:val="18"/>
                <w:szCs w:val="18"/>
              </w:rPr>
              <w:t>；</w:t>
            </w:r>
          </w:p>
          <w:p>
            <w:pPr>
              <w:widowControl/>
              <w:spacing w:line="288" w:lineRule="auto"/>
              <w:jc w:val="left"/>
              <w:rPr>
                <w:rFonts w:ascii="宋体" w:cs="宋体"/>
                <w:color w:val="FF0000"/>
                <w:kern w:val="0"/>
                <w:sz w:val="18"/>
                <w:szCs w:val="18"/>
              </w:rPr>
            </w:pPr>
            <w:r>
              <w:rPr>
                <w:rFonts w:ascii="宋体" w:hAnsi="宋体" w:cs="宋体"/>
                <w:kern w:val="0"/>
                <w:sz w:val="18"/>
                <w:szCs w:val="18"/>
              </w:rPr>
              <w:t>2.</w:t>
            </w:r>
            <w:r>
              <w:rPr>
                <w:rFonts w:hint="eastAsia" w:ascii="宋体" w:hAnsi="宋体" w:cs="宋体"/>
                <w:kern w:val="0"/>
                <w:sz w:val="18"/>
                <w:szCs w:val="18"/>
              </w:rPr>
              <w:t>公共建筑：采光系数满足国标要求的面积比例</w:t>
            </w:r>
            <w:r>
              <w:rPr>
                <w:rFonts w:hint="eastAsia" w:ascii="宋体" w:hAnsi="宋体" w:cs="宋体"/>
                <w:kern w:val="0"/>
                <w:sz w:val="18"/>
                <w:szCs w:val="18"/>
                <w:lang w:val="en-US" w:eastAsia="zh-CN"/>
              </w:rPr>
              <w:t>100%</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窗地面积比例计算书、室内采光模拟报告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8</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查阅相关采光检测报告并现场核查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984" w:hRule="exact"/>
        </w:trPr>
        <w:tc>
          <w:tcPr>
            <w:tcW w:w="469"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8.2.7</w:t>
            </w:r>
            <w:r>
              <w:rPr>
                <w:rFonts w:hint="eastAsia" w:ascii="宋体" w:hAnsi="宋体" w:cs="宋体"/>
                <w:kern w:val="0"/>
                <w:sz w:val="18"/>
                <w:szCs w:val="18"/>
              </w:rPr>
              <w:t>改善建筑室内天然采光效果</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有控制眩光措施</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内区满足采光要求的比例</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3.</w:t>
            </w:r>
            <w:r>
              <w:rPr>
                <w:rFonts w:hint="eastAsia" w:ascii="宋体" w:hAnsi="宋体" w:cs="宋体"/>
                <w:kern w:val="0"/>
                <w:sz w:val="18"/>
                <w:szCs w:val="18"/>
              </w:rPr>
              <w:t>地下空间平均系数不小于</w:t>
            </w:r>
            <w:r>
              <w:rPr>
                <w:rFonts w:ascii="宋体" w:hAnsi="宋体" w:cs="宋体"/>
                <w:kern w:val="0"/>
                <w:sz w:val="18"/>
                <w:szCs w:val="18"/>
              </w:rPr>
              <w:t>0.5%</w:t>
            </w:r>
            <w:r>
              <w:rPr>
                <w:rFonts w:hint="eastAsia" w:ascii="宋体" w:hAnsi="宋体" w:cs="宋体"/>
                <w:kern w:val="0"/>
                <w:sz w:val="18"/>
                <w:szCs w:val="18"/>
              </w:rPr>
              <w:t>的面积与首层地下室的比例</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4.</w:t>
            </w:r>
            <w:r>
              <w:rPr>
                <w:rFonts w:hint="eastAsia" w:ascii="宋体" w:hAnsi="宋体" w:cs="宋体"/>
                <w:kern w:val="0"/>
                <w:sz w:val="18"/>
                <w:szCs w:val="18"/>
              </w:rPr>
              <w:t>建筑无内区，无地下空间</w:t>
            </w:r>
            <w:r>
              <w:rPr>
                <w:rFonts w:hint="eastAsia"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建筑平面图，眩光分析报告</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6</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bottom w:val="single" w:color="auto" w:sz="4" w:space="0"/>
              <w:right w:val="single" w:color="auto" w:sz="4" w:space="0"/>
            </w:tcBorders>
            <w:tcMar>
              <w:left w:w="28" w:type="dxa"/>
              <w:right w:w="28" w:type="dxa"/>
            </w:tcMar>
            <w:vAlign w:val="center"/>
          </w:tcPr>
          <w:p>
            <w:pPr>
              <w:widowControl/>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查阅天然采光检测报告并现场核查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8.2.8 </w:t>
            </w:r>
            <w:r>
              <w:rPr>
                <w:rFonts w:hint="eastAsia" w:ascii="宋体" w:hAnsi="宋体" w:cs="宋体"/>
                <w:color w:val="7F7F7F" w:themeColor="background1" w:themeShade="80"/>
                <w:kern w:val="0"/>
                <w:sz w:val="18"/>
                <w:szCs w:val="18"/>
              </w:rPr>
              <w:t>采取可调节遮阳措施，降低夏季太阳辐射得热</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外窗和幕墙透明部分中，有可控遮阳调节措施的面积比例达到</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可调节遮阳比例计算书；设计图纸（专业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w:t>
            </w:r>
          </w:p>
        </w:tc>
        <w:tc>
          <w:tcPr>
            <w:tcW w:w="236" w:type="dxa"/>
            <w:vMerge w:val="restart"/>
            <w:tcBorders>
              <w:top w:val="single" w:color="auto" w:sz="4" w:space="0"/>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现场核查遮阳设置</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80" w:hRule="atLeast"/>
        </w:trPr>
        <w:tc>
          <w:tcPr>
            <w:tcW w:w="469"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8.2.10 </w:t>
            </w:r>
            <w:r>
              <w:rPr>
                <w:rFonts w:hint="eastAsia" w:ascii="宋体" w:hAnsi="宋体" w:cs="宋体"/>
                <w:kern w:val="0"/>
                <w:sz w:val="18"/>
                <w:szCs w:val="18"/>
              </w:rPr>
              <w:t>优化建筑布局和构造设计，改善自然通风效果</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居住建筑：①通风开口面积与房间地板面积的比例</w:t>
            </w:r>
            <w:r>
              <w:rPr>
                <w:rFonts w:hint="eastAsia" w:ascii="宋体" w:hAnsi="宋体" w:cs="宋体"/>
                <w:kern w:val="0"/>
                <w:sz w:val="18"/>
                <w:szCs w:val="18"/>
                <w:u w:val="single"/>
                <w:lang w:val="en-US" w:eastAsia="zh-CN"/>
              </w:rPr>
              <w:t xml:space="preserve">   </w:t>
            </w:r>
            <w:r>
              <w:rPr>
                <w:rFonts w:ascii="宋体" w:hAnsi="宋体" w:cs="宋体"/>
                <w:kern w:val="0"/>
                <w:sz w:val="18"/>
                <w:szCs w:val="18"/>
                <w:u w:val="single"/>
              </w:rPr>
              <w:t>%</w:t>
            </w:r>
            <w:r>
              <w:rPr>
                <w:rFonts w:ascii="宋体" w:hAnsi="宋体" w:cs="宋体"/>
                <w:kern w:val="0"/>
                <w:sz w:val="18"/>
                <w:szCs w:val="18"/>
              </w:rPr>
              <w:t xml:space="preserve"> </w:t>
            </w:r>
            <w:r>
              <w:rPr>
                <w:rFonts w:hint="eastAsia" w:ascii="宋体" w:hAnsi="宋体" w:cs="宋体"/>
                <w:kern w:val="0"/>
                <w:sz w:val="18"/>
                <w:szCs w:val="18"/>
              </w:rPr>
              <w:t>；②设有明卫。</w:t>
            </w:r>
            <w:r>
              <w:rPr>
                <w:rFonts w:asci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公共建筑：平均自然通风换气次数不小于</w:t>
            </w:r>
            <w:r>
              <w:rPr>
                <w:rFonts w:ascii="宋体" w:hAnsi="宋体" w:cs="宋体"/>
                <w:kern w:val="0"/>
                <w:sz w:val="18"/>
                <w:szCs w:val="18"/>
              </w:rPr>
              <w:t>2</w:t>
            </w:r>
            <w:r>
              <w:rPr>
                <w:rFonts w:hint="eastAsia" w:ascii="宋体" w:hAnsi="宋体" w:cs="宋体"/>
                <w:kern w:val="0"/>
                <w:sz w:val="18"/>
                <w:szCs w:val="18"/>
              </w:rPr>
              <w:t>次</w:t>
            </w:r>
            <w:r>
              <w:rPr>
                <w:rFonts w:ascii="宋体" w:hAnsi="宋体" w:cs="宋体"/>
                <w:kern w:val="0"/>
                <w:sz w:val="18"/>
                <w:szCs w:val="18"/>
              </w:rPr>
              <w:t>/h</w:t>
            </w:r>
            <w:r>
              <w:rPr>
                <w:rFonts w:hint="eastAsia" w:ascii="宋体" w:hAnsi="宋体" w:cs="宋体"/>
                <w:kern w:val="0"/>
                <w:sz w:val="18"/>
                <w:szCs w:val="18"/>
              </w:rPr>
              <w:t>的面积比例■。</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sz w:val="18"/>
                <w:szCs w:val="18"/>
              </w:rPr>
            </w:pPr>
            <w:r>
              <w:rPr>
                <w:rFonts w:hint="eastAsia"/>
                <w:sz w:val="18"/>
                <w:szCs w:val="18"/>
              </w:rPr>
              <w:t>开地面积比例计算书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13</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现场核查通风措施（通风开口面积）和明卫设置</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暖通</w:t>
            </w:r>
          </w:p>
        </w:tc>
        <w:tc>
          <w:tcPr>
            <w:tcW w:w="445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8.1.4 </w:t>
            </w:r>
            <w:r>
              <w:rPr>
                <w:rFonts w:hint="eastAsia" w:ascii="宋体" w:hAnsi="宋体" w:cs="宋体"/>
                <w:kern w:val="0"/>
                <w:sz w:val="18"/>
                <w:szCs w:val="18"/>
              </w:rPr>
              <w:t>采用集中空调系统的建筑，设计参数符合现行《民用建筑供暖通风与空气调节设计规范》</w:t>
            </w:r>
            <w:r>
              <w:rPr>
                <w:rFonts w:ascii="宋体" w:hAnsi="宋体" w:cs="宋体"/>
                <w:kern w:val="0"/>
                <w:sz w:val="18"/>
                <w:szCs w:val="18"/>
              </w:rPr>
              <w:t>GB50736</w:t>
            </w:r>
            <w:r>
              <w:rPr>
                <w:rFonts w:hint="eastAsia" w:ascii="宋体" w:hAnsi="宋体" w:cs="宋体"/>
                <w:kern w:val="0"/>
                <w:sz w:val="18"/>
                <w:szCs w:val="18"/>
              </w:rPr>
              <w:t>的规定</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FF0000"/>
                <w:kern w:val="0"/>
                <w:sz w:val="18"/>
                <w:szCs w:val="18"/>
              </w:rPr>
            </w:pPr>
            <w:r>
              <w:rPr>
                <w:rFonts w:hint="eastAsia" w:ascii="宋体" w:hAnsi="宋体" w:cs="宋体"/>
                <w:kern w:val="0"/>
                <w:sz w:val="18"/>
                <w:szCs w:val="18"/>
              </w:rPr>
              <w:t>本项目采用分体空调</w:t>
            </w:r>
          </w:p>
        </w:tc>
        <w:tc>
          <w:tcPr>
            <w:tcW w:w="3543"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w:t>
            </w:r>
          </w:p>
        </w:tc>
        <w:tc>
          <w:tcPr>
            <w:tcW w:w="850"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查阅室内温湿度检测报告、新风机组竣工验收风量检测报告、二氧化碳浓度检测报告并现场核查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36" w:hRule="exact"/>
        </w:trPr>
        <w:tc>
          <w:tcPr>
            <w:tcW w:w="469" w:type="dxa"/>
            <w:vMerge w:val="continue"/>
            <w:tcBorders>
              <w:top w:val="single" w:color="auto" w:sz="4" w:space="0"/>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8.2.9 </w:t>
            </w:r>
            <w:r>
              <w:rPr>
                <w:rFonts w:hint="eastAsia" w:ascii="宋体" w:hAnsi="宋体" w:cs="宋体"/>
                <w:kern w:val="0"/>
                <w:sz w:val="18"/>
                <w:szCs w:val="18"/>
              </w:rPr>
              <w:t>供暖空调系统末端现场可独立调节</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非集中空调建筑：</w:t>
            </w:r>
            <w:r>
              <w:rPr>
                <w:rFonts w:hint="eastAsia" w:ascii="宋体" w:hAnsi="宋体" w:cs="宋体"/>
                <w:kern w:val="0"/>
                <w:sz w:val="18"/>
                <w:szCs w:val="18"/>
                <w:u w:val="single"/>
              </w:rPr>
              <w:t>不参评</w:t>
            </w:r>
            <w:r>
              <w:rPr>
                <w:rFonts w:hint="eastAsia"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供暖、空调末端</w:t>
            </w:r>
            <w:r>
              <w:rPr>
                <w:rFonts w:ascii="宋体" w:hAnsi="宋体" w:cs="宋体"/>
                <w:kern w:val="0"/>
                <w:sz w:val="18"/>
                <w:szCs w:val="18"/>
              </w:rPr>
              <w:t xml:space="preserve"> </w:t>
            </w:r>
            <w:r>
              <w:rPr>
                <w:rFonts w:hint="eastAsia" w:ascii="宋体" w:hAnsi="宋体" w:cs="宋体"/>
                <w:kern w:val="0"/>
                <w:sz w:val="18"/>
                <w:szCs w:val="18"/>
              </w:rPr>
              <w:t>装置可独立启停的主要功能房间数量比例</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不参评</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查阅产品说明书并现场核查</w:t>
            </w:r>
          </w:p>
        </w:tc>
        <w:tc>
          <w:tcPr>
            <w:tcW w:w="567"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719" w:hRule="exact"/>
        </w:trPr>
        <w:tc>
          <w:tcPr>
            <w:tcW w:w="46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8.2.11</w:t>
            </w:r>
            <w:r>
              <w:rPr>
                <w:rFonts w:hint="eastAsia" w:ascii="宋体" w:hAnsi="宋体" w:cs="宋体"/>
                <w:kern w:val="0"/>
                <w:sz w:val="18"/>
                <w:szCs w:val="18"/>
              </w:rPr>
              <w:t>气流组织合理</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重要功能区域暖通空调工况下的气流组织满足热环境参数设计要求</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避免卫生间、餐厅、车库等区域的空气和污染物串通到其他空间</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sz w:val="18"/>
                <w:szCs w:val="18"/>
              </w:rPr>
              <w:t>暖通/</w:t>
            </w:r>
            <w:r>
              <w:rPr>
                <w:rFonts w:hint="eastAsia"/>
                <w:sz w:val="18"/>
                <w:szCs w:val="18"/>
              </w:rPr>
              <w:t>01</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hint="eastAsia" w:asci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tcBorders>
              <w:top w:val="nil"/>
              <w:left w:val="single" w:color="auto" w:sz="4" w:space="0"/>
              <w:bottom w:val="nil"/>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电气</w:t>
            </w:r>
          </w:p>
        </w:tc>
        <w:tc>
          <w:tcPr>
            <w:tcW w:w="445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8.1.3 </w:t>
            </w:r>
            <w:r>
              <w:rPr>
                <w:rFonts w:hint="eastAsia" w:ascii="宋体" w:hAnsi="宋体" w:cs="宋体"/>
                <w:kern w:val="0"/>
                <w:sz w:val="18"/>
                <w:szCs w:val="18"/>
              </w:rPr>
              <w:t>建筑照明数量和质量应符合现行国家标准《建筑照明设计标准》</w:t>
            </w:r>
            <w:r>
              <w:rPr>
                <w:rFonts w:ascii="宋体" w:hAnsi="宋体" w:cs="宋体"/>
                <w:kern w:val="0"/>
                <w:sz w:val="18"/>
                <w:szCs w:val="18"/>
              </w:rPr>
              <w:t xml:space="preserve">GB 50034 </w:t>
            </w:r>
            <w:r>
              <w:rPr>
                <w:rFonts w:hint="eastAsia" w:ascii="宋体" w:hAnsi="宋体" w:cs="宋体"/>
                <w:kern w:val="0"/>
                <w:sz w:val="18"/>
                <w:szCs w:val="18"/>
              </w:rPr>
              <w:t>的规定</w:t>
            </w:r>
          </w:p>
        </w:tc>
        <w:tc>
          <w:tcPr>
            <w:tcW w:w="6807" w:type="dxa"/>
            <w:gridSpan w:val="6"/>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3543" w:type="dxa"/>
            <w:gridSpan w:val="3"/>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电气设计说明；照度计算书</w:t>
            </w:r>
          </w:p>
        </w:tc>
        <w:tc>
          <w:tcPr>
            <w:tcW w:w="425"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满足</w:t>
            </w:r>
          </w:p>
        </w:tc>
        <w:tc>
          <w:tcPr>
            <w:tcW w:w="850"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查阅相关检测报告并现场核查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680" w:hRule="exact"/>
        </w:trPr>
        <w:tc>
          <w:tcPr>
            <w:tcW w:w="469" w:type="dxa"/>
            <w:vMerge w:val="restart"/>
            <w:tcBorders>
              <w:top w:val="single" w:color="auto" w:sz="4" w:space="0"/>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暖通及电气</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8.2.12 </w:t>
            </w:r>
            <w:r>
              <w:rPr>
                <w:rFonts w:hint="eastAsia" w:ascii="宋体" w:hAnsi="宋体" w:cs="宋体"/>
                <w:kern w:val="0"/>
                <w:sz w:val="18"/>
                <w:szCs w:val="18"/>
              </w:rPr>
              <w:t>主要功能房间中人员密度较高且随时间变化大的区域设置室内空气质量监控系统</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住宅建筑：</w:t>
            </w:r>
            <w:r>
              <w:rPr>
                <w:rFonts w:hint="eastAsia" w:ascii="宋体" w:hAnsi="宋体" w:cs="宋体"/>
                <w:kern w:val="0"/>
                <w:sz w:val="18"/>
                <w:szCs w:val="18"/>
                <w:u w:val="single"/>
              </w:rPr>
              <w:t xml:space="preserve">□    </w:t>
            </w:r>
            <w:r>
              <w:rPr>
                <w:rFonts w:ascii="宋体" w:hAnsi="宋体" w:cs="宋体"/>
                <w:kern w:val="0"/>
                <w:sz w:val="18"/>
                <w:szCs w:val="18"/>
              </w:rPr>
              <w:t xml:space="preserve">                                          </w:t>
            </w:r>
            <w:r>
              <w:rPr>
                <w:rFonts w:ascii="宋体" w:hAnsi="宋体" w:cs="宋体"/>
                <w:kern w:val="0"/>
                <w:sz w:val="18"/>
                <w:szCs w:val="18"/>
              </w:rPr>
              <w:br w:type="textWrapping"/>
            </w:r>
            <w:r>
              <w:rPr>
                <w:rFonts w:ascii="宋体" w:hAnsi="宋体" w:cs="宋体"/>
                <w:kern w:val="0"/>
                <w:sz w:val="18"/>
                <w:szCs w:val="18"/>
              </w:rPr>
              <w:t>2.</w:t>
            </w:r>
            <w:r>
              <w:rPr>
                <w:rFonts w:hint="eastAsia" w:ascii="宋体" w:hAnsi="宋体" w:cs="宋体"/>
                <w:kern w:val="0"/>
                <w:sz w:val="18"/>
                <w:szCs w:val="18"/>
              </w:rPr>
              <w:t>公共建筑：①对室内的二氧化碳浓度进行数据采集分析，与通风系统联动</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②室内污染物浓度报警，与通风系统联动</w:t>
            </w:r>
            <w:r>
              <w:rPr>
                <w:rFonts w:ascii="宋体" w:hAnsi="宋体" w:cs="宋体"/>
                <w:kern w:val="0"/>
                <w:sz w:val="18"/>
                <w:szCs w:val="18"/>
                <w:u w:val="single"/>
              </w:rPr>
              <w:t xml:space="preserve"> </w:t>
            </w:r>
            <w:r>
              <w:rPr>
                <w:rFonts w:hint="eastAsia" w:ascii="宋体" w:hAnsi="宋体" w:cs="宋体"/>
                <w:kern w:val="0"/>
                <w:sz w:val="18"/>
                <w:szCs w:val="18"/>
                <w:u w:val="single"/>
              </w:rPr>
              <w:t>□</w:t>
            </w:r>
            <w:r>
              <w:rPr>
                <w:rFonts w:ascii="宋体" w:hAnsi="宋体" w:cs="宋体"/>
                <w:kern w:val="0"/>
                <w:sz w:val="18"/>
                <w:szCs w:val="18"/>
                <w:u w:val="single"/>
              </w:rPr>
              <w:t xml:space="preserve"> </w:t>
            </w:r>
            <w:r>
              <w:rPr>
                <w:rFonts w:hint="eastAsia" w:ascii="宋体" w:hAnsi="宋体" w:cs="宋体"/>
                <w:kern w:val="0"/>
                <w:sz w:val="18"/>
                <w:szCs w:val="18"/>
              </w:rPr>
              <w:t>；采用分体式空调，不参评■</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不参评</w:t>
            </w:r>
          </w:p>
          <w:p>
            <w:pPr>
              <w:widowControl/>
              <w:spacing w:line="288" w:lineRule="auto"/>
              <w:jc w:val="center"/>
              <w:rPr>
                <w:rFonts w:ascii="宋体" w:cs="宋体"/>
                <w:kern w:val="0"/>
                <w:sz w:val="18"/>
                <w:szCs w:val="18"/>
              </w:rPr>
            </w:pPr>
            <w:r>
              <w:rPr>
                <w:rFonts w:hint="eastAsia" w:ascii="宋体" w:hAnsi="宋体" w:cs="宋体"/>
                <w:kern w:val="0"/>
                <w:sz w:val="18"/>
                <w:szCs w:val="18"/>
              </w:rPr>
              <w:t>8分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top w:val="single" w:color="auto" w:sz="4" w:space="0"/>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 xml:space="preserve">8.2.13 </w:t>
            </w:r>
            <w:r>
              <w:rPr>
                <w:rFonts w:hint="eastAsia" w:ascii="宋体" w:hAnsi="宋体" w:cs="宋体"/>
                <w:kern w:val="0"/>
                <w:sz w:val="18"/>
                <w:szCs w:val="18"/>
              </w:rPr>
              <w:t>地下车库设置与排风设备联动的一氧化碳浓度监测装置</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hint="eastAsia" w:ascii="宋体" w:hAnsi="宋体" w:eastAsia="宋体" w:cs="宋体"/>
                <w:kern w:val="0"/>
                <w:sz w:val="18"/>
                <w:szCs w:val="18"/>
                <w:lang w:eastAsia="zh-CN"/>
              </w:rPr>
            </w:pPr>
            <w:r>
              <w:rPr>
                <w:rFonts w:hint="eastAsia" w:ascii="宋体" w:hAnsi="宋体" w:cs="宋体"/>
                <w:kern w:val="0"/>
                <w:sz w:val="18"/>
                <w:szCs w:val="18"/>
              </w:rPr>
              <w:t>是□</w:t>
            </w:r>
            <w:r>
              <w:rPr>
                <w:rFonts w:ascii="宋体" w:hAnsi="宋体" w:cs="宋体"/>
                <w:kern w:val="0"/>
                <w:sz w:val="18"/>
                <w:szCs w:val="18"/>
              </w:rPr>
              <w:t xml:space="preserve">   </w:t>
            </w:r>
            <w:r>
              <w:rPr>
                <w:rFonts w:hint="eastAsia" w:ascii="宋体" w:hAnsi="宋体" w:cs="宋体"/>
                <w:kern w:val="0"/>
                <w:sz w:val="18"/>
                <w:szCs w:val="18"/>
              </w:rPr>
              <w:t>否□</w:t>
            </w:r>
            <w:r>
              <w:rPr>
                <w:rFonts w:ascii="宋体" w:hAnsi="宋体" w:cs="宋体"/>
                <w:kern w:val="0"/>
                <w:sz w:val="18"/>
                <w:szCs w:val="18"/>
              </w:rPr>
              <w:t xml:space="preserve"> </w:t>
            </w:r>
            <w:r>
              <w:rPr>
                <w:rFonts w:hint="eastAsia" w:ascii="宋体" w:hAnsi="宋体" w:cs="宋体"/>
                <w:kern w:val="0"/>
                <w:sz w:val="18"/>
                <w:szCs w:val="18"/>
              </w:rPr>
              <w:t xml:space="preserve"> 未设地下室，不参评■</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sz w:val="18"/>
                <w:szCs w:val="18"/>
              </w:rPr>
              <w:t>设计图纸（专业</w:t>
            </w:r>
            <w:r>
              <w:rPr>
                <w:sz w:val="18"/>
                <w:szCs w:val="18"/>
              </w:rPr>
              <w:t>/</w:t>
            </w:r>
            <w:r>
              <w:rPr>
                <w:rFonts w:hint="eastAsia"/>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不参评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97" w:hRule="exact"/>
        </w:trPr>
        <w:tc>
          <w:tcPr>
            <w:tcW w:w="16551" w:type="dxa"/>
            <w:gridSpan w:val="13"/>
            <w:tcBorders>
              <w:top w:val="single" w:color="auto" w:sz="4" w:space="0"/>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黑体" w:hAnsi="黑体" w:eastAsia="黑体" w:cs="宋体"/>
                <w:kern w:val="0"/>
                <w:szCs w:val="21"/>
              </w:rPr>
            </w:pPr>
            <w:r>
              <w:rPr>
                <w:rFonts w:hint="eastAsia" w:ascii="黑体" w:hAnsi="黑体" w:eastAsia="黑体" w:cs="宋体"/>
                <w:kern w:val="0"/>
                <w:szCs w:val="21"/>
              </w:rPr>
              <w:t>六、提高与创新（本项目得分（≦</w:t>
            </w:r>
            <w:r>
              <w:rPr>
                <w:rFonts w:ascii="黑体" w:hAnsi="黑体" w:eastAsia="黑体" w:cs="宋体"/>
                <w:kern w:val="0"/>
                <w:szCs w:val="21"/>
              </w:rPr>
              <w:t>10</w:t>
            </w:r>
            <w:r>
              <w:rPr>
                <w:rFonts w:hint="eastAsia" w:ascii="黑体" w:hAnsi="黑体" w:eastAsia="黑体" w:cs="宋体"/>
                <w:kern w:val="0"/>
                <w:szCs w:val="21"/>
              </w:rPr>
              <w:t>分）：</w:t>
            </w:r>
            <w:r>
              <w:rPr>
                <w:rFonts w:ascii="黑体" w:hAnsi="黑体" w:eastAsia="黑体" w:cs="宋体"/>
                <w:kern w:val="0"/>
                <w:szCs w:val="21"/>
              </w:rPr>
              <w:t xml:space="preserve">  </w:t>
            </w:r>
            <w:r>
              <w:rPr>
                <w:rFonts w:hint="eastAsia" w:ascii="黑体" w:hAnsi="黑体" w:eastAsia="黑体" w:cs="宋体"/>
                <w:kern w:val="0"/>
                <w:szCs w:val="21"/>
              </w:rPr>
              <w:t>0</w:t>
            </w:r>
            <w:r>
              <w:rPr>
                <w:rFonts w:ascii="黑体" w:hAnsi="黑体" w:eastAsia="黑体" w:cs="宋体"/>
                <w:kern w:val="0"/>
                <w:szCs w:val="21"/>
              </w:rPr>
              <w:t xml:space="preserve">    </w:t>
            </w:r>
            <w:r>
              <w:rPr>
                <w:rFonts w:hint="eastAsia" w:ascii="黑体" w:hAnsi="黑体" w:eastAsia="黑体" w:cs="宋体"/>
                <w:kern w:val="0"/>
                <w:szCs w:val="21"/>
              </w:rPr>
              <w:t>）</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Cs w:val="21"/>
              </w:rPr>
            </w:pPr>
          </w:p>
        </w:tc>
        <w:tc>
          <w:tcPr>
            <w:tcW w:w="5009" w:type="dxa"/>
            <w:gridSpan w:val="3"/>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Cs w:val="21"/>
              </w:rPr>
            </w:pPr>
            <w:r>
              <w:rPr>
                <w:rFonts w:hint="eastAsia" w:ascii="黑体" w:hAnsi="黑体" w:eastAsia="黑体" w:cs="宋体"/>
                <w:kern w:val="0"/>
                <w:szCs w:val="21"/>
              </w:rPr>
              <w:t>六、提高与创新</w:t>
            </w: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规划</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11.2.8</w:t>
            </w:r>
            <w:r>
              <w:rPr>
                <w:rFonts w:hint="eastAsia" w:ascii="宋体" w:hAnsi="宋体" w:cs="宋体"/>
                <w:color w:val="7F7F7F" w:themeColor="background1" w:themeShade="80"/>
                <w:kern w:val="0"/>
                <w:sz w:val="18"/>
                <w:szCs w:val="18"/>
              </w:rPr>
              <w:t>建筑方案充分考虑所在地域、场地和功能，进行技术经济分析，显著提高能源资源利用效率和建筑性能</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是□</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否□</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建筑优化设计专项分析报告</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11.2.9</w:t>
            </w:r>
            <w:r>
              <w:rPr>
                <w:rFonts w:hint="eastAsia" w:ascii="宋体" w:hAnsi="宋体" w:cs="宋体"/>
                <w:color w:val="7F7F7F" w:themeColor="background1" w:themeShade="80"/>
                <w:kern w:val="0"/>
                <w:sz w:val="18"/>
                <w:szCs w:val="18"/>
              </w:rPr>
              <w:t>合理选用废弃场地，或充分利用旧建筑</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是□</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否□</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color w:val="7F7F7F" w:themeColor="background1" w:themeShade="80"/>
                <w:sz w:val="18"/>
                <w:szCs w:val="18"/>
              </w:rPr>
            </w:pPr>
            <w:r>
              <w:rPr>
                <w:rFonts w:hint="eastAsia"/>
                <w:color w:val="7F7F7F" w:themeColor="background1" w:themeShade="80"/>
                <w:sz w:val="18"/>
                <w:szCs w:val="18"/>
              </w:rPr>
              <w:t>环评报告、废弃场地利用分析报告、旧建筑利用分析报告</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查阅相关检测报告并现场核查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right w:val="single" w:color="auto" w:sz="4" w:space="0"/>
            </w:tcBorders>
            <w:tcMar>
              <w:left w:w="28" w:type="dxa"/>
              <w:right w:w="28" w:type="dxa"/>
            </w:tcMar>
            <w:vAlign w:val="center"/>
          </w:tcPr>
          <w:p>
            <w:pPr>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建筑</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11.2.1 </w:t>
            </w:r>
            <w:r>
              <w:rPr>
                <w:rFonts w:hint="eastAsia" w:ascii="宋体" w:hAnsi="宋体" w:cs="宋体"/>
                <w:color w:val="7F7F7F" w:themeColor="background1" w:themeShade="80"/>
                <w:kern w:val="0"/>
                <w:sz w:val="18"/>
                <w:szCs w:val="18"/>
              </w:rPr>
              <w:t>围护结构热工性能比国家现行节能设计标准规定高</w:t>
            </w:r>
            <w:r>
              <w:rPr>
                <w:rFonts w:ascii="宋体" w:hAnsi="宋体" w:cs="宋体"/>
                <w:color w:val="7F7F7F" w:themeColor="background1" w:themeShade="80"/>
                <w:kern w:val="0"/>
                <w:sz w:val="18"/>
                <w:szCs w:val="18"/>
              </w:rPr>
              <w:t>20%</w:t>
            </w:r>
            <w:r>
              <w:rPr>
                <w:rFonts w:hint="eastAsia" w:ascii="宋体" w:hAnsi="宋体" w:cs="宋体"/>
                <w:color w:val="7F7F7F" w:themeColor="background1" w:themeShade="80"/>
                <w:kern w:val="0"/>
                <w:sz w:val="18"/>
                <w:szCs w:val="18"/>
              </w:rPr>
              <w:t>，或者供暖空调全年计算负荷降低达到</w:t>
            </w:r>
            <w:r>
              <w:rPr>
                <w:rFonts w:ascii="宋体" w:hAnsi="宋体" w:cs="宋体"/>
                <w:color w:val="7F7F7F" w:themeColor="background1" w:themeShade="80"/>
                <w:kern w:val="0"/>
                <w:sz w:val="18"/>
                <w:szCs w:val="18"/>
              </w:rPr>
              <w:t>15%</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参照建筑：</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设计建筑：</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围护结构节能指标计算书；设计图纸（专业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cs="宋体"/>
                <w:color w:val="7F7F7F" w:themeColor="background1" w:themeShade="80"/>
                <w:kern w:val="0"/>
                <w:sz w:val="18"/>
                <w:szCs w:val="18"/>
              </w:rPr>
              <w:t xml:space="preserve">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continue"/>
            <w:tcBorders>
              <w:left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11.2.10</w:t>
            </w:r>
            <w:r>
              <w:rPr>
                <w:rFonts w:hint="eastAsia" w:ascii="宋体" w:hAnsi="宋体" w:cs="宋体"/>
                <w:color w:val="7F7F7F" w:themeColor="background1" w:themeShade="80"/>
                <w:kern w:val="0"/>
                <w:sz w:val="18"/>
                <w:szCs w:val="18"/>
              </w:rPr>
              <w:t>应用建筑信息模型（</w:t>
            </w:r>
            <w:r>
              <w:rPr>
                <w:rFonts w:ascii="宋体" w:hAnsi="宋体" w:cs="宋体"/>
                <w:color w:val="7F7F7F" w:themeColor="background1" w:themeShade="80"/>
                <w:kern w:val="0"/>
                <w:sz w:val="18"/>
                <w:szCs w:val="18"/>
              </w:rPr>
              <w:t>BIM)</w:t>
            </w:r>
            <w:r>
              <w:rPr>
                <w:rFonts w:hint="eastAsia" w:ascii="宋体" w:hAnsi="宋体" w:cs="宋体"/>
                <w:color w:val="7F7F7F" w:themeColor="background1" w:themeShade="80"/>
                <w:kern w:val="0"/>
                <w:sz w:val="18"/>
                <w:szCs w:val="18"/>
              </w:rPr>
              <w:t>技术</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设计、施工和运营中，一个阶段使用</w:t>
            </w:r>
            <w:r>
              <w:rPr>
                <w:rFonts w:hint="eastAsia" w:ascii="宋体" w:hAnsi="宋体" w:cs="宋体"/>
                <w:color w:val="7F7F7F" w:themeColor="background1" w:themeShade="80"/>
                <w:kern w:val="0"/>
                <w:sz w:val="18"/>
                <w:szCs w:val="18"/>
                <w:u w:val="single"/>
              </w:rPr>
              <w:t>□</w:t>
            </w:r>
            <w:r>
              <w:rPr>
                <w:rFonts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二个及以上阶段使用</w:t>
            </w:r>
            <w:r>
              <w:rPr>
                <w:rFonts w:hint="eastAsia" w:ascii="宋体" w:hAnsi="宋体" w:cs="宋体"/>
                <w:color w:val="7F7F7F" w:themeColor="background1" w:themeShade="80"/>
                <w:kern w:val="0"/>
                <w:sz w:val="18"/>
                <w:szCs w:val="18"/>
                <w:u w:val="single"/>
              </w:rPr>
              <w:t>□</w:t>
            </w:r>
            <w:r>
              <w:rPr>
                <w:rFonts w:ascii="宋体" w:hAnsi="宋体" w:cs="宋体"/>
                <w:color w:val="7F7F7F" w:themeColor="background1" w:themeShade="80"/>
                <w:kern w:val="0"/>
                <w:sz w:val="18"/>
                <w:szCs w:val="18"/>
                <w:u w:val="single"/>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color w:val="7F7F7F" w:themeColor="background1" w:themeShade="80"/>
                <w:sz w:val="18"/>
                <w:szCs w:val="18"/>
              </w:rPr>
              <w:t>BIM</w:t>
            </w:r>
            <w:r>
              <w:rPr>
                <w:rFonts w:hint="eastAsia"/>
                <w:color w:val="7F7F7F" w:themeColor="background1" w:themeShade="80"/>
                <w:sz w:val="18"/>
                <w:szCs w:val="18"/>
              </w:rPr>
              <w:t>技术应用报告，设计图纸（专业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查阅施工建造阶段的</w:t>
            </w:r>
            <w:r>
              <w:rPr>
                <w:rFonts w:ascii="宋体" w:hAnsi="宋体" w:cs="宋体"/>
                <w:kern w:val="0"/>
                <w:sz w:val="18"/>
                <w:szCs w:val="18"/>
              </w:rPr>
              <w:t>BIM</w:t>
            </w:r>
            <w:r>
              <w:rPr>
                <w:rFonts w:hint="eastAsia" w:ascii="宋体" w:hAnsi="宋体" w:cs="宋体"/>
                <w:kern w:val="0"/>
                <w:sz w:val="18"/>
                <w:szCs w:val="18"/>
              </w:rPr>
              <w:t>技术应用报告</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vMerge w:val="continue"/>
            <w:tcBorders>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11.2.11</w:t>
            </w:r>
            <w:r>
              <w:rPr>
                <w:rFonts w:hint="eastAsia" w:ascii="宋体" w:hAnsi="宋体" w:cs="宋体"/>
                <w:color w:val="7F7F7F" w:themeColor="background1" w:themeShade="80"/>
                <w:kern w:val="0"/>
                <w:sz w:val="18"/>
                <w:szCs w:val="18"/>
              </w:rPr>
              <w:t>采取措施降低单位建筑面积碳排放强度</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是□</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否□</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建筑碳排放计算分析报告</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结构</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11.2.5 </w:t>
            </w:r>
            <w:r>
              <w:rPr>
                <w:rFonts w:hint="eastAsia" w:ascii="宋体" w:hAnsi="宋体" w:cs="宋体"/>
                <w:color w:val="7F7F7F" w:themeColor="background1" w:themeShade="80"/>
                <w:kern w:val="0"/>
                <w:sz w:val="18"/>
                <w:szCs w:val="18"/>
              </w:rPr>
              <w:t>采用资源消耗少和环境影响小的建筑结构体系</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建筑主体结构采用</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钢结构□</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木结构□</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；预制构件用量比例：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color w:val="7F7F7F" w:themeColor="background1" w:themeShade="80"/>
                <w:sz w:val="18"/>
                <w:szCs w:val="18"/>
              </w:rPr>
            </w:pPr>
            <w:r>
              <w:rPr>
                <w:rFonts w:hint="eastAsia"/>
                <w:color w:val="7F7F7F" w:themeColor="background1" w:themeShade="80"/>
                <w:sz w:val="18"/>
                <w:szCs w:val="18"/>
              </w:rPr>
              <w:t>结构分析报告；设计图纸（专业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ascii="宋体" w:hAnsi="宋体" w:cs="宋体"/>
                <w:kern w:val="0"/>
                <w:sz w:val="18"/>
                <w:szCs w:val="18"/>
              </w:rPr>
              <w:t>————</w:t>
            </w:r>
            <w:r>
              <w:rPr>
                <w:rFonts w:hint="eastAsia" w:ascii="宋体" w:hAnsi="宋体" w:cs="宋体"/>
                <w:kern w:val="0"/>
                <w:sz w:val="18"/>
                <w:szCs w:val="18"/>
              </w:rPr>
              <w:t>－</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454" w:hRule="exact"/>
        </w:trPr>
        <w:tc>
          <w:tcPr>
            <w:tcW w:w="469" w:type="dxa"/>
            <w:vMerge w:val="restart"/>
            <w:tcBorders>
              <w:top w:val="nil"/>
              <w:left w:val="single" w:color="auto" w:sz="4" w:space="0"/>
              <w:right w:val="single" w:color="auto" w:sz="4" w:space="0"/>
            </w:tcBorders>
            <w:tcMar>
              <w:left w:w="28" w:type="dxa"/>
              <w:right w:w="28" w:type="dxa"/>
            </w:tcMar>
            <w:vAlign w:val="center"/>
          </w:tcPr>
          <w:p>
            <w:pPr>
              <w:widowControl/>
              <w:spacing w:line="288" w:lineRule="auto"/>
              <w:jc w:val="center"/>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暖通</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11.2.2 </w:t>
            </w:r>
            <w:r>
              <w:rPr>
                <w:rFonts w:hint="eastAsia" w:ascii="宋体" w:hAnsi="宋体" w:cs="宋体"/>
                <w:color w:val="7F7F7F" w:themeColor="background1" w:themeShade="80"/>
                <w:kern w:val="0"/>
                <w:sz w:val="18"/>
                <w:szCs w:val="18"/>
              </w:rPr>
              <w:t>供暖空调系统的冷、热源机组能效均优于现行国标规定以及现行有关国家标准能效节能评价值的要求</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机组类型</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；能效指标</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；提高或降低幅度</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u w:val="single"/>
              </w:rPr>
              <w:t>　　</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空调冷热源设备能效指标计算书；设计图纸（专业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60" w:hRule="atLeast"/>
        </w:trPr>
        <w:tc>
          <w:tcPr>
            <w:tcW w:w="469" w:type="dxa"/>
            <w:vMerge w:val="continue"/>
            <w:tcBorders>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11.2.6 </w:t>
            </w:r>
            <w:r>
              <w:rPr>
                <w:rFonts w:hint="eastAsia" w:ascii="宋体" w:hAnsi="宋体" w:cs="宋体"/>
                <w:color w:val="7F7F7F" w:themeColor="background1" w:themeShade="80"/>
                <w:kern w:val="0"/>
                <w:sz w:val="18"/>
                <w:szCs w:val="18"/>
              </w:rPr>
              <w:t>对主要功能房间采取有效的空气处理措施</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是□</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否□</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电气</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ascii="宋体" w:hAnsi="宋体" w:cs="宋体"/>
                <w:color w:val="7F7F7F" w:themeColor="background1" w:themeShade="80"/>
                <w:kern w:val="0"/>
                <w:sz w:val="18"/>
                <w:szCs w:val="18"/>
              </w:rPr>
              <w:t>11.2.3</w:t>
            </w:r>
            <w:r>
              <w:rPr>
                <w:rFonts w:hint="eastAsia" w:ascii="宋体" w:hAnsi="宋体" w:cs="宋体"/>
                <w:color w:val="7F7F7F" w:themeColor="background1" w:themeShade="80"/>
                <w:kern w:val="0"/>
                <w:sz w:val="18"/>
                <w:szCs w:val="18"/>
              </w:rPr>
              <w:t>采用分布式热电冷联供技术，系统全年能源综合利用率不低于</w:t>
            </w:r>
            <w:r>
              <w:rPr>
                <w:rFonts w:ascii="宋体" w:hAnsi="宋体" w:cs="宋体"/>
                <w:color w:val="7F7F7F" w:themeColor="background1" w:themeShade="80"/>
                <w:kern w:val="0"/>
                <w:sz w:val="18"/>
                <w:szCs w:val="18"/>
              </w:rPr>
              <w:t>70%</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采用冷联供技术，系统全年能源综合利用率</w:t>
            </w:r>
            <w:r>
              <w:rPr>
                <w:rFonts w:ascii="宋体" w:hAnsi="宋体" w:cs="宋体"/>
                <w:color w:val="7F7F7F" w:themeColor="background1" w:themeShade="80"/>
                <w:kern w:val="0"/>
                <w:sz w:val="18"/>
                <w:szCs w:val="18"/>
                <w:u w:val="single"/>
              </w:rPr>
              <w:t xml:space="preserve">      </w:t>
            </w:r>
            <w:r>
              <w:rPr>
                <w:rFonts w:hint="eastAsia" w:ascii="宋体" w:hAnsi="宋体" w:cs="宋体"/>
                <w:color w:val="7F7F7F" w:themeColor="background1" w:themeShade="80"/>
                <w:kern w:val="0"/>
                <w:sz w:val="18"/>
                <w:szCs w:val="18"/>
              </w:rPr>
              <w:t>。</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热电冷联供方案分析报告；设计图纸（专业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查阅产品型式检验报告并现场核查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给排水</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 xml:space="preserve">11.2.4 </w:t>
            </w:r>
            <w:r>
              <w:rPr>
                <w:rFonts w:hint="eastAsia" w:ascii="宋体" w:hAnsi="宋体" w:cs="宋体"/>
                <w:color w:val="7F7F7F" w:themeColor="background1" w:themeShade="80"/>
                <w:kern w:val="0"/>
                <w:sz w:val="18"/>
                <w:szCs w:val="18"/>
              </w:rPr>
              <w:t>卫生器具的用水效率均为国家现行有关卫生器具用水等级标准规定的</w:t>
            </w:r>
            <w:r>
              <w:rPr>
                <w:rFonts w:ascii="宋体" w:hAnsi="宋体" w:cs="宋体"/>
                <w:color w:val="7F7F7F" w:themeColor="background1" w:themeShade="80"/>
                <w:kern w:val="0"/>
                <w:sz w:val="18"/>
                <w:szCs w:val="18"/>
              </w:rPr>
              <w:t>1</w:t>
            </w:r>
            <w:r>
              <w:rPr>
                <w:rFonts w:hint="eastAsia" w:ascii="宋体" w:hAnsi="宋体" w:cs="宋体"/>
                <w:color w:val="7F7F7F" w:themeColor="background1" w:themeShade="80"/>
                <w:kern w:val="0"/>
                <w:sz w:val="18"/>
                <w:szCs w:val="18"/>
              </w:rPr>
              <w:t>级</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卫生器具的用水效率等级</w:t>
            </w:r>
            <w:r>
              <w:rPr>
                <w:rFonts w:hint="eastAsia" w:ascii="宋体" w:hAnsi="宋体" w:cs="宋体"/>
                <w:color w:val="7F7F7F" w:themeColor="background1" w:themeShade="80"/>
                <w:kern w:val="0"/>
                <w:sz w:val="18"/>
                <w:szCs w:val="18"/>
                <w:u w:val="single"/>
              </w:rPr>
              <w:t>：</w:t>
            </w:r>
            <w:r>
              <w:rPr>
                <w:rFonts w:ascii="宋体" w:hAnsi="宋体" w:cs="宋体"/>
                <w:color w:val="7F7F7F" w:themeColor="background1" w:themeShade="80"/>
                <w:kern w:val="0"/>
                <w:sz w:val="18"/>
                <w:szCs w:val="18"/>
                <w:u w:val="single"/>
              </w:rPr>
              <w:t xml:space="preserve">   </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查阅产品说明书、产品节水性能检测报告并现场核查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454" w:hRule="exact"/>
        </w:trPr>
        <w:tc>
          <w:tcPr>
            <w:tcW w:w="469" w:type="dxa"/>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各专业</w:t>
            </w:r>
          </w:p>
        </w:tc>
        <w:tc>
          <w:tcPr>
            <w:tcW w:w="445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ascii="宋体" w:hAnsi="宋体" w:cs="宋体"/>
                <w:color w:val="7F7F7F" w:themeColor="background1" w:themeShade="80"/>
                <w:kern w:val="0"/>
                <w:sz w:val="18"/>
                <w:szCs w:val="18"/>
              </w:rPr>
              <w:t>11.2.12</w:t>
            </w:r>
            <w:r>
              <w:rPr>
                <w:rFonts w:hint="eastAsia" w:ascii="宋体" w:hAnsi="宋体" w:cs="宋体"/>
                <w:color w:val="7F7F7F" w:themeColor="background1" w:themeShade="80"/>
                <w:kern w:val="0"/>
                <w:sz w:val="18"/>
                <w:szCs w:val="18"/>
              </w:rPr>
              <w:t>采取节约能源资源</w:t>
            </w:r>
            <w:r>
              <w:rPr>
                <w:rFonts w:ascii="宋体" w:cs="宋体"/>
                <w:color w:val="7F7F7F" w:themeColor="background1" w:themeShade="80"/>
                <w:kern w:val="0"/>
                <w:sz w:val="18"/>
                <w:szCs w:val="18"/>
              </w:rPr>
              <w:t>,</w:t>
            </w:r>
            <w:r>
              <w:rPr>
                <w:rFonts w:hint="eastAsia" w:ascii="宋体" w:hAnsi="宋体" w:cs="宋体"/>
                <w:color w:val="7F7F7F" w:themeColor="background1" w:themeShade="80"/>
                <w:kern w:val="0"/>
                <w:sz w:val="18"/>
                <w:szCs w:val="18"/>
              </w:rPr>
              <w:t>保护生态环境</w:t>
            </w:r>
            <w:r>
              <w:rPr>
                <w:rFonts w:ascii="宋体" w:cs="宋体"/>
                <w:color w:val="7F7F7F" w:themeColor="background1" w:themeShade="80"/>
                <w:kern w:val="0"/>
                <w:sz w:val="18"/>
                <w:szCs w:val="18"/>
              </w:rPr>
              <w:t>,</w:t>
            </w:r>
            <w:r>
              <w:rPr>
                <w:rFonts w:hint="eastAsia" w:ascii="宋体" w:hAnsi="宋体" w:cs="宋体"/>
                <w:color w:val="7F7F7F" w:themeColor="background1" w:themeShade="80"/>
                <w:kern w:val="0"/>
                <w:sz w:val="18"/>
                <w:szCs w:val="18"/>
              </w:rPr>
              <w:t>保障安全健康的其他创新</w:t>
            </w:r>
          </w:p>
        </w:tc>
        <w:tc>
          <w:tcPr>
            <w:tcW w:w="6807" w:type="dxa"/>
            <w:gridSpan w:val="6"/>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hAns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是□</w:t>
            </w:r>
            <w:r>
              <w:rPr>
                <w:rFonts w:ascii="宋体" w:hAnsi="宋体" w:cs="宋体"/>
                <w:color w:val="7F7F7F" w:themeColor="background1" w:themeShade="80"/>
                <w:kern w:val="0"/>
                <w:sz w:val="18"/>
                <w:szCs w:val="18"/>
              </w:rPr>
              <w:t xml:space="preserve">    </w:t>
            </w:r>
            <w:r>
              <w:rPr>
                <w:rFonts w:hint="eastAsia" w:ascii="宋体" w:hAnsi="宋体" w:cs="宋体"/>
                <w:color w:val="7F7F7F" w:themeColor="background1" w:themeShade="80"/>
                <w:kern w:val="0"/>
                <w:sz w:val="18"/>
                <w:szCs w:val="18"/>
              </w:rPr>
              <w:t>否□</w:t>
            </w:r>
            <w:r>
              <w:rPr>
                <w:rFonts w:ascii="宋体" w:hAnsi="宋体" w:cs="宋体"/>
                <w:color w:val="7F7F7F" w:themeColor="background1" w:themeShade="80"/>
                <w:kern w:val="0"/>
                <w:sz w:val="18"/>
                <w:szCs w:val="18"/>
              </w:rPr>
              <w:t xml:space="preserve"> </w:t>
            </w:r>
          </w:p>
        </w:tc>
        <w:tc>
          <w:tcPr>
            <w:tcW w:w="3543"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color w:val="7F7F7F" w:themeColor="background1" w:themeShade="80"/>
                <w:sz w:val="18"/>
                <w:szCs w:val="18"/>
              </w:rPr>
              <w:t>相关分析报告，设计图纸（专业</w:t>
            </w:r>
            <w:r>
              <w:rPr>
                <w:color w:val="7F7F7F" w:themeColor="background1" w:themeShade="80"/>
                <w:sz w:val="18"/>
                <w:szCs w:val="18"/>
              </w:rPr>
              <w:t>/</w:t>
            </w:r>
            <w:r>
              <w:rPr>
                <w:rFonts w:hint="eastAsia"/>
                <w:color w:val="7F7F7F" w:themeColor="background1" w:themeShade="80"/>
                <w:sz w:val="18"/>
                <w:szCs w:val="18"/>
              </w:rPr>
              <w:t>图号）</w:t>
            </w:r>
          </w:p>
        </w:tc>
        <w:tc>
          <w:tcPr>
            <w:tcW w:w="42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color w:val="7F7F7F" w:themeColor="background1" w:themeShade="80"/>
                <w:kern w:val="0"/>
                <w:sz w:val="18"/>
                <w:szCs w:val="18"/>
              </w:rPr>
            </w:pPr>
            <w:r>
              <w:rPr>
                <w:rFonts w:hint="eastAsia" w:ascii="宋体" w:hAnsi="宋体" w:cs="宋体"/>
                <w:color w:val="7F7F7F" w:themeColor="background1" w:themeShade="80"/>
                <w:kern w:val="0"/>
                <w:sz w:val="18"/>
                <w:szCs w:val="18"/>
              </w:rPr>
              <w:t>　0</w:t>
            </w:r>
          </w:p>
        </w:tc>
        <w:tc>
          <w:tcPr>
            <w:tcW w:w="850"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黑体" w:hAnsi="黑体" w:eastAsia="黑体" w:cs="宋体"/>
                <w:b/>
                <w:bCs/>
                <w:kern w:val="0"/>
                <w:sz w:val="20"/>
                <w:szCs w:val="20"/>
              </w:rPr>
            </w:pPr>
          </w:p>
        </w:tc>
        <w:tc>
          <w:tcPr>
            <w:tcW w:w="4442"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现场核查</w:t>
            </w:r>
          </w:p>
        </w:tc>
        <w:tc>
          <w:tcPr>
            <w:tcW w:w="567"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p>
        </w:tc>
      </w:tr>
      <w:tr>
        <w:tblPrEx>
          <w:tblLayout w:type="fixed"/>
          <w:tblCellMar>
            <w:top w:w="0" w:type="dxa"/>
            <w:left w:w="108" w:type="dxa"/>
            <w:bottom w:w="0" w:type="dxa"/>
            <w:right w:w="108" w:type="dxa"/>
          </w:tblCellMar>
        </w:tblPrEx>
        <w:trPr>
          <w:trHeight w:val="376" w:hRule="atLeast"/>
        </w:trPr>
        <w:tc>
          <w:tcPr>
            <w:tcW w:w="4926" w:type="dxa"/>
            <w:gridSpan w:val="2"/>
            <w:vMerge w:val="restart"/>
            <w:tcBorders>
              <w:top w:val="nil"/>
              <w:left w:val="single" w:color="auto" w:sz="4" w:space="0"/>
              <w:right w:val="single" w:color="auto" w:sz="4" w:space="0"/>
            </w:tcBorders>
            <w:tcMar>
              <w:left w:w="28" w:type="dxa"/>
              <w:right w:w="28" w:type="dxa"/>
            </w:tcMar>
            <w:vAlign w:val="center"/>
          </w:tcPr>
          <w:p>
            <w:pPr>
              <w:widowControl/>
              <w:spacing w:line="288" w:lineRule="auto"/>
              <w:jc w:val="center"/>
              <w:rPr>
                <w:rFonts w:ascii="宋体" w:cs="宋体"/>
                <w:b/>
                <w:kern w:val="0"/>
                <w:sz w:val="24"/>
              </w:rPr>
            </w:pPr>
            <w:r>
              <w:rPr>
                <w:rFonts w:hint="eastAsia" w:ascii="宋体" w:hAnsi="宋体" w:cs="宋体"/>
                <w:b/>
                <w:kern w:val="0"/>
                <w:sz w:val="24"/>
              </w:rPr>
              <w:t>设计结果汇总</w:t>
            </w:r>
          </w:p>
        </w:tc>
        <w:tc>
          <w:tcPr>
            <w:tcW w:w="427"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b/>
                <w:kern w:val="0"/>
                <w:sz w:val="18"/>
                <w:szCs w:val="18"/>
              </w:rPr>
            </w:pPr>
            <w:r>
              <w:rPr>
                <w:rFonts w:hint="eastAsia" w:ascii="宋体" w:hAnsi="宋体" w:cs="宋体"/>
                <w:b/>
                <w:kern w:val="0"/>
                <w:sz w:val="18"/>
                <w:szCs w:val="18"/>
              </w:rPr>
              <w:t>项</w:t>
            </w:r>
          </w:p>
          <w:p>
            <w:pPr>
              <w:widowControl/>
              <w:spacing w:line="288" w:lineRule="auto"/>
              <w:jc w:val="center"/>
              <w:rPr>
                <w:rFonts w:ascii="宋体" w:cs="宋体"/>
                <w:b/>
                <w:kern w:val="0"/>
                <w:sz w:val="18"/>
                <w:szCs w:val="18"/>
              </w:rPr>
            </w:pPr>
            <w:r>
              <w:rPr>
                <w:rFonts w:hint="eastAsia" w:ascii="宋体" w:hAnsi="宋体" w:cs="宋体"/>
                <w:b/>
                <w:kern w:val="0"/>
                <w:sz w:val="18"/>
                <w:szCs w:val="18"/>
              </w:rPr>
              <w:t>目</w:t>
            </w:r>
          </w:p>
          <w:p>
            <w:pPr>
              <w:widowControl/>
              <w:spacing w:line="288" w:lineRule="auto"/>
              <w:jc w:val="center"/>
              <w:rPr>
                <w:rFonts w:ascii="宋体" w:cs="宋体"/>
                <w:b/>
                <w:kern w:val="0"/>
                <w:sz w:val="18"/>
                <w:szCs w:val="18"/>
              </w:rPr>
            </w:pPr>
            <w:r>
              <w:rPr>
                <w:rFonts w:hint="eastAsia" w:ascii="宋体" w:hAnsi="宋体" w:cs="宋体"/>
                <w:b/>
                <w:kern w:val="0"/>
                <w:sz w:val="18"/>
                <w:szCs w:val="18"/>
              </w:rPr>
              <w:t>自</w:t>
            </w:r>
          </w:p>
          <w:p>
            <w:pPr>
              <w:widowControl/>
              <w:spacing w:line="288" w:lineRule="auto"/>
              <w:jc w:val="center"/>
              <w:rPr>
                <w:rFonts w:ascii="宋体" w:cs="宋体"/>
                <w:b/>
                <w:kern w:val="0"/>
                <w:sz w:val="18"/>
                <w:szCs w:val="18"/>
              </w:rPr>
            </w:pPr>
            <w:r>
              <w:rPr>
                <w:rFonts w:hint="eastAsia" w:ascii="宋体" w:hAnsi="宋体" w:cs="宋体"/>
                <w:b/>
                <w:kern w:val="0"/>
                <w:sz w:val="18"/>
                <w:szCs w:val="18"/>
              </w:rPr>
              <w:t>评</w:t>
            </w:r>
          </w:p>
          <w:p>
            <w:pPr>
              <w:widowControl/>
              <w:spacing w:line="288" w:lineRule="auto"/>
              <w:jc w:val="center"/>
              <w:rPr>
                <w:rFonts w:ascii="宋体" w:cs="宋体"/>
                <w:kern w:val="0"/>
                <w:sz w:val="18"/>
                <w:szCs w:val="18"/>
              </w:rPr>
            </w:pPr>
            <w:r>
              <w:rPr>
                <w:rFonts w:hint="eastAsia" w:ascii="宋体" w:hAnsi="宋体" w:cs="宋体"/>
                <w:b/>
                <w:kern w:val="0"/>
                <w:sz w:val="18"/>
                <w:szCs w:val="18"/>
              </w:rPr>
              <w:t>表</w:t>
            </w:r>
          </w:p>
        </w:tc>
        <w:tc>
          <w:tcPr>
            <w:tcW w:w="2268"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评价指标</w:t>
            </w:r>
          </w:p>
        </w:tc>
        <w:tc>
          <w:tcPr>
            <w:tcW w:w="1701"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节地与室外环境</w:t>
            </w:r>
          </w:p>
        </w:tc>
        <w:tc>
          <w:tcPr>
            <w:tcW w:w="164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节能与能源利用</w:t>
            </w:r>
          </w:p>
        </w:tc>
        <w:tc>
          <w:tcPr>
            <w:tcW w:w="1757" w:type="dxa"/>
            <w:gridSpan w:val="2"/>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节水与水资源利用</w:t>
            </w:r>
          </w:p>
        </w:tc>
        <w:tc>
          <w:tcPr>
            <w:tcW w:w="212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节材与材料资源利用</w:t>
            </w:r>
          </w:p>
        </w:tc>
        <w:tc>
          <w:tcPr>
            <w:tcW w:w="1701"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室内环境质量</w:t>
            </w:r>
          </w:p>
        </w:tc>
        <w:tc>
          <w:tcPr>
            <w:tcW w:w="236" w:type="dxa"/>
            <w:vMerge w:val="continue"/>
            <w:tcBorders>
              <w:left w:val="nil"/>
              <w:bottom w:val="nil"/>
              <w:right w:val="single" w:color="auto" w:sz="4" w:space="0"/>
            </w:tcBorders>
            <w:tcMar>
              <w:left w:w="28" w:type="dxa"/>
              <w:right w:w="28" w:type="dxa"/>
            </w:tcMar>
            <w:vAlign w:val="center"/>
          </w:tcPr>
          <w:p>
            <w:pPr>
              <w:widowControl/>
              <w:spacing w:line="288" w:lineRule="auto"/>
              <w:jc w:val="left"/>
              <w:rPr>
                <w:rFonts w:ascii="宋体" w:cs="宋体"/>
                <w:kern w:val="0"/>
                <w:sz w:val="22"/>
              </w:rPr>
            </w:pPr>
          </w:p>
        </w:tc>
        <w:tc>
          <w:tcPr>
            <w:tcW w:w="1749" w:type="dxa"/>
            <w:vMerge w:val="restart"/>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center"/>
              <w:rPr>
                <w:rFonts w:ascii="宋体" w:cs="宋体"/>
                <w:b/>
                <w:kern w:val="0"/>
                <w:szCs w:val="21"/>
              </w:rPr>
            </w:pPr>
            <w:r>
              <w:rPr>
                <w:rFonts w:hint="eastAsia" w:ascii="宋体" w:hAnsi="宋体" w:cs="宋体"/>
                <w:b/>
                <w:kern w:val="0"/>
                <w:szCs w:val="21"/>
              </w:rPr>
              <w:t>施工单位意见</w:t>
            </w:r>
          </w:p>
        </w:tc>
        <w:tc>
          <w:tcPr>
            <w:tcW w:w="3260" w:type="dxa"/>
            <w:gridSpan w:val="2"/>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r>
              <w:rPr>
                <w:rFonts w:ascii="宋体" w:hAnsi="宋体" w:cs="宋体"/>
                <w:kern w:val="0"/>
                <w:sz w:val="18"/>
                <w:szCs w:val="18"/>
              </w:rPr>
              <w:t xml:space="preserve">            </w:t>
            </w:r>
            <w:r>
              <w:rPr>
                <w:rFonts w:hint="eastAsia" w:ascii="宋体" w:hAnsi="宋体" w:cs="宋体"/>
                <w:kern w:val="0"/>
                <w:sz w:val="18"/>
                <w:szCs w:val="18"/>
              </w:rPr>
              <w:t>　</w:t>
            </w:r>
            <w:r>
              <w:rPr>
                <w:rFonts w:ascii="宋体" w:cs="宋体"/>
                <w:kern w:val="0"/>
                <w:sz w:val="18"/>
                <w:szCs w:val="18"/>
              </w:rPr>
              <w:br w:type="textWrapping"/>
            </w:r>
            <w:r>
              <w:rPr>
                <w:rFonts w:hint="eastAsia" w:ascii="宋体" w:hAnsi="宋体" w:cs="宋体"/>
                <w:kern w:val="0"/>
                <w:sz w:val="18"/>
                <w:szCs w:val="18"/>
              </w:rPr>
              <w:t>　　　　　　　　　　</w:t>
            </w:r>
            <w:r>
              <w:rPr>
                <w:rFonts w:ascii="宋体" w:cs="宋体"/>
                <w:kern w:val="0"/>
                <w:sz w:val="18"/>
                <w:szCs w:val="18"/>
              </w:rPr>
              <w:br w:type="textWrapping"/>
            </w:r>
            <w:r>
              <w:rPr>
                <w:rFonts w:ascii="宋体" w:hAnsi="宋体" w:cs="宋体"/>
                <w:kern w:val="0"/>
                <w:sz w:val="18"/>
                <w:szCs w:val="18"/>
              </w:rPr>
              <w:t xml:space="preserve">                    </w:t>
            </w:r>
            <w:r>
              <w:rPr>
                <w:rFonts w:hint="eastAsia" w:ascii="宋体" w:hAnsi="宋体" w:cs="宋体"/>
                <w:kern w:val="0"/>
                <w:sz w:val="18"/>
                <w:szCs w:val="18"/>
              </w:rPr>
              <w:t>年　月　日　　　　　　　　　　　　　　　　　　　　　　　　　　　　　　　　</w:t>
            </w:r>
            <w:r>
              <w:rPr>
                <w:rFonts w:ascii="宋体" w:cs="宋体"/>
                <w:kern w:val="0"/>
                <w:sz w:val="18"/>
                <w:szCs w:val="18"/>
              </w:rPr>
              <w:br w:type="textWrapping"/>
            </w:r>
            <w:r>
              <w:rPr>
                <w:rFonts w:hint="eastAsia" w:ascii="宋体" w:hAnsi="宋体" w:cs="宋体"/>
                <w:kern w:val="0"/>
                <w:sz w:val="18"/>
                <w:szCs w:val="18"/>
              </w:rPr>
              <w:t>　　　　　　　　　　　　（盖章）</w:t>
            </w:r>
          </w:p>
        </w:tc>
      </w:tr>
      <w:tr>
        <w:tblPrEx>
          <w:tblLayout w:type="fixed"/>
          <w:tblCellMar>
            <w:top w:w="0" w:type="dxa"/>
            <w:left w:w="108" w:type="dxa"/>
            <w:bottom w:w="0" w:type="dxa"/>
            <w:right w:w="108" w:type="dxa"/>
          </w:tblCellMar>
        </w:tblPrEx>
        <w:trPr>
          <w:trHeight w:val="300" w:hRule="atLeast"/>
        </w:trPr>
        <w:tc>
          <w:tcPr>
            <w:tcW w:w="4926" w:type="dxa"/>
            <w:gridSpan w:val="2"/>
            <w:vMerge w:val="continue"/>
            <w:tcBorders>
              <w:left w:val="single" w:color="auto" w:sz="4" w:space="0"/>
              <w:right w:val="single" w:color="auto" w:sz="4" w:space="0"/>
            </w:tcBorders>
            <w:tcMar>
              <w:left w:w="28" w:type="dxa"/>
              <w:right w:w="28" w:type="dxa"/>
            </w:tcMar>
            <w:vAlign w:val="center"/>
          </w:tcPr>
          <w:p>
            <w:pPr>
              <w:widowControl/>
              <w:spacing w:line="288" w:lineRule="auto"/>
              <w:jc w:val="left"/>
              <w:rPr>
                <w:rFonts w:ascii="宋体" w:cs="宋体"/>
                <w:b/>
                <w:kern w:val="0"/>
                <w:sz w:val="24"/>
              </w:rPr>
            </w:pPr>
          </w:p>
        </w:tc>
        <w:tc>
          <w:tcPr>
            <w:tcW w:w="427"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992"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评分项</w:t>
            </w:r>
          </w:p>
        </w:tc>
        <w:tc>
          <w:tcPr>
            <w:tcW w:w="127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得分</w:t>
            </w:r>
            <w:r>
              <w:rPr>
                <w:rFonts w:ascii="宋体" w:hAnsi="宋体" w:cs="宋体"/>
                <w:kern w:val="0"/>
                <w:sz w:val="18"/>
                <w:szCs w:val="18"/>
              </w:rPr>
              <w:t>Qi</w:t>
            </w:r>
          </w:p>
        </w:tc>
        <w:tc>
          <w:tcPr>
            <w:tcW w:w="1701"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41.00</w:t>
            </w:r>
          </w:p>
        </w:tc>
        <w:tc>
          <w:tcPr>
            <w:tcW w:w="164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default" w:ascii="宋体" w:hAnsi="宋体" w:cs="宋体"/>
                <w:kern w:val="0"/>
                <w:sz w:val="18"/>
                <w:szCs w:val="18"/>
                <w:lang w:val="en-US"/>
              </w:rPr>
            </w:pPr>
            <w:r>
              <w:rPr>
                <w:rFonts w:hint="eastAsia" w:ascii="宋体" w:hAnsi="宋体" w:cs="宋体"/>
                <w:kern w:val="0"/>
                <w:sz w:val="18"/>
                <w:szCs w:val="18"/>
                <w:lang w:val="en-US" w:eastAsia="zh-CN"/>
              </w:rPr>
              <w:t>40.74</w:t>
            </w:r>
          </w:p>
        </w:tc>
        <w:tc>
          <w:tcPr>
            <w:tcW w:w="1757" w:type="dxa"/>
            <w:gridSpan w:val="2"/>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70.93</w:t>
            </w:r>
          </w:p>
        </w:tc>
        <w:tc>
          <w:tcPr>
            <w:tcW w:w="212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66.67</w:t>
            </w:r>
          </w:p>
        </w:tc>
        <w:tc>
          <w:tcPr>
            <w:tcW w:w="1701"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51.35</w:t>
            </w:r>
          </w:p>
        </w:tc>
        <w:tc>
          <w:tcPr>
            <w:tcW w:w="236" w:type="dxa"/>
            <w:vMerge w:val="restart"/>
            <w:tcBorders>
              <w:top w:val="nil"/>
              <w:left w:val="nil"/>
              <w:right w:val="single" w:color="auto" w:sz="4" w:space="0"/>
            </w:tcBorders>
            <w:tcMar>
              <w:left w:w="28" w:type="dxa"/>
              <w:right w:w="28" w:type="dxa"/>
            </w:tcMar>
            <w:vAlign w:val="center"/>
          </w:tcPr>
          <w:p>
            <w:pPr>
              <w:spacing w:line="288" w:lineRule="auto"/>
              <w:jc w:val="left"/>
              <w:rPr>
                <w:rFonts w:ascii="宋体" w:cs="宋体"/>
                <w:kern w:val="0"/>
                <w:sz w:val="22"/>
              </w:rPr>
            </w:pPr>
          </w:p>
        </w:tc>
        <w:tc>
          <w:tcPr>
            <w:tcW w:w="174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b/>
                <w:kern w:val="0"/>
                <w:szCs w:val="21"/>
              </w:rPr>
            </w:pPr>
          </w:p>
        </w:tc>
        <w:tc>
          <w:tcPr>
            <w:tcW w:w="3260" w:type="dxa"/>
            <w:gridSpan w:val="2"/>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r>
      <w:tr>
        <w:tblPrEx>
          <w:tblLayout w:type="fixed"/>
          <w:tblCellMar>
            <w:top w:w="0" w:type="dxa"/>
            <w:left w:w="108" w:type="dxa"/>
            <w:bottom w:w="0" w:type="dxa"/>
            <w:right w:w="108" w:type="dxa"/>
          </w:tblCellMar>
        </w:tblPrEx>
        <w:trPr>
          <w:trHeight w:val="300" w:hRule="atLeast"/>
        </w:trPr>
        <w:tc>
          <w:tcPr>
            <w:tcW w:w="4926" w:type="dxa"/>
            <w:gridSpan w:val="2"/>
            <w:vMerge w:val="continue"/>
            <w:tcBorders>
              <w:left w:val="single" w:color="auto" w:sz="4" w:space="0"/>
              <w:right w:val="single" w:color="auto" w:sz="4" w:space="0"/>
            </w:tcBorders>
            <w:tcMar>
              <w:left w:w="28" w:type="dxa"/>
              <w:right w:w="28" w:type="dxa"/>
            </w:tcMar>
            <w:vAlign w:val="center"/>
          </w:tcPr>
          <w:p>
            <w:pPr>
              <w:widowControl/>
              <w:spacing w:line="288" w:lineRule="auto"/>
              <w:jc w:val="left"/>
              <w:rPr>
                <w:rFonts w:ascii="宋体" w:cs="宋体"/>
                <w:b/>
                <w:kern w:val="0"/>
                <w:sz w:val="24"/>
              </w:rPr>
            </w:pPr>
          </w:p>
        </w:tc>
        <w:tc>
          <w:tcPr>
            <w:tcW w:w="427"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992"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127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权重</w:t>
            </w:r>
            <w:r>
              <w:rPr>
                <w:rFonts w:ascii="宋体" w:hAnsi="宋体" w:cs="宋体"/>
                <w:kern w:val="0"/>
                <w:sz w:val="18"/>
                <w:szCs w:val="18"/>
              </w:rPr>
              <w:t>wi</w:t>
            </w:r>
          </w:p>
        </w:tc>
        <w:tc>
          <w:tcPr>
            <w:tcW w:w="1701"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0.16</w:t>
            </w:r>
          </w:p>
        </w:tc>
        <w:tc>
          <w:tcPr>
            <w:tcW w:w="1645"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0.28</w:t>
            </w:r>
          </w:p>
        </w:tc>
        <w:tc>
          <w:tcPr>
            <w:tcW w:w="1757" w:type="dxa"/>
            <w:gridSpan w:val="2"/>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0.18</w:t>
            </w:r>
          </w:p>
        </w:tc>
        <w:tc>
          <w:tcPr>
            <w:tcW w:w="212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0.19</w:t>
            </w:r>
          </w:p>
        </w:tc>
        <w:tc>
          <w:tcPr>
            <w:tcW w:w="1701" w:type="dxa"/>
            <w:gridSpan w:val="3"/>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hint="eastAsia" w:ascii="宋体" w:hAnsi="宋体" w:cs="宋体"/>
                <w:kern w:val="0"/>
                <w:sz w:val="18"/>
                <w:szCs w:val="18"/>
              </w:rPr>
            </w:pPr>
            <w:r>
              <w:rPr>
                <w:rFonts w:hint="default" w:ascii="宋体" w:hAnsi="宋体" w:cs="宋体"/>
                <w:kern w:val="0"/>
                <w:sz w:val="18"/>
                <w:szCs w:val="18"/>
                <w:lang w:val="en-US" w:eastAsia="zh-CN"/>
              </w:rPr>
              <w:t>0.19</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kern w:val="0"/>
                <w:sz w:val="22"/>
              </w:rPr>
            </w:pPr>
          </w:p>
        </w:tc>
        <w:tc>
          <w:tcPr>
            <w:tcW w:w="174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b/>
                <w:kern w:val="0"/>
                <w:szCs w:val="21"/>
              </w:rPr>
            </w:pPr>
          </w:p>
        </w:tc>
        <w:tc>
          <w:tcPr>
            <w:tcW w:w="3260" w:type="dxa"/>
            <w:gridSpan w:val="2"/>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r>
      <w:tr>
        <w:tblPrEx>
          <w:tblLayout w:type="fixed"/>
          <w:tblCellMar>
            <w:top w:w="0" w:type="dxa"/>
            <w:left w:w="108" w:type="dxa"/>
            <w:bottom w:w="0" w:type="dxa"/>
            <w:right w:w="108" w:type="dxa"/>
          </w:tblCellMar>
        </w:tblPrEx>
        <w:trPr>
          <w:trHeight w:val="300" w:hRule="atLeast"/>
        </w:trPr>
        <w:tc>
          <w:tcPr>
            <w:tcW w:w="4926" w:type="dxa"/>
            <w:gridSpan w:val="2"/>
            <w:vMerge w:val="continue"/>
            <w:tcBorders>
              <w:left w:val="single" w:color="auto" w:sz="4" w:space="0"/>
              <w:right w:val="single" w:color="auto" w:sz="4" w:space="0"/>
            </w:tcBorders>
            <w:tcMar>
              <w:left w:w="28" w:type="dxa"/>
              <w:right w:w="28" w:type="dxa"/>
            </w:tcMar>
            <w:vAlign w:val="center"/>
          </w:tcPr>
          <w:p>
            <w:pPr>
              <w:widowControl/>
              <w:spacing w:line="288" w:lineRule="auto"/>
              <w:jc w:val="left"/>
              <w:rPr>
                <w:rFonts w:ascii="宋体" w:cs="宋体"/>
                <w:b/>
                <w:kern w:val="0"/>
                <w:sz w:val="24"/>
              </w:rPr>
            </w:pPr>
          </w:p>
        </w:tc>
        <w:tc>
          <w:tcPr>
            <w:tcW w:w="427"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992" w:type="dxa"/>
            <w:tcBorders>
              <w:top w:val="nil"/>
              <w:left w:val="nil"/>
              <w:bottom w:val="single" w:color="auto" w:sz="4" w:space="0"/>
              <w:right w:val="single" w:color="auto" w:sz="4" w:space="0"/>
            </w:tcBorders>
            <w:tcMar>
              <w:left w:w="28" w:type="dxa"/>
              <w:right w:w="28" w:type="dxa"/>
            </w:tcMar>
            <w:vAlign w:val="center"/>
          </w:tcPr>
          <w:p>
            <w:pPr>
              <w:widowControl/>
              <w:spacing w:line="288" w:lineRule="auto"/>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加分项</w:t>
            </w:r>
          </w:p>
        </w:tc>
        <w:tc>
          <w:tcPr>
            <w:tcW w:w="1276"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得分</w:t>
            </w:r>
            <w:r>
              <w:rPr>
                <w:rFonts w:ascii="宋体" w:hAnsi="宋体" w:cs="宋体"/>
                <w:kern w:val="0"/>
                <w:sz w:val="18"/>
                <w:szCs w:val="18"/>
              </w:rPr>
              <w:t>Q8</w:t>
            </w:r>
          </w:p>
        </w:tc>
        <w:tc>
          <w:tcPr>
            <w:tcW w:w="8930" w:type="dxa"/>
            <w:gridSpan w:val="8"/>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r>
              <w:rPr>
                <w:rFonts w:hint="eastAsia" w:ascii="宋体" w:hAnsi="宋体" w:cs="宋体"/>
                <w:kern w:val="0"/>
                <w:sz w:val="18"/>
                <w:szCs w:val="18"/>
              </w:rPr>
              <w:t>　</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kern w:val="0"/>
                <w:sz w:val="22"/>
              </w:rPr>
            </w:pPr>
          </w:p>
        </w:tc>
        <w:tc>
          <w:tcPr>
            <w:tcW w:w="174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b/>
                <w:kern w:val="0"/>
                <w:szCs w:val="21"/>
              </w:rPr>
            </w:pPr>
          </w:p>
        </w:tc>
        <w:tc>
          <w:tcPr>
            <w:tcW w:w="3260" w:type="dxa"/>
            <w:gridSpan w:val="2"/>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r>
      <w:tr>
        <w:tblPrEx>
          <w:tblLayout w:type="fixed"/>
          <w:tblCellMar>
            <w:top w:w="0" w:type="dxa"/>
            <w:left w:w="108" w:type="dxa"/>
            <w:bottom w:w="0" w:type="dxa"/>
            <w:right w:w="108" w:type="dxa"/>
          </w:tblCellMar>
        </w:tblPrEx>
        <w:trPr>
          <w:trHeight w:val="300" w:hRule="atLeast"/>
        </w:trPr>
        <w:tc>
          <w:tcPr>
            <w:tcW w:w="4926" w:type="dxa"/>
            <w:gridSpan w:val="2"/>
            <w:vMerge w:val="continue"/>
            <w:tcBorders>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b/>
                <w:kern w:val="0"/>
                <w:sz w:val="24"/>
              </w:rPr>
            </w:pPr>
          </w:p>
        </w:tc>
        <w:tc>
          <w:tcPr>
            <w:tcW w:w="427"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c>
          <w:tcPr>
            <w:tcW w:w="992" w:type="dxa"/>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rPr>
                <w:rFonts w:ascii="宋体" w:hAnsi="宋体" w:cs="宋体"/>
                <w:kern w:val="0"/>
                <w:sz w:val="18"/>
                <w:szCs w:val="18"/>
              </w:rPr>
            </w:pPr>
            <w:r>
              <w:rPr>
                <w:rFonts w:ascii="宋体" w:hAnsi="宋体" w:cs="宋体"/>
                <w:kern w:val="0"/>
                <w:sz w:val="18"/>
                <w:szCs w:val="18"/>
              </w:rPr>
              <w:t xml:space="preserve">  </w:t>
            </w:r>
            <w:r>
              <w:rPr>
                <w:rFonts w:hint="eastAsia" w:ascii="宋体" w:hAnsi="宋体" w:cs="宋体"/>
                <w:b/>
                <w:kern w:val="0"/>
                <w:sz w:val="18"/>
                <w:szCs w:val="18"/>
              </w:rPr>
              <w:t>总得分</w:t>
            </w:r>
            <w:r>
              <w:rPr>
                <w:rFonts w:ascii="宋体" w:hAnsi="宋体" w:cs="宋体"/>
                <w:kern w:val="0"/>
                <w:sz w:val="18"/>
                <w:szCs w:val="18"/>
              </w:rPr>
              <w:t xml:space="preserve">    </w:t>
            </w:r>
          </w:p>
        </w:tc>
        <w:tc>
          <w:tcPr>
            <w:tcW w:w="6379" w:type="dxa"/>
            <w:gridSpan w:val="5"/>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ind w:firstLine="360" w:firstLineChars="200"/>
              <w:rPr>
                <w:rFonts w:ascii="宋体" w:hAnsi="宋体" w:cs="宋体"/>
                <w:kern w:val="0"/>
                <w:sz w:val="18"/>
                <w:szCs w:val="18"/>
              </w:rPr>
            </w:pPr>
            <w:r>
              <w:rPr>
                <w:rFonts w:hint="eastAsia" w:ascii="宋体" w:hAnsi="宋体" w:cs="宋体"/>
                <w:kern w:val="0"/>
                <w:sz w:val="18"/>
                <w:szCs w:val="18"/>
              </w:rPr>
              <w:t>Σ</w:t>
            </w:r>
            <w:r>
              <w:rPr>
                <w:rFonts w:ascii="宋体" w:hAnsi="宋体" w:cs="宋体"/>
                <w:kern w:val="0"/>
                <w:sz w:val="18"/>
                <w:szCs w:val="18"/>
              </w:rPr>
              <w:t>Q</w:t>
            </w:r>
            <w:r>
              <w:rPr>
                <w:rFonts w:hint="eastAsia" w:ascii="宋体" w:hAnsi="宋体" w:cs="宋体"/>
                <w:kern w:val="0"/>
                <w:sz w:val="18"/>
                <w:szCs w:val="18"/>
              </w:rPr>
              <w:t>＝</w:t>
            </w:r>
            <w:r>
              <w:rPr>
                <w:rFonts w:ascii="宋体" w:hAnsi="宋体" w:cs="宋体"/>
                <w:kern w:val="0"/>
                <w:sz w:val="18"/>
                <w:szCs w:val="18"/>
              </w:rPr>
              <w:t>w1Q1</w:t>
            </w:r>
            <w:r>
              <w:rPr>
                <w:rFonts w:hint="eastAsia" w:ascii="宋体" w:hAnsi="宋体" w:cs="宋体"/>
                <w:kern w:val="0"/>
                <w:sz w:val="18"/>
                <w:szCs w:val="18"/>
              </w:rPr>
              <w:t>＋</w:t>
            </w:r>
            <w:r>
              <w:rPr>
                <w:rFonts w:ascii="宋体" w:hAnsi="宋体" w:cs="宋体"/>
                <w:kern w:val="0"/>
                <w:sz w:val="18"/>
                <w:szCs w:val="18"/>
              </w:rPr>
              <w:t>w2Q2</w:t>
            </w:r>
            <w:r>
              <w:rPr>
                <w:rFonts w:hint="eastAsia" w:ascii="宋体" w:hAnsi="宋体" w:cs="宋体"/>
                <w:kern w:val="0"/>
                <w:sz w:val="18"/>
                <w:szCs w:val="18"/>
              </w:rPr>
              <w:t>＋</w:t>
            </w:r>
            <w:r>
              <w:rPr>
                <w:rFonts w:ascii="宋体" w:hAnsi="宋体" w:cs="宋体"/>
                <w:kern w:val="0"/>
                <w:sz w:val="18"/>
                <w:szCs w:val="18"/>
              </w:rPr>
              <w:t>w3Q3</w:t>
            </w:r>
            <w:r>
              <w:rPr>
                <w:rFonts w:hint="eastAsia" w:ascii="宋体" w:hAnsi="宋体" w:cs="宋体"/>
                <w:kern w:val="0"/>
                <w:sz w:val="18"/>
                <w:szCs w:val="18"/>
              </w:rPr>
              <w:t>＋</w:t>
            </w:r>
            <w:r>
              <w:rPr>
                <w:rFonts w:ascii="宋体" w:hAnsi="宋体" w:cs="宋体"/>
                <w:kern w:val="0"/>
                <w:sz w:val="18"/>
                <w:szCs w:val="18"/>
              </w:rPr>
              <w:t>w4Q4</w:t>
            </w:r>
            <w:r>
              <w:rPr>
                <w:rFonts w:hint="eastAsia" w:ascii="宋体" w:hAnsi="宋体" w:cs="宋体"/>
                <w:kern w:val="0"/>
                <w:sz w:val="18"/>
                <w:szCs w:val="18"/>
              </w:rPr>
              <w:t>＋</w:t>
            </w:r>
            <w:r>
              <w:rPr>
                <w:rFonts w:ascii="宋体" w:hAnsi="宋体" w:cs="宋体"/>
                <w:kern w:val="0"/>
                <w:sz w:val="18"/>
                <w:szCs w:val="18"/>
              </w:rPr>
              <w:t>w5Q5+Q8</w:t>
            </w:r>
          </w:p>
        </w:tc>
        <w:tc>
          <w:tcPr>
            <w:tcW w:w="3827" w:type="dxa"/>
            <w:gridSpan w:val="4"/>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left"/>
              <w:rPr>
                <w:rFonts w:hint="default" w:ascii="宋体" w:eastAsia="宋体" w:cs="宋体"/>
                <w:kern w:val="0"/>
                <w:sz w:val="18"/>
                <w:szCs w:val="18"/>
                <w:lang w:val="en-US" w:eastAsia="zh-CN"/>
              </w:rPr>
            </w:pPr>
            <w:r>
              <w:rPr>
                <w:rFonts w:ascii="宋体" w:hAnsi="宋体" w:cs="宋体"/>
                <w:kern w:val="0"/>
                <w:sz w:val="18"/>
                <w:szCs w:val="18"/>
              </w:rPr>
              <w:t>53.</w:t>
            </w:r>
            <w:r>
              <w:rPr>
                <w:rFonts w:hint="eastAsia" w:ascii="宋体" w:hAnsi="宋体" w:cs="宋体"/>
                <w:kern w:val="0"/>
                <w:sz w:val="18"/>
                <w:szCs w:val="18"/>
                <w:lang w:val="en-US" w:eastAsia="zh-CN"/>
              </w:rPr>
              <w:t>16</w:t>
            </w:r>
          </w:p>
        </w:tc>
        <w:tc>
          <w:tcPr>
            <w:tcW w:w="236" w:type="dxa"/>
            <w:vMerge w:val="continue"/>
            <w:tcBorders>
              <w:left w:val="nil"/>
              <w:right w:val="single" w:color="auto" w:sz="4" w:space="0"/>
            </w:tcBorders>
            <w:tcMar>
              <w:left w:w="28" w:type="dxa"/>
              <w:right w:w="28" w:type="dxa"/>
            </w:tcMar>
            <w:vAlign w:val="center"/>
          </w:tcPr>
          <w:p>
            <w:pPr>
              <w:spacing w:line="288" w:lineRule="auto"/>
              <w:jc w:val="left"/>
              <w:rPr>
                <w:rFonts w:ascii="宋体" w:cs="宋体"/>
                <w:kern w:val="0"/>
                <w:sz w:val="22"/>
              </w:rPr>
            </w:pPr>
          </w:p>
        </w:tc>
        <w:tc>
          <w:tcPr>
            <w:tcW w:w="1749" w:type="dxa"/>
            <w:vMerge w:val="continue"/>
            <w:tcBorders>
              <w:top w:val="nil"/>
              <w:left w:val="single" w:color="auto" w:sz="4" w:space="0"/>
              <w:bottom w:val="single" w:color="000000" w:sz="4" w:space="0"/>
              <w:right w:val="single" w:color="auto" w:sz="4" w:space="0"/>
            </w:tcBorders>
            <w:tcMar>
              <w:left w:w="28" w:type="dxa"/>
              <w:right w:w="28" w:type="dxa"/>
            </w:tcMar>
            <w:vAlign w:val="center"/>
          </w:tcPr>
          <w:p>
            <w:pPr>
              <w:widowControl/>
              <w:spacing w:line="288" w:lineRule="auto"/>
              <w:jc w:val="left"/>
              <w:rPr>
                <w:rFonts w:ascii="宋体" w:cs="宋体"/>
                <w:b/>
                <w:kern w:val="0"/>
                <w:szCs w:val="21"/>
              </w:rPr>
            </w:pPr>
          </w:p>
        </w:tc>
        <w:tc>
          <w:tcPr>
            <w:tcW w:w="3260" w:type="dxa"/>
            <w:gridSpan w:val="2"/>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18"/>
                <w:szCs w:val="18"/>
              </w:rPr>
            </w:pPr>
          </w:p>
        </w:tc>
      </w:tr>
      <w:tr>
        <w:tblPrEx>
          <w:tblLayout w:type="fixed"/>
          <w:tblCellMar>
            <w:top w:w="0" w:type="dxa"/>
            <w:left w:w="108" w:type="dxa"/>
            <w:bottom w:w="0" w:type="dxa"/>
            <w:right w:w="108" w:type="dxa"/>
          </w:tblCellMar>
        </w:tblPrEx>
        <w:trPr>
          <w:trHeight w:val="1325" w:hRule="atLeast"/>
        </w:trPr>
        <w:tc>
          <w:tcPr>
            <w:tcW w:w="4926"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b/>
                <w:kern w:val="0"/>
                <w:sz w:val="24"/>
              </w:rPr>
            </w:pPr>
            <w:r>
              <w:rPr>
                <w:rFonts w:hint="eastAsia" w:ascii="宋体" w:hAnsi="宋体" w:cs="宋体"/>
                <w:b/>
                <w:kern w:val="0"/>
                <w:sz w:val="24"/>
              </w:rPr>
              <w:t>施工图审查机构审查意见</w:t>
            </w:r>
          </w:p>
        </w:tc>
        <w:tc>
          <w:tcPr>
            <w:tcW w:w="11625" w:type="dxa"/>
            <w:gridSpan w:val="11"/>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hAnsi="宋体" w:cs="宋体"/>
                <w:kern w:val="0"/>
                <w:sz w:val="18"/>
                <w:szCs w:val="18"/>
              </w:rPr>
            </w:pPr>
            <w:r>
              <w:rPr>
                <w:rFonts w:hint="eastAsia" w:ascii="宋体" w:hAnsi="宋体" w:cs="宋体"/>
                <w:kern w:val="0"/>
                <w:sz w:val="18"/>
                <w:szCs w:val="18"/>
              </w:rPr>
              <w:t>经审查，该项目达到绿色建筑设计标识 一星 级要求。</w:t>
            </w:r>
            <w:r>
              <w:rPr>
                <w:rFonts w:ascii="宋体" w:hAnsi="宋体" w:cs="宋体"/>
                <w:kern w:val="0"/>
                <w:sz w:val="18"/>
                <w:szCs w:val="18"/>
              </w:rPr>
              <w:t xml:space="preserve">                                                                                  </w:t>
            </w:r>
            <w:r>
              <w:rPr>
                <w:rFonts w:ascii="宋体" w:hAnsi="宋体" w:cs="宋体"/>
                <w:kern w:val="0"/>
                <w:sz w:val="18"/>
                <w:szCs w:val="18"/>
              </w:rPr>
              <w:br w:type="textWrapping"/>
            </w:r>
          </w:p>
          <w:p>
            <w:pPr>
              <w:widowControl/>
              <w:spacing w:line="288" w:lineRule="auto"/>
              <w:jc w:val="center"/>
              <w:rPr>
                <w:rFonts w:ascii="宋体" w:hAnsi="宋体" w:cs="宋体"/>
                <w:kern w:val="0"/>
                <w:sz w:val="18"/>
                <w:szCs w:val="18"/>
              </w:rPr>
            </w:pPr>
            <w:r>
              <w:rPr>
                <w:rFonts w:hint="eastAsia" w:ascii="宋体" w:hAnsi="宋体" w:cs="宋体"/>
                <w:kern w:val="0"/>
                <w:sz w:val="18"/>
                <w:szCs w:val="18"/>
              </w:rPr>
              <w:t>　　　　　　　　　　　　　　　                                                                    年     月       日</w:t>
            </w:r>
            <w:r>
              <w:rPr>
                <w:rFonts w:ascii="宋体" w:hAnsi="宋体" w:cs="宋体"/>
                <w:kern w:val="0"/>
                <w:sz w:val="18"/>
                <w:szCs w:val="18"/>
              </w:rPr>
              <w:t xml:space="preserve"> </w:t>
            </w:r>
          </w:p>
          <w:p>
            <w:pPr>
              <w:widowControl/>
              <w:spacing w:line="288" w:lineRule="auto"/>
              <w:jc w:val="center"/>
              <w:rPr>
                <w:rFonts w:ascii="宋体" w:cs="宋体"/>
                <w:kern w:val="0"/>
                <w:sz w:val="18"/>
                <w:szCs w:val="18"/>
              </w:rPr>
            </w:pPr>
            <w:r>
              <w:rPr>
                <w:rFonts w:hint="eastAsia" w:ascii="宋体" w:hAnsi="宋体" w:cs="宋体"/>
                <w:kern w:val="0"/>
                <w:sz w:val="18"/>
                <w:szCs w:val="18"/>
              </w:rPr>
              <w:t>　　　　　　　　　　　　　　　                                                                                 （盖章）</w:t>
            </w:r>
          </w:p>
        </w:tc>
        <w:tc>
          <w:tcPr>
            <w:tcW w:w="236" w:type="dxa"/>
            <w:vMerge w:val="continue"/>
            <w:tcBorders>
              <w:left w:val="nil"/>
              <w:bottom w:val="single" w:color="auto" w:sz="4" w:space="0"/>
              <w:right w:val="single" w:color="auto" w:sz="4" w:space="0"/>
            </w:tcBorders>
            <w:tcMar>
              <w:left w:w="28" w:type="dxa"/>
              <w:right w:w="28" w:type="dxa"/>
            </w:tcMar>
            <w:vAlign w:val="center"/>
          </w:tcPr>
          <w:p>
            <w:pPr>
              <w:widowControl/>
              <w:spacing w:line="288" w:lineRule="auto"/>
              <w:jc w:val="left"/>
              <w:rPr>
                <w:rFonts w:ascii="宋体" w:cs="宋体"/>
                <w:kern w:val="0"/>
                <w:sz w:val="22"/>
              </w:rPr>
            </w:pPr>
          </w:p>
        </w:tc>
        <w:tc>
          <w:tcPr>
            <w:tcW w:w="1749" w:type="dxa"/>
            <w:tcBorders>
              <w:top w:val="nil"/>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b/>
                <w:kern w:val="0"/>
                <w:szCs w:val="21"/>
              </w:rPr>
            </w:pPr>
            <w:r>
              <w:rPr>
                <w:rFonts w:hint="eastAsia" w:ascii="宋体" w:hAnsi="宋体" w:cs="宋体"/>
                <w:b/>
                <w:kern w:val="0"/>
                <w:szCs w:val="21"/>
              </w:rPr>
              <w:t>建设单位（或监理单位）意见</w:t>
            </w:r>
          </w:p>
        </w:tc>
        <w:tc>
          <w:tcPr>
            <w:tcW w:w="3260" w:type="dxa"/>
            <w:gridSpan w:val="2"/>
            <w:tcBorders>
              <w:top w:val="single" w:color="auto" w:sz="4" w:space="0"/>
              <w:left w:val="nil"/>
              <w:bottom w:val="single" w:color="auto" w:sz="4" w:space="0"/>
              <w:right w:val="single" w:color="auto" w:sz="4" w:space="0"/>
            </w:tcBorders>
            <w:tcMar>
              <w:left w:w="28" w:type="dxa"/>
              <w:right w:w="28" w:type="dxa"/>
            </w:tcMar>
            <w:vAlign w:val="center"/>
          </w:tcPr>
          <w:p>
            <w:pPr>
              <w:widowControl/>
              <w:spacing w:line="288" w:lineRule="auto"/>
              <w:jc w:val="center"/>
              <w:rPr>
                <w:rFonts w:ascii="宋体" w:cs="宋体"/>
                <w:kern w:val="0"/>
                <w:sz w:val="18"/>
                <w:szCs w:val="18"/>
              </w:rPr>
            </w:pPr>
            <w:r>
              <w:rPr>
                <w:rFonts w:hint="eastAsia" w:ascii="宋体" w:hAnsi="宋体" w:cs="宋体"/>
                <w:kern w:val="0"/>
                <w:sz w:val="18"/>
                <w:szCs w:val="18"/>
              </w:rPr>
              <w:t>　　　　　　　　　　　　　　　　　　　　　</w:t>
            </w:r>
            <w:r>
              <w:rPr>
                <w:rFonts w:ascii="宋体" w:cs="宋体"/>
                <w:kern w:val="0"/>
                <w:sz w:val="18"/>
                <w:szCs w:val="18"/>
              </w:rPr>
              <w:br w:type="textWrapping"/>
            </w:r>
            <w:r>
              <w:rPr>
                <w:rFonts w:hint="eastAsia" w:ascii="宋体" w:hAnsi="宋体" w:cs="宋体"/>
                <w:kern w:val="0"/>
                <w:sz w:val="18"/>
                <w:szCs w:val="18"/>
              </w:rPr>
              <w:t>　　　　　　　　　</w:t>
            </w:r>
            <w:r>
              <w:rPr>
                <w:rFonts w:ascii="宋体" w:cs="宋体"/>
                <w:kern w:val="0"/>
                <w:sz w:val="18"/>
                <w:szCs w:val="18"/>
              </w:rPr>
              <w:br w:type="textWrapping"/>
            </w:r>
            <w:r>
              <w:rPr>
                <w:rFonts w:ascii="宋体" w:hAnsi="宋体" w:cs="宋体"/>
                <w:kern w:val="0"/>
                <w:sz w:val="18"/>
                <w:szCs w:val="18"/>
              </w:rPr>
              <w:t xml:space="preserve">                   </w:t>
            </w:r>
            <w:r>
              <w:rPr>
                <w:rFonts w:hint="eastAsia" w:ascii="宋体" w:hAnsi="宋体" w:cs="宋体"/>
                <w:kern w:val="0"/>
                <w:sz w:val="18"/>
                <w:szCs w:val="18"/>
              </w:rPr>
              <w:t>　年　月　日　　　　　　　　　　　　　　　　　　　　　　　　　　　　　</w:t>
            </w:r>
            <w:r>
              <w:rPr>
                <w:rFonts w:ascii="宋体" w:cs="宋体"/>
                <w:kern w:val="0"/>
                <w:sz w:val="18"/>
                <w:szCs w:val="18"/>
              </w:rPr>
              <w:br w:type="textWrapping"/>
            </w:r>
            <w:r>
              <w:rPr>
                <w:rFonts w:hint="eastAsia" w:ascii="宋体" w:hAnsi="宋体" w:cs="宋体"/>
                <w:kern w:val="0"/>
                <w:sz w:val="18"/>
                <w:szCs w:val="18"/>
              </w:rPr>
              <w:t>　　　　　　　　　　　　（盖章）</w:t>
            </w:r>
          </w:p>
        </w:tc>
      </w:tr>
    </w:tbl>
    <w:p>
      <w:pPr>
        <w:rPr>
          <w:szCs w:val="21"/>
        </w:rPr>
      </w:pPr>
    </w:p>
    <w:p>
      <w:pPr>
        <w:spacing w:line="220" w:lineRule="exact"/>
        <w:rPr>
          <w:sz w:val="18"/>
          <w:szCs w:val="18"/>
        </w:rPr>
      </w:pPr>
      <w:r>
        <w:rPr>
          <w:rFonts w:hint="eastAsia"/>
          <w:sz w:val="18"/>
          <w:szCs w:val="18"/>
        </w:rPr>
        <w:t>填写说明：</w:t>
      </w:r>
      <w:r>
        <w:rPr>
          <w:sz w:val="18"/>
          <w:szCs w:val="18"/>
        </w:rPr>
        <w:t>1</w:t>
      </w:r>
      <w:r>
        <w:rPr>
          <w:rFonts w:hint="eastAsia"/>
          <w:sz w:val="18"/>
          <w:szCs w:val="18"/>
        </w:rPr>
        <w:t>、“设计参评总分”指设计阶段参与评价的总分，是固定值，不需填写；“实际参评总分”指去掉不适用本项目的条文后的总分值；“实际得分”指经审查满足评价标准的条文的得分值；“计算得分”是实际得分除以本项目实际参评总分后再乘以</w:t>
      </w:r>
      <w:r>
        <w:rPr>
          <w:sz w:val="18"/>
          <w:szCs w:val="18"/>
        </w:rPr>
        <w:t>100</w:t>
      </w:r>
      <w:r>
        <w:rPr>
          <w:rFonts w:hint="eastAsia"/>
          <w:sz w:val="18"/>
          <w:szCs w:val="18"/>
        </w:rPr>
        <w:t>的计算值。</w:t>
      </w:r>
    </w:p>
    <w:p>
      <w:pPr>
        <w:spacing w:line="220" w:lineRule="exact"/>
        <w:rPr>
          <w:sz w:val="18"/>
          <w:szCs w:val="18"/>
        </w:rPr>
      </w:pPr>
      <w:r>
        <w:rPr>
          <w:rFonts w:hint="eastAsia"/>
          <w:sz w:val="18"/>
          <w:szCs w:val="18"/>
        </w:rPr>
        <w:t>　　　　　</w:t>
      </w:r>
      <w:r>
        <w:rPr>
          <w:sz w:val="18"/>
          <w:szCs w:val="18"/>
        </w:rPr>
        <w:t>2</w:t>
      </w:r>
      <w:r>
        <w:rPr>
          <w:rFonts w:hint="eastAsia"/>
          <w:sz w:val="18"/>
          <w:szCs w:val="18"/>
        </w:rPr>
        <w:t>、对于“设计内容”一列应填写具体指标数值，如属于选择性的内容，应在□中打“√”。</w:t>
      </w:r>
    </w:p>
    <w:p>
      <w:pPr>
        <w:spacing w:line="220" w:lineRule="exact"/>
        <w:rPr>
          <w:sz w:val="18"/>
          <w:szCs w:val="18"/>
        </w:rPr>
      </w:pPr>
      <w:r>
        <w:rPr>
          <w:rFonts w:hint="eastAsia"/>
          <w:sz w:val="18"/>
          <w:szCs w:val="18"/>
        </w:rPr>
        <w:t>　　　　　</w:t>
      </w:r>
      <w:r>
        <w:rPr>
          <w:sz w:val="18"/>
          <w:szCs w:val="18"/>
        </w:rPr>
        <w:t>3</w:t>
      </w:r>
      <w:r>
        <w:rPr>
          <w:rFonts w:hint="eastAsia"/>
          <w:sz w:val="18"/>
          <w:szCs w:val="18"/>
        </w:rPr>
        <w:t>、对于“设计表达方式”一列，主要分为两种形式，一种是分析报告或计算报告类的技术文件，一种为设计图纸。对于技术文件必须由设计单位或建设单位提交审图机构审核，对于设计图纸必须具体写明该条文所对应施工图的图名和图号。</w:t>
      </w:r>
    </w:p>
    <w:p>
      <w:pPr>
        <w:spacing w:line="220" w:lineRule="exact"/>
        <w:rPr>
          <w:sz w:val="18"/>
          <w:szCs w:val="18"/>
        </w:rPr>
      </w:pPr>
      <w:r>
        <w:rPr>
          <w:rFonts w:hint="eastAsia"/>
          <w:sz w:val="18"/>
          <w:szCs w:val="18"/>
        </w:rPr>
        <w:t>　　　　　</w:t>
      </w:r>
      <w:r>
        <w:rPr>
          <w:sz w:val="18"/>
          <w:szCs w:val="18"/>
        </w:rPr>
        <w:t>4</w:t>
      </w:r>
      <w:r>
        <w:rPr>
          <w:rFonts w:hint="eastAsia"/>
          <w:sz w:val="18"/>
          <w:szCs w:val="18"/>
        </w:rPr>
        <w:t>、对于“得分”一列按实际得分值填写，不参评的条文应填“</w:t>
      </w:r>
      <w:r>
        <w:rPr>
          <w:sz w:val="18"/>
          <w:szCs w:val="18"/>
        </w:rPr>
        <w:t>—</w:t>
      </w:r>
      <w:r>
        <w:rPr>
          <w:rFonts w:hint="eastAsia"/>
          <w:sz w:val="18"/>
          <w:szCs w:val="18"/>
        </w:rPr>
        <w:t>”。</w:t>
      </w:r>
    </w:p>
    <w:p>
      <w:pPr>
        <w:spacing w:line="220" w:lineRule="exact"/>
        <w:rPr>
          <w:sz w:val="18"/>
          <w:szCs w:val="18"/>
        </w:rPr>
      </w:pPr>
      <w:r>
        <w:rPr>
          <w:rFonts w:hint="eastAsia"/>
          <w:sz w:val="18"/>
          <w:szCs w:val="18"/>
        </w:rPr>
        <w:t>　　　　　</w:t>
      </w:r>
      <w:r>
        <w:rPr>
          <w:sz w:val="18"/>
          <w:szCs w:val="18"/>
        </w:rPr>
        <w:t>5</w:t>
      </w:r>
      <w:r>
        <w:rPr>
          <w:rFonts w:hint="eastAsia"/>
          <w:sz w:val="18"/>
          <w:szCs w:val="18"/>
        </w:rPr>
        <w:t>、对于“备注”一列，必须对不参评的条文在备注栏内填写“不参评”，对在二次设计中落实的条文应在备注栏中填写“二次设计”，其他需说明的情况自行填写。</w:t>
      </w:r>
    </w:p>
    <w:p>
      <w:pPr>
        <w:spacing w:line="220" w:lineRule="exact"/>
        <w:rPr>
          <w:rFonts w:ascii="仿宋_GB2312" w:eastAsia="仿宋_GB2312"/>
          <w:sz w:val="18"/>
          <w:szCs w:val="18"/>
        </w:rPr>
      </w:pPr>
      <w:r>
        <w:rPr>
          <w:rFonts w:hint="eastAsia"/>
          <w:sz w:val="18"/>
          <w:szCs w:val="18"/>
        </w:rPr>
        <w:t>　　　　　</w:t>
      </w:r>
      <w:r>
        <w:rPr>
          <w:sz w:val="18"/>
          <w:szCs w:val="18"/>
        </w:rPr>
        <w:t>6</w:t>
      </w:r>
      <w:r>
        <w:rPr>
          <w:rFonts w:hint="eastAsia"/>
          <w:sz w:val="18"/>
          <w:szCs w:val="18"/>
        </w:rPr>
        <w:t>、对于验收情况的“结论”一列，验收合格的填“√”，不合格的填“×”。</w:t>
      </w:r>
    </w:p>
    <w:sectPr>
      <w:footerReference r:id="rId3" w:type="default"/>
      <w:footerReference r:id="rId4" w:type="even"/>
      <w:pgSz w:w="23814" w:h="16840" w:orient="landscape"/>
      <w:pgMar w:top="1134" w:right="1134" w:bottom="851" w:left="1134" w:header="851"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0" w:usb3="00000000" w:csb0="00100000" w:csb1="00000000"/>
  </w:font>
  <w:font w:name="Dotum">
    <w:altName w:val="Malgun Gothic"/>
    <w:panose1 w:val="020B0600000101010101"/>
    <w:charset w:val="81"/>
    <w:family w:val="modern"/>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Batang Wester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270"/>
      <w:jc w:val="center"/>
    </w:pPr>
    <w:r>
      <w:t xml:space="preserve">    </w:t>
    </w:r>
    <w:r>
      <w:rPr>
        <w:rFonts w:ascii="Batang Western" w:hAnsi="Batang Western" w:eastAsia="Batang"/>
        <w:sz w:val="28"/>
        <w:szCs w:val="28"/>
      </w:rPr>
      <w:t>—</w:t>
    </w: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lang w:val="zh-CN"/>
      </w:rPr>
      <w:t>3</w:t>
    </w:r>
    <w:r>
      <w:rPr>
        <w:rFonts w:ascii="Batang" w:hAnsi="Batang" w:eastAsia="Batang"/>
        <w:sz w:val="28"/>
        <w:szCs w:val="28"/>
      </w:rPr>
      <w:fldChar w:fldCharType="end"/>
    </w:r>
    <w:r>
      <w:rPr>
        <w:rFonts w:ascii="Batang Western" w:hAnsi="Batang Western" w:eastAsia="Batang"/>
        <w:sz w:val="28"/>
        <w:szCs w:val="28"/>
      </w:rPr>
      <w:t>—</w:t>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t xml:space="preserve">   </w:t>
    </w:r>
    <w:r>
      <w:rPr>
        <w:rFonts w:ascii="Batang Western" w:hAnsi="Batang Western" w:eastAsia="Batang"/>
        <w:sz w:val="28"/>
        <w:szCs w:val="28"/>
      </w:rPr>
      <w:t>—</w:t>
    </w: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lang w:val="zh-CN"/>
      </w:rPr>
      <w:t>4</w:t>
    </w:r>
    <w:r>
      <w:rPr>
        <w:rFonts w:ascii="Batang" w:hAnsi="Batang" w:eastAsia="Batang"/>
        <w:sz w:val="28"/>
        <w:szCs w:val="28"/>
      </w:rPr>
      <w:fldChar w:fldCharType="end"/>
    </w:r>
    <w:r>
      <w:rPr>
        <w:rFonts w:ascii="Batang Western" w:hAnsi="Batang Western" w:eastAsia="Batang"/>
        <w:sz w:val="28"/>
        <w:szCs w:val="28"/>
      </w:rPr>
      <w:t>—</w:t>
    </w:r>
  </w:p>
  <w:p>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F66DA"/>
    <w:rsid w:val="0000015E"/>
    <w:rsid w:val="000131BF"/>
    <w:rsid w:val="00015573"/>
    <w:rsid w:val="00015C81"/>
    <w:rsid w:val="0002531E"/>
    <w:rsid w:val="0002755E"/>
    <w:rsid w:val="00027858"/>
    <w:rsid w:val="00027EDF"/>
    <w:rsid w:val="000310EA"/>
    <w:rsid w:val="00034D52"/>
    <w:rsid w:val="00040565"/>
    <w:rsid w:val="00040E00"/>
    <w:rsid w:val="00045149"/>
    <w:rsid w:val="00046336"/>
    <w:rsid w:val="00050B0E"/>
    <w:rsid w:val="0005168A"/>
    <w:rsid w:val="000531A2"/>
    <w:rsid w:val="0005345E"/>
    <w:rsid w:val="0005396D"/>
    <w:rsid w:val="000554A1"/>
    <w:rsid w:val="00060B95"/>
    <w:rsid w:val="000637FF"/>
    <w:rsid w:val="0006576A"/>
    <w:rsid w:val="0006728B"/>
    <w:rsid w:val="0007751F"/>
    <w:rsid w:val="00095197"/>
    <w:rsid w:val="000A152F"/>
    <w:rsid w:val="000A23F8"/>
    <w:rsid w:val="000A5180"/>
    <w:rsid w:val="000A5E7B"/>
    <w:rsid w:val="000B12E1"/>
    <w:rsid w:val="000B2915"/>
    <w:rsid w:val="000B5714"/>
    <w:rsid w:val="000B7C30"/>
    <w:rsid w:val="000C33F5"/>
    <w:rsid w:val="000C4574"/>
    <w:rsid w:val="000C5623"/>
    <w:rsid w:val="000F1F14"/>
    <w:rsid w:val="000F2447"/>
    <w:rsid w:val="000F3549"/>
    <w:rsid w:val="000F7D64"/>
    <w:rsid w:val="00100863"/>
    <w:rsid w:val="00102CEB"/>
    <w:rsid w:val="00104C1B"/>
    <w:rsid w:val="00105768"/>
    <w:rsid w:val="00112154"/>
    <w:rsid w:val="001237FD"/>
    <w:rsid w:val="0012665B"/>
    <w:rsid w:val="001274FB"/>
    <w:rsid w:val="00127532"/>
    <w:rsid w:val="00127DB4"/>
    <w:rsid w:val="0013666B"/>
    <w:rsid w:val="0014094E"/>
    <w:rsid w:val="00141C95"/>
    <w:rsid w:val="001442DC"/>
    <w:rsid w:val="00146AD8"/>
    <w:rsid w:val="00151102"/>
    <w:rsid w:val="00153EAF"/>
    <w:rsid w:val="00165CAB"/>
    <w:rsid w:val="00171DD9"/>
    <w:rsid w:val="001730D4"/>
    <w:rsid w:val="00174E03"/>
    <w:rsid w:val="0017677B"/>
    <w:rsid w:val="00180756"/>
    <w:rsid w:val="00181910"/>
    <w:rsid w:val="00181BD6"/>
    <w:rsid w:val="0018317C"/>
    <w:rsid w:val="001831CB"/>
    <w:rsid w:val="0018687A"/>
    <w:rsid w:val="00194325"/>
    <w:rsid w:val="001A198C"/>
    <w:rsid w:val="001A3B4D"/>
    <w:rsid w:val="001A41F3"/>
    <w:rsid w:val="001B0AC3"/>
    <w:rsid w:val="001B12A2"/>
    <w:rsid w:val="001B14BE"/>
    <w:rsid w:val="001B6A03"/>
    <w:rsid w:val="001B6B21"/>
    <w:rsid w:val="001C550C"/>
    <w:rsid w:val="001D5E4C"/>
    <w:rsid w:val="001E215D"/>
    <w:rsid w:val="001E64B8"/>
    <w:rsid w:val="001E7A0F"/>
    <w:rsid w:val="001F45AA"/>
    <w:rsid w:val="001F5A6B"/>
    <w:rsid w:val="001F684C"/>
    <w:rsid w:val="001F74AD"/>
    <w:rsid w:val="00205361"/>
    <w:rsid w:val="002075FE"/>
    <w:rsid w:val="00210BDE"/>
    <w:rsid w:val="002136DF"/>
    <w:rsid w:val="00226A9D"/>
    <w:rsid w:val="00226F0B"/>
    <w:rsid w:val="00233792"/>
    <w:rsid w:val="0024132F"/>
    <w:rsid w:val="00250A15"/>
    <w:rsid w:val="00251CF0"/>
    <w:rsid w:val="00251DFB"/>
    <w:rsid w:val="0025487C"/>
    <w:rsid w:val="0025570D"/>
    <w:rsid w:val="00255C84"/>
    <w:rsid w:val="00255D45"/>
    <w:rsid w:val="002563B4"/>
    <w:rsid w:val="00256F48"/>
    <w:rsid w:val="00260656"/>
    <w:rsid w:val="00260F63"/>
    <w:rsid w:val="002631AE"/>
    <w:rsid w:val="00281545"/>
    <w:rsid w:val="00284A9A"/>
    <w:rsid w:val="002908EC"/>
    <w:rsid w:val="00294F9F"/>
    <w:rsid w:val="002A070D"/>
    <w:rsid w:val="002A2309"/>
    <w:rsid w:val="002A3081"/>
    <w:rsid w:val="002B3F51"/>
    <w:rsid w:val="002B4B95"/>
    <w:rsid w:val="002C0ADC"/>
    <w:rsid w:val="002C1F20"/>
    <w:rsid w:val="002C29BE"/>
    <w:rsid w:val="002C5801"/>
    <w:rsid w:val="002E0C27"/>
    <w:rsid w:val="002E2913"/>
    <w:rsid w:val="002E5B7F"/>
    <w:rsid w:val="002E70B2"/>
    <w:rsid w:val="002F1B96"/>
    <w:rsid w:val="002F238D"/>
    <w:rsid w:val="0030055A"/>
    <w:rsid w:val="00304E0D"/>
    <w:rsid w:val="0030540A"/>
    <w:rsid w:val="00305A56"/>
    <w:rsid w:val="00307350"/>
    <w:rsid w:val="0031075C"/>
    <w:rsid w:val="00312179"/>
    <w:rsid w:val="003172A2"/>
    <w:rsid w:val="00320E36"/>
    <w:rsid w:val="00321A0E"/>
    <w:rsid w:val="00322D54"/>
    <w:rsid w:val="00332555"/>
    <w:rsid w:val="0033785C"/>
    <w:rsid w:val="00341338"/>
    <w:rsid w:val="00346864"/>
    <w:rsid w:val="00361022"/>
    <w:rsid w:val="003770F3"/>
    <w:rsid w:val="00382FDA"/>
    <w:rsid w:val="00384470"/>
    <w:rsid w:val="003852AA"/>
    <w:rsid w:val="00392F76"/>
    <w:rsid w:val="00394370"/>
    <w:rsid w:val="003A07B8"/>
    <w:rsid w:val="003A0C44"/>
    <w:rsid w:val="003A165B"/>
    <w:rsid w:val="003A40D6"/>
    <w:rsid w:val="003A71FF"/>
    <w:rsid w:val="003B0EC0"/>
    <w:rsid w:val="003B2630"/>
    <w:rsid w:val="003B3796"/>
    <w:rsid w:val="003B5AA6"/>
    <w:rsid w:val="003C2239"/>
    <w:rsid w:val="003C4C4B"/>
    <w:rsid w:val="003C6A51"/>
    <w:rsid w:val="003D4268"/>
    <w:rsid w:val="003D71EB"/>
    <w:rsid w:val="003E3597"/>
    <w:rsid w:val="003F0805"/>
    <w:rsid w:val="00400CF6"/>
    <w:rsid w:val="004014DF"/>
    <w:rsid w:val="00404330"/>
    <w:rsid w:val="0040579E"/>
    <w:rsid w:val="004149DC"/>
    <w:rsid w:val="0041723D"/>
    <w:rsid w:val="00420AB3"/>
    <w:rsid w:val="00422CFE"/>
    <w:rsid w:val="00424481"/>
    <w:rsid w:val="004263FF"/>
    <w:rsid w:val="00432865"/>
    <w:rsid w:val="004354CE"/>
    <w:rsid w:val="00435B5E"/>
    <w:rsid w:val="00435E2D"/>
    <w:rsid w:val="00436C90"/>
    <w:rsid w:val="0043701E"/>
    <w:rsid w:val="0044135E"/>
    <w:rsid w:val="00442A32"/>
    <w:rsid w:val="00455742"/>
    <w:rsid w:val="0046087B"/>
    <w:rsid w:val="00462728"/>
    <w:rsid w:val="0046404E"/>
    <w:rsid w:val="0046481D"/>
    <w:rsid w:val="00470465"/>
    <w:rsid w:val="0047138A"/>
    <w:rsid w:val="00474B7F"/>
    <w:rsid w:val="00475AA3"/>
    <w:rsid w:val="00476E30"/>
    <w:rsid w:val="004772D2"/>
    <w:rsid w:val="00481756"/>
    <w:rsid w:val="0048495C"/>
    <w:rsid w:val="004953AB"/>
    <w:rsid w:val="00497F4F"/>
    <w:rsid w:val="00497FE1"/>
    <w:rsid w:val="004B241B"/>
    <w:rsid w:val="004B29A8"/>
    <w:rsid w:val="004B7562"/>
    <w:rsid w:val="004C4D41"/>
    <w:rsid w:val="004D0533"/>
    <w:rsid w:val="004D0A5F"/>
    <w:rsid w:val="004D1C20"/>
    <w:rsid w:val="004D366E"/>
    <w:rsid w:val="004D4700"/>
    <w:rsid w:val="004D7D09"/>
    <w:rsid w:val="004E0F3F"/>
    <w:rsid w:val="004F15F9"/>
    <w:rsid w:val="004F1666"/>
    <w:rsid w:val="004F1B5A"/>
    <w:rsid w:val="004F4BF5"/>
    <w:rsid w:val="004F5ACC"/>
    <w:rsid w:val="00504EB9"/>
    <w:rsid w:val="005112F8"/>
    <w:rsid w:val="00511C0C"/>
    <w:rsid w:val="005129D1"/>
    <w:rsid w:val="00521DFC"/>
    <w:rsid w:val="00522D83"/>
    <w:rsid w:val="005230E9"/>
    <w:rsid w:val="00524429"/>
    <w:rsid w:val="00526878"/>
    <w:rsid w:val="00536912"/>
    <w:rsid w:val="0054015A"/>
    <w:rsid w:val="00544042"/>
    <w:rsid w:val="00550FE0"/>
    <w:rsid w:val="0055246C"/>
    <w:rsid w:val="005534DF"/>
    <w:rsid w:val="00555C4C"/>
    <w:rsid w:val="0056385D"/>
    <w:rsid w:val="00567C32"/>
    <w:rsid w:val="005714E8"/>
    <w:rsid w:val="005726B5"/>
    <w:rsid w:val="005807C6"/>
    <w:rsid w:val="00580920"/>
    <w:rsid w:val="00582048"/>
    <w:rsid w:val="00584AFF"/>
    <w:rsid w:val="00597BF4"/>
    <w:rsid w:val="005A0EB7"/>
    <w:rsid w:val="005A2A70"/>
    <w:rsid w:val="005A59C4"/>
    <w:rsid w:val="005B3806"/>
    <w:rsid w:val="005B4EEC"/>
    <w:rsid w:val="005C6A5B"/>
    <w:rsid w:val="005D1ADE"/>
    <w:rsid w:val="005D5B9C"/>
    <w:rsid w:val="005E71E7"/>
    <w:rsid w:val="005F3638"/>
    <w:rsid w:val="005F4EA8"/>
    <w:rsid w:val="00602492"/>
    <w:rsid w:val="00611F0D"/>
    <w:rsid w:val="00613AFA"/>
    <w:rsid w:val="00617E5A"/>
    <w:rsid w:val="0062000D"/>
    <w:rsid w:val="0062220F"/>
    <w:rsid w:val="006223E3"/>
    <w:rsid w:val="006269A0"/>
    <w:rsid w:val="00626B37"/>
    <w:rsid w:val="00634953"/>
    <w:rsid w:val="00635808"/>
    <w:rsid w:val="00637125"/>
    <w:rsid w:val="006416FB"/>
    <w:rsid w:val="00641726"/>
    <w:rsid w:val="00642C39"/>
    <w:rsid w:val="00643CCC"/>
    <w:rsid w:val="00644154"/>
    <w:rsid w:val="00644182"/>
    <w:rsid w:val="00645DCF"/>
    <w:rsid w:val="006517A8"/>
    <w:rsid w:val="00653C88"/>
    <w:rsid w:val="00663136"/>
    <w:rsid w:val="006655FD"/>
    <w:rsid w:val="00665CCA"/>
    <w:rsid w:val="00665EC4"/>
    <w:rsid w:val="006663AF"/>
    <w:rsid w:val="006702B0"/>
    <w:rsid w:val="006708AA"/>
    <w:rsid w:val="00672A0A"/>
    <w:rsid w:val="00673B52"/>
    <w:rsid w:val="00673CBD"/>
    <w:rsid w:val="006768DE"/>
    <w:rsid w:val="00677988"/>
    <w:rsid w:val="00680CE7"/>
    <w:rsid w:val="00683089"/>
    <w:rsid w:val="0068577F"/>
    <w:rsid w:val="00690EEE"/>
    <w:rsid w:val="00693C1C"/>
    <w:rsid w:val="00693FC8"/>
    <w:rsid w:val="00696C9A"/>
    <w:rsid w:val="006A055C"/>
    <w:rsid w:val="006A4E42"/>
    <w:rsid w:val="006B5327"/>
    <w:rsid w:val="006C01B7"/>
    <w:rsid w:val="006C562B"/>
    <w:rsid w:val="006C7135"/>
    <w:rsid w:val="006D79DD"/>
    <w:rsid w:val="006E15EA"/>
    <w:rsid w:val="006E2C59"/>
    <w:rsid w:val="006E3A85"/>
    <w:rsid w:val="006E62E7"/>
    <w:rsid w:val="006E76F5"/>
    <w:rsid w:val="006F31B1"/>
    <w:rsid w:val="006F56E5"/>
    <w:rsid w:val="006F5FD7"/>
    <w:rsid w:val="006F5FF0"/>
    <w:rsid w:val="006F724B"/>
    <w:rsid w:val="00702294"/>
    <w:rsid w:val="00707694"/>
    <w:rsid w:val="0071172B"/>
    <w:rsid w:val="00711819"/>
    <w:rsid w:val="0071196C"/>
    <w:rsid w:val="00714A8C"/>
    <w:rsid w:val="0071670B"/>
    <w:rsid w:val="00716C5C"/>
    <w:rsid w:val="00720314"/>
    <w:rsid w:val="007231C7"/>
    <w:rsid w:val="007248C6"/>
    <w:rsid w:val="00746E3D"/>
    <w:rsid w:val="0074794B"/>
    <w:rsid w:val="007518A2"/>
    <w:rsid w:val="007520EC"/>
    <w:rsid w:val="0075442F"/>
    <w:rsid w:val="00760422"/>
    <w:rsid w:val="00763CC5"/>
    <w:rsid w:val="007711A4"/>
    <w:rsid w:val="007711EB"/>
    <w:rsid w:val="00771CE7"/>
    <w:rsid w:val="0077549A"/>
    <w:rsid w:val="00784E06"/>
    <w:rsid w:val="00785B41"/>
    <w:rsid w:val="00787D2E"/>
    <w:rsid w:val="00791039"/>
    <w:rsid w:val="0079149F"/>
    <w:rsid w:val="00791FAA"/>
    <w:rsid w:val="0079559A"/>
    <w:rsid w:val="0079657A"/>
    <w:rsid w:val="007968CA"/>
    <w:rsid w:val="007A10C9"/>
    <w:rsid w:val="007A1225"/>
    <w:rsid w:val="007A3152"/>
    <w:rsid w:val="007A5C6E"/>
    <w:rsid w:val="007C062D"/>
    <w:rsid w:val="007C2361"/>
    <w:rsid w:val="007C2F33"/>
    <w:rsid w:val="007C4500"/>
    <w:rsid w:val="007C77E0"/>
    <w:rsid w:val="007D217F"/>
    <w:rsid w:val="007D3C7D"/>
    <w:rsid w:val="007D4348"/>
    <w:rsid w:val="007E209B"/>
    <w:rsid w:val="007E3833"/>
    <w:rsid w:val="007F36A7"/>
    <w:rsid w:val="007F36AD"/>
    <w:rsid w:val="007F6503"/>
    <w:rsid w:val="007F671A"/>
    <w:rsid w:val="00802A48"/>
    <w:rsid w:val="00810129"/>
    <w:rsid w:val="00814CA5"/>
    <w:rsid w:val="00822CA8"/>
    <w:rsid w:val="00824873"/>
    <w:rsid w:val="00825CE3"/>
    <w:rsid w:val="00831829"/>
    <w:rsid w:val="00834B0F"/>
    <w:rsid w:val="0083649F"/>
    <w:rsid w:val="00837C71"/>
    <w:rsid w:val="00840B9C"/>
    <w:rsid w:val="0084412E"/>
    <w:rsid w:val="0084716B"/>
    <w:rsid w:val="008563BC"/>
    <w:rsid w:val="00860590"/>
    <w:rsid w:val="00861623"/>
    <w:rsid w:val="008640EB"/>
    <w:rsid w:val="00864415"/>
    <w:rsid w:val="008659E4"/>
    <w:rsid w:val="00867910"/>
    <w:rsid w:val="00872413"/>
    <w:rsid w:val="0087445B"/>
    <w:rsid w:val="00875ABB"/>
    <w:rsid w:val="00876977"/>
    <w:rsid w:val="00880318"/>
    <w:rsid w:val="0088044A"/>
    <w:rsid w:val="00880D53"/>
    <w:rsid w:val="00883078"/>
    <w:rsid w:val="00883D34"/>
    <w:rsid w:val="00890C31"/>
    <w:rsid w:val="008912E2"/>
    <w:rsid w:val="00893673"/>
    <w:rsid w:val="00897376"/>
    <w:rsid w:val="008A5633"/>
    <w:rsid w:val="008A7ABE"/>
    <w:rsid w:val="008A7DFE"/>
    <w:rsid w:val="008B0D69"/>
    <w:rsid w:val="008B610F"/>
    <w:rsid w:val="008D469C"/>
    <w:rsid w:val="008D46E9"/>
    <w:rsid w:val="008D59F9"/>
    <w:rsid w:val="008E499E"/>
    <w:rsid w:val="008E4F2C"/>
    <w:rsid w:val="008E59C9"/>
    <w:rsid w:val="008E6AF0"/>
    <w:rsid w:val="008F7D7A"/>
    <w:rsid w:val="009009CB"/>
    <w:rsid w:val="00900AB5"/>
    <w:rsid w:val="0090303F"/>
    <w:rsid w:val="00911203"/>
    <w:rsid w:val="00912F56"/>
    <w:rsid w:val="00914BF0"/>
    <w:rsid w:val="009164CD"/>
    <w:rsid w:val="00917C01"/>
    <w:rsid w:val="0092380B"/>
    <w:rsid w:val="00931097"/>
    <w:rsid w:val="009372E0"/>
    <w:rsid w:val="00943269"/>
    <w:rsid w:val="00950322"/>
    <w:rsid w:val="00950861"/>
    <w:rsid w:val="00957F54"/>
    <w:rsid w:val="009647C2"/>
    <w:rsid w:val="009652F8"/>
    <w:rsid w:val="00965CD6"/>
    <w:rsid w:val="00977064"/>
    <w:rsid w:val="00982C82"/>
    <w:rsid w:val="0099133E"/>
    <w:rsid w:val="009958A3"/>
    <w:rsid w:val="00997409"/>
    <w:rsid w:val="009A6354"/>
    <w:rsid w:val="009A7966"/>
    <w:rsid w:val="009B2C28"/>
    <w:rsid w:val="009C2A39"/>
    <w:rsid w:val="009D0FD5"/>
    <w:rsid w:val="009D24FE"/>
    <w:rsid w:val="009E2882"/>
    <w:rsid w:val="009E2D41"/>
    <w:rsid w:val="009E3719"/>
    <w:rsid w:val="009E47EA"/>
    <w:rsid w:val="009E4877"/>
    <w:rsid w:val="009E731F"/>
    <w:rsid w:val="009E764B"/>
    <w:rsid w:val="009F1664"/>
    <w:rsid w:val="009F4C9B"/>
    <w:rsid w:val="009F66DA"/>
    <w:rsid w:val="00A0247F"/>
    <w:rsid w:val="00A044B7"/>
    <w:rsid w:val="00A05F04"/>
    <w:rsid w:val="00A10774"/>
    <w:rsid w:val="00A112B0"/>
    <w:rsid w:val="00A13708"/>
    <w:rsid w:val="00A21987"/>
    <w:rsid w:val="00A23CC3"/>
    <w:rsid w:val="00A27E35"/>
    <w:rsid w:val="00A40B2A"/>
    <w:rsid w:val="00A531BC"/>
    <w:rsid w:val="00A53D58"/>
    <w:rsid w:val="00A5649C"/>
    <w:rsid w:val="00A60125"/>
    <w:rsid w:val="00A602D0"/>
    <w:rsid w:val="00A635AF"/>
    <w:rsid w:val="00A65212"/>
    <w:rsid w:val="00A71E51"/>
    <w:rsid w:val="00A72A16"/>
    <w:rsid w:val="00A72B2A"/>
    <w:rsid w:val="00A7495D"/>
    <w:rsid w:val="00A82883"/>
    <w:rsid w:val="00A828A9"/>
    <w:rsid w:val="00A83B7B"/>
    <w:rsid w:val="00A87AD6"/>
    <w:rsid w:val="00A94C44"/>
    <w:rsid w:val="00A950A5"/>
    <w:rsid w:val="00A95C6F"/>
    <w:rsid w:val="00A95F91"/>
    <w:rsid w:val="00AA7EA1"/>
    <w:rsid w:val="00AB1FBA"/>
    <w:rsid w:val="00AB2DF0"/>
    <w:rsid w:val="00AB446B"/>
    <w:rsid w:val="00AC22D7"/>
    <w:rsid w:val="00AC5F68"/>
    <w:rsid w:val="00AD2E0D"/>
    <w:rsid w:val="00AD3A77"/>
    <w:rsid w:val="00AD7C68"/>
    <w:rsid w:val="00AE35A2"/>
    <w:rsid w:val="00AE6FF9"/>
    <w:rsid w:val="00AE730B"/>
    <w:rsid w:val="00AF1D2C"/>
    <w:rsid w:val="00AF3C7C"/>
    <w:rsid w:val="00B002D6"/>
    <w:rsid w:val="00B00F38"/>
    <w:rsid w:val="00B054A3"/>
    <w:rsid w:val="00B06C28"/>
    <w:rsid w:val="00B100A0"/>
    <w:rsid w:val="00B11026"/>
    <w:rsid w:val="00B1256D"/>
    <w:rsid w:val="00B14E55"/>
    <w:rsid w:val="00B17FE4"/>
    <w:rsid w:val="00B403D3"/>
    <w:rsid w:val="00B41B2B"/>
    <w:rsid w:val="00B4598C"/>
    <w:rsid w:val="00B463BD"/>
    <w:rsid w:val="00B47CCE"/>
    <w:rsid w:val="00B5071D"/>
    <w:rsid w:val="00B5468E"/>
    <w:rsid w:val="00B558AA"/>
    <w:rsid w:val="00B56542"/>
    <w:rsid w:val="00B568BC"/>
    <w:rsid w:val="00B655BC"/>
    <w:rsid w:val="00B67916"/>
    <w:rsid w:val="00B707D8"/>
    <w:rsid w:val="00B7402B"/>
    <w:rsid w:val="00B741D7"/>
    <w:rsid w:val="00B825D9"/>
    <w:rsid w:val="00B84D3A"/>
    <w:rsid w:val="00B86602"/>
    <w:rsid w:val="00B9075D"/>
    <w:rsid w:val="00B92222"/>
    <w:rsid w:val="00B9232E"/>
    <w:rsid w:val="00BB0022"/>
    <w:rsid w:val="00BB114F"/>
    <w:rsid w:val="00BB1F45"/>
    <w:rsid w:val="00BB2EE2"/>
    <w:rsid w:val="00BC3024"/>
    <w:rsid w:val="00BD595D"/>
    <w:rsid w:val="00BD5D24"/>
    <w:rsid w:val="00BF246F"/>
    <w:rsid w:val="00C01173"/>
    <w:rsid w:val="00C01BD1"/>
    <w:rsid w:val="00C076E3"/>
    <w:rsid w:val="00C077F4"/>
    <w:rsid w:val="00C07EA1"/>
    <w:rsid w:val="00C125F1"/>
    <w:rsid w:val="00C12B54"/>
    <w:rsid w:val="00C135EB"/>
    <w:rsid w:val="00C15F7E"/>
    <w:rsid w:val="00C161F8"/>
    <w:rsid w:val="00C22997"/>
    <w:rsid w:val="00C27D8E"/>
    <w:rsid w:val="00C30188"/>
    <w:rsid w:val="00C3578A"/>
    <w:rsid w:val="00C46ACF"/>
    <w:rsid w:val="00C477D9"/>
    <w:rsid w:val="00C50FF2"/>
    <w:rsid w:val="00C5595B"/>
    <w:rsid w:val="00C632A7"/>
    <w:rsid w:val="00C63A7D"/>
    <w:rsid w:val="00C7679E"/>
    <w:rsid w:val="00C77AA7"/>
    <w:rsid w:val="00C80A50"/>
    <w:rsid w:val="00C8344E"/>
    <w:rsid w:val="00C84575"/>
    <w:rsid w:val="00C86837"/>
    <w:rsid w:val="00C92CEC"/>
    <w:rsid w:val="00C94260"/>
    <w:rsid w:val="00C96174"/>
    <w:rsid w:val="00C967B9"/>
    <w:rsid w:val="00CA09CE"/>
    <w:rsid w:val="00CA27F4"/>
    <w:rsid w:val="00CA611D"/>
    <w:rsid w:val="00CA6A91"/>
    <w:rsid w:val="00CB188C"/>
    <w:rsid w:val="00CB32B5"/>
    <w:rsid w:val="00CB3B35"/>
    <w:rsid w:val="00CB3FE9"/>
    <w:rsid w:val="00CB62E8"/>
    <w:rsid w:val="00CB733D"/>
    <w:rsid w:val="00CC3DE9"/>
    <w:rsid w:val="00CC4764"/>
    <w:rsid w:val="00CC76F7"/>
    <w:rsid w:val="00CD28EB"/>
    <w:rsid w:val="00CE2319"/>
    <w:rsid w:val="00CE4091"/>
    <w:rsid w:val="00CE4C4F"/>
    <w:rsid w:val="00CE627F"/>
    <w:rsid w:val="00CE794F"/>
    <w:rsid w:val="00CF5A56"/>
    <w:rsid w:val="00CF7044"/>
    <w:rsid w:val="00D02A3B"/>
    <w:rsid w:val="00D039B8"/>
    <w:rsid w:val="00D0473C"/>
    <w:rsid w:val="00D21277"/>
    <w:rsid w:val="00D25943"/>
    <w:rsid w:val="00D25BE6"/>
    <w:rsid w:val="00D36E58"/>
    <w:rsid w:val="00D46B8B"/>
    <w:rsid w:val="00D5214B"/>
    <w:rsid w:val="00D57677"/>
    <w:rsid w:val="00D62496"/>
    <w:rsid w:val="00D64F13"/>
    <w:rsid w:val="00D6538A"/>
    <w:rsid w:val="00D65AE8"/>
    <w:rsid w:val="00D71C9E"/>
    <w:rsid w:val="00D71FBE"/>
    <w:rsid w:val="00D7651C"/>
    <w:rsid w:val="00D76530"/>
    <w:rsid w:val="00D92CB7"/>
    <w:rsid w:val="00D93401"/>
    <w:rsid w:val="00D9716D"/>
    <w:rsid w:val="00DA1BFD"/>
    <w:rsid w:val="00DA4F6B"/>
    <w:rsid w:val="00DB5133"/>
    <w:rsid w:val="00DB6614"/>
    <w:rsid w:val="00DC05BD"/>
    <w:rsid w:val="00DC106C"/>
    <w:rsid w:val="00DC19C7"/>
    <w:rsid w:val="00DC690B"/>
    <w:rsid w:val="00DC7696"/>
    <w:rsid w:val="00DD3994"/>
    <w:rsid w:val="00DD47D0"/>
    <w:rsid w:val="00DD5063"/>
    <w:rsid w:val="00DE4890"/>
    <w:rsid w:val="00DE7C41"/>
    <w:rsid w:val="00DF049A"/>
    <w:rsid w:val="00DF1A2D"/>
    <w:rsid w:val="00DF5252"/>
    <w:rsid w:val="00E002D5"/>
    <w:rsid w:val="00E011A9"/>
    <w:rsid w:val="00E039AB"/>
    <w:rsid w:val="00E11C04"/>
    <w:rsid w:val="00E1203D"/>
    <w:rsid w:val="00E15779"/>
    <w:rsid w:val="00E17FCF"/>
    <w:rsid w:val="00E26077"/>
    <w:rsid w:val="00E27781"/>
    <w:rsid w:val="00E314FC"/>
    <w:rsid w:val="00E32487"/>
    <w:rsid w:val="00E33D79"/>
    <w:rsid w:val="00E36867"/>
    <w:rsid w:val="00E3783B"/>
    <w:rsid w:val="00E43EE0"/>
    <w:rsid w:val="00E43FD4"/>
    <w:rsid w:val="00E460EF"/>
    <w:rsid w:val="00E505C2"/>
    <w:rsid w:val="00E51235"/>
    <w:rsid w:val="00E53251"/>
    <w:rsid w:val="00E7002D"/>
    <w:rsid w:val="00E731CB"/>
    <w:rsid w:val="00E80F6C"/>
    <w:rsid w:val="00E8478C"/>
    <w:rsid w:val="00E859A2"/>
    <w:rsid w:val="00E92458"/>
    <w:rsid w:val="00E96DD7"/>
    <w:rsid w:val="00EA08D0"/>
    <w:rsid w:val="00EA37EB"/>
    <w:rsid w:val="00EA65B5"/>
    <w:rsid w:val="00EA6B57"/>
    <w:rsid w:val="00EA6E49"/>
    <w:rsid w:val="00EB25AD"/>
    <w:rsid w:val="00EB5633"/>
    <w:rsid w:val="00EC4312"/>
    <w:rsid w:val="00EC5541"/>
    <w:rsid w:val="00ED498D"/>
    <w:rsid w:val="00ED5D3B"/>
    <w:rsid w:val="00ED7D72"/>
    <w:rsid w:val="00EE1869"/>
    <w:rsid w:val="00EE6FFF"/>
    <w:rsid w:val="00F01491"/>
    <w:rsid w:val="00F05E8C"/>
    <w:rsid w:val="00F07D81"/>
    <w:rsid w:val="00F103EB"/>
    <w:rsid w:val="00F15913"/>
    <w:rsid w:val="00F16BC7"/>
    <w:rsid w:val="00F16EBC"/>
    <w:rsid w:val="00F173BA"/>
    <w:rsid w:val="00F2214F"/>
    <w:rsid w:val="00F235EF"/>
    <w:rsid w:val="00F33F35"/>
    <w:rsid w:val="00F34069"/>
    <w:rsid w:val="00F3441A"/>
    <w:rsid w:val="00F463DB"/>
    <w:rsid w:val="00F50E5C"/>
    <w:rsid w:val="00F5132E"/>
    <w:rsid w:val="00F536C8"/>
    <w:rsid w:val="00F5625A"/>
    <w:rsid w:val="00F56419"/>
    <w:rsid w:val="00F65163"/>
    <w:rsid w:val="00F66446"/>
    <w:rsid w:val="00F80846"/>
    <w:rsid w:val="00F82617"/>
    <w:rsid w:val="00F857A7"/>
    <w:rsid w:val="00F857B9"/>
    <w:rsid w:val="00F87A67"/>
    <w:rsid w:val="00F905E1"/>
    <w:rsid w:val="00F92364"/>
    <w:rsid w:val="00F92E23"/>
    <w:rsid w:val="00F93C95"/>
    <w:rsid w:val="00F963CA"/>
    <w:rsid w:val="00F96BB7"/>
    <w:rsid w:val="00F97EA2"/>
    <w:rsid w:val="00FA11BE"/>
    <w:rsid w:val="00FA1DD7"/>
    <w:rsid w:val="00FA6004"/>
    <w:rsid w:val="00FA61C9"/>
    <w:rsid w:val="00FA6449"/>
    <w:rsid w:val="00FA6D36"/>
    <w:rsid w:val="00FA7AB0"/>
    <w:rsid w:val="00FB07D6"/>
    <w:rsid w:val="00FB3095"/>
    <w:rsid w:val="00FB5482"/>
    <w:rsid w:val="00FB5758"/>
    <w:rsid w:val="00FB6413"/>
    <w:rsid w:val="00FC1354"/>
    <w:rsid w:val="00FD3504"/>
    <w:rsid w:val="00FD4E83"/>
    <w:rsid w:val="00FE11E5"/>
    <w:rsid w:val="00FE3FD4"/>
    <w:rsid w:val="00FE5794"/>
    <w:rsid w:val="00FE5BA9"/>
    <w:rsid w:val="00FE66BF"/>
    <w:rsid w:val="00FE7B24"/>
    <w:rsid w:val="00FF1674"/>
    <w:rsid w:val="00FF5A9E"/>
    <w:rsid w:val="018770AC"/>
    <w:rsid w:val="024B6CB3"/>
    <w:rsid w:val="02D71FE5"/>
    <w:rsid w:val="034D7218"/>
    <w:rsid w:val="03592983"/>
    <w:rsid w:val="03684DBC"/>
    <w:rsid w:val="039D11D4"/>
    <w:rsid w:val="03E7094F"/>
    <w:rsid w:val="042516A2"/>
    <w:rsid w:val="044B0D6A"/>
    <w:rsid w:val="04627993"/>
    <w:rsid w:val="05397C6B"/>
    <w:rsid w:val="05901F20"/>
    <w:rsid w:val="07060BED"/>
    <w:rsid w:val="07526B6C"/>
    <w:rsid w:val="07533BDD"/>
    <w:rsid w:val="0757098F"/>
    <w:rsid w:val="07BC3B02"/>
    <w:rsid w:val="08340142"/>
    <w:rsid w:val="08621826"/>
    <w:rsid w:val="09673CB3"/>
    <w:rsid w:val="0B9E4F8A"/>
    <w:rsid w:val="0BFF3338"/>
    <w:rsid w:val="0D0E5804"/>
    <w:rsid w:val="0D4D65BC"/>
    <w:rsid w:val="0D8A5A39"/>
    <w:rsid w:val="0E012B03"/>
    <w:rsid w:val="0EC65EF9"/>
    <w:rsid w:val="0EF874B5"/>
    <w:rsid w:val="0EFA6BCE"/>
    <w:rsid w:val="0F263374"/>
    <w:rsid w:val="0F441251"/>
    <w:rsid w:val="0FBA3548"/>
    <w:rsid w:val="0FD12A57"/>
    <w:rsid w:val="11A03D28"/>
    <w:rsid w:val="11F753F3"/>
    <w:rsid w:val="120334F6"/>
    <w:rsid w:val="12137731"/>
    <w:rsid w:val="1257054C"/>
    <w:rsid w:val="12C43A99"/>
    <w:rsid w:val="135A2020"/>
    <w:rsid w:val="13C21A79"/>
    <w:rsid w:val="14007C85"/>
    <w:rsid w:val="14453314"/>
    <w:rsid w:val="15DF534F"/>
    <w:rsid w:val="160B4050"/>
    <w:rsid w:val="16690EDC"/>
    <w:rsid w:val="16C66A2A"/>
    <w:rsid w:val="17456BA0"/>
    <w:rsid w:val="17A04059"/>
    <w:rsid w:val="18A46FC2"/>
    <w:rsid w:val="190A76D0"/>
    <w:rsid w:val="1A5E435C"/>
    <w:rsid w:val="1B032910"/>
    <w:rsid w:val="1B3F2867"/>
    <w:rsid w:val="1B823306"/>
    <w:rsid w:val="1B912531"/>
    <w:rsid w:val="1BBB291C"/>
    <w:rsid w:val="1CEF3E0F"/>
    <w:rsid w:val="1CEF47A8"/>
    <w:rsid w:val="1D096F50"/>
    <w:rsid w:val="1D481C63"/>
    <w:rsid w:val="1DFE4AC7"/>
    <w:rsid w:val="1E1C5AC9"/>
    <w:rsid w:val="1E2C709F"/>
    <w:rsid w:val="1E672640"/>
    <w:rsid w:val="1F0D257E"/>
    <w:rsid w:val="1F907FAA"/>
    <w:rsid w:val="1FA371CB"/>
    <w:rsid w:val="202C47D2"/>
    <w:rsid w:val="20497570"/>
    <w:rsid w:val="20F72563"/>
    <w:rsid w:val="21422B2A"/>
    <w:rsid w:val="22183A22"/>
    <w:rsid w:val="22323165"/>
    <w:rsid w:val="22B06DED"/>
    <w:rsid w:val="22CC403C"/>
    <w:rsid w:val="23560D36"/>
    <w:rsid w:val="239C6C55"/>
    <w:rsid w:val="24292B13"/>
    <w:rsid w:val="245371C2"/>
    <w:rsid w:val="2491457C"/>
    <w:rsid w:val="25423154"/>
    <w:rsid w:val="25F2768E"/>
    <w:rsid w:val="26B8301D"/>
    <w:rsid w:val="26D76C5B"/>
    <w:rsid w:val="27C823A3"/>
    <w:rsid w:val="280B1C10"/>
    <w:rsid w:val="284006BB"/>
    <w:rsid w:val="295A38A9"/>
    <w:rsid w:val="296E5F02"/>
    <w:rsid w:val="29B16815"/>
    <w:rsid w:val="29D947B0"/>
    <w:rsid w:val="2B4D2282"/>
    <w:rsid w:val="2B792F49"/>
    <w:rsid w:val="2B8625C8"/>
    <w:rsid w:val="2B8F0A1E"/>
    <w:rsid w:val="2BFF047A"/>
    <w:rsid w:val="2C41788F"/>
    <w:rsid w:val="2C635377"/>
    <w:rsid w:val="2C652A91"/>
    <w:rsid w:val="2CE729A2"/>
    <w:rsid w:val="2D8E3A8D"/>
    <w:rsid w:val="2DC24EBB"/>
    <w:rsid w:val="2E0300F5"/>
    <w:rsid w:val="2E16771F"/>
    <w:rsid w:val="2E6216FE"/>
    <w:rsid w:val="2EE463DB"/>
    <w:rsid w:val="2F460DDC"/>
    <w:rsid w:val="30B45A57"/>
    <w:rsid w:val="32761552"/>
    <w:rsid w:val="330B1BEF"/>
    <w:rsid w:val="338C377A"/>
    <w:rsid w:val="33E57D49"/>
    <w:rsid w:val="34480C1C"/>
    <w:rsid w:val="34DE0C1D"/>
    <w:rsid w:val="352A76ED"/>
    <w:rsid w:val="355E1EC8"/>
    <w:rsid w:val="35B74605"/>
    <w:rsid w:val="361A18E9"/>
    <w:rsid w:val="36436486"/>
    <w:rsid w:val="367650CF"/>
    <w:rsid w:val="37547553"/>
    <w:rsid w:val="37741B61"/>
    <w:rsid w:val="377F4AA4"/>
    <w:rsid w:val="381A7A0E"/>
    <w:rsid w:val="38273BA3"/>
    <w:rsid w:val="382F3F8B"/>
    <w:rsid w:val="38991109"/>
    <w:rsid w:val="3986232A"/>
    <w:rsid w:val="39912ED3"/>
    <w:rsid w:val="3C1055F3"/>
    <w:rsid w:val="3C207648"/>
    <w:rsid w:val="3C2734FD"/>
    <w:rsid w:val="3C39140E"/>
    <w:rsid w:val="3CE83290"/>
    <w:rsid w:val="3D457AC9"/>
    <w:rsid w:val="3D6244A9"/>
    <w:rsid w:val="3D633C22"/>
    <w:rsid w:val="3F303A98"/>
    <w:rsid w:val="3F344B04"/>
    <w:rsid w:val="3FFE75BC"/>
    <w:rsid w:val="401B624A"/>
    <w:rsid w:val="414308FB"/>
    <w:rsid w:val="420B4F90"/>
    <w:rsid w:val="42E421FD"/>
    <w:rsid w:val="430B4A71"/>
    <w:rsid w:val="445069B5"/>
    <w:rsid w:val="44FA28C0"/>
    <w:rsid w:val="456372D0"/>
    <w:rsid w:val="45764E7F"/>
    <w:rsid w:val="457E698F"/>
    <w:rsid w:val="462B7E85"/>
    <w:rsid w:val="46EB3929"/>
    <w:rsid w:val="491D70BF"/>
    <w:rsid w:val="492D09F7"/>
    <w:rsid w:val="4956716E"/>
    <w:rsid w:val="499445EE"/>
    <w:rsid w:val="49B15326"/>
    <w:rsid w:val="4B356087"/>
    <w:rsid w:val="4BFA33B8"/>
    <w:rsid w:val="4C0C1A5B"/>
    <w:rsid w:val="4C3D101F"/>
    <w:rsid w:val="4C982BDF"/>
    <w:rsid w:val="4CC610A6"/>
    <w:rsid w:val="4DE73A98"/>
    <w:rsid w:val="4F5C302C"/>
    <w:rsid w:val="506E499B"/>
    <w:rsid w:val="50787C5F"/>
    <w:rsid w:val="5098428C"/>
    <w:rsid w:val="50E63BED"/>
    <w:rsid w:val="5123570B"/>
    <w:rsid w:val="519E2F76"/>
    <w:rsid w:val="51C46301"/>
    <w:rsid w:val="51F47E1D"/>
    <w:rsid w:val="521D1A38"/>
    <w:rsid w:val="528751BC"/>
    <w:rsid w:val="532F287D"/>
    <w:rsid w:val="534D54A9"/>
    <w:rsid w:val="536E2D4A"/>
    <w:rsid w:val="54394D57"/>
    <w:rsid w:val="558771FE"/>
    <w:rsid w:val="578F13F0"/>
    <w:rsid w:val="58700AE4"/>
    <w:rsid w:val="592C7374"/>
    <w:rsid w:val="592D101C"/>
    <w:rsid w:val="598E18FE"/>
    <w:rsid w:val="59FC424E"/>
    <w:rsid w:val="5A194AF9"/>
    <w:rsid w:val="5B154104"/>
    <w:rsid w:val="5B941A9F"/>
    <w:rsid w:val="5BBF6AD4"/>
    <w:rsid w:val="5BD05BAB"/>
    <w:rsid w:val="5C3734FC"/>
    <w:rsid w:val="5D341789"/>
    <w:rsid w:val="5DCD28A7"/>
    <w:rsid w:val="5F1B5D07"/>
    <w:rsid w:val="5F5B79EA"/>
    <w:rsid w:val="5FE351F9"/>
    <w:rsid w:val="600922A6"/>
    <w:rsid w:val="605B57A2"/>
    <w:rsid w:val="60986E34"/>
    <w:rsid w:val="6102565D"/>
    <w:rsid w:val="619748B2"/>
    <w:rsid w:val="62A379F4"/>
    <w:rsid w:val="638D4F5D"/>
    <w:rsid w:val="640B1385"/>
    <w:rsid w:val="64A3026C"/>
    <w:rsid w:val="650E3742"/>
    <w:rsid w:val="65A05382"/>
    <w:rsid w:val="674955A4"/>
    <w:rsid w:val="68682EB7"/>
    <w:rsid w:val="68B7548E"/>
    <w:rsid w:val="69725E97"/>
    <w:rsid w:val="69835755"/>
    <w:rsid w:val="69E47343"/>
    <w:rsid w:val="6D221280"/>
    <w:rsid w:val="6D9515B6"/>
    <w:rsid w:val="6DF02B61"/>
    <w:rsid w:val="6E0458EB"/>
    <w:rsid w:val="6E9110C6"/>
    <w:rsid w:val="6FB83D8B"/>
    <w:rsid w:val="6FEF7796"/>
    <w:rsid w:val="6FFD60FB"/>
    <w:rsid w:val="701D5C73"/>
    <w:rsid w:val="720F5EE6"/>
    <w:rsid w:val="72230B26"/>
    <w:rsid w:val="72D01FBF"/>
    <w:rsid w:val="736A2941"/>
    <w:rsid w:val="73BF61B1"/>
    <w:rsid w:val="74377B1B"/>
    <w:rsid w:val="75451541"/>
    <w:rsid w:val="76C36D3B"/>
    <w:rsid w:val="76FF74BF"/>
    <w:rsid w:val="78EE4FAF"/>
    <w:rsid w:val="7C011347"/>
    <w:rsid w:val="7C245C45"/>
    <w:rsid w:val="7E9B4817"/>
    <w:rsid w:val="7EB32D71"/>
    <w:rsid w:val="7EC4033A"/>
    <w:rsid w:val="7EEF18F4"/>
    <w:rsid w:val="7F3728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iPriority="99" w:semiHidden="0"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iPriority="99" w:semiHidden="0"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3"/>
    <w:qFormat/>
    <w:uiPriority w:val="99"/>
    <w:pPr>
      <w:keepNext/>
      <w:keepLines/>
      <w:spacing w:before="240" w:after="240" w:line="360" w:lineRule="auto"/>
      <w:jc w:val="center"/>
      <w:outlineLvl w:val="0"/>
    </w:pPr>
    <w:rPr>
      <w:rFonts w:ascii="Times New Roman" w:hAnsi="Times New Roman"/>
      <w:b/>
      <w:bCs/>
      <w:kern w:val="44"/>
      <w:sz w:val="32"/>
      <w:szCs w:val="44"/>
    </w:rPr>
  </w:style>
  <w:style w:type="paragraph" w:styleId="3">
    <w:name w:val="heading 2"/>
    <w:basedOn w:val="1"/>
    <w:next w:val="1"/>
    <w:link w:val="34"/>
    <w:qFormat/>
    <w:uiPriority w:val="99"/>
    <w:pPr>
      <w:keepNext/>
      <w:keepLines/>
      <w:spacing w:before="120" w:after="120" w:line="360" w:lineRule="auto"/>
      <w:outlineLvl w:val="1"/>
    </w:pPr>
    <w:rPr>
      <w:rFonts w:ascii="Arial" w:hAnsi="Arial"/>
      <w:b/>
      <w:bCs/>
      <w:sz w:val="24"/>
      <w:szCs w:val="32"/>
    </w:rPr>
  </w:style>
  <w:style w:type="paragraph" w:styleId="4">
    <w:name w:val="heading 3"/>
    <w:basedOn w:val="1"/>
    <w:next w:val="1"/>
    <w:link w:val="35"/>
    <w:qFormat/>
    <w:uiPriority w:val="99"/>
    <w:pPr>
      <w:keepNext/>
      <w:keepLines/>
      <w:spacing w:before="260" w:after="260" w:line="415" w:lineRule="auto"/>
      <w:outlineLvl w:val="2"/>
    </w:pPr>
    <w:rPr>
      <w:rFonts w:ascii="Times New Roman" w:hAnsi="Times New Roman"/>
      <w:b/>
      <w:bCs/>
      <w:sz w:val="32"/>
      <w:szCs w:val="32"/>
    </w:rPr>
  </w:style>
  <w:style w:type="paragraph" w:styleId="5">
    <w:name w:val="heading 4"/>
    <w:basedOn w:val="1"/>
    <w:next w:val="1"/>
    <w:link w:val="36"/>
    <w:qFormat/>
    <w:uiPriority w:val="99"/>
    <w:pPr>
      <w:keepNext/>
      <w:keepLines/>
      <w:spacing w:before="280" w:after="290" w:line="376" w:lineRule="auto"/>
      <w:outlineLvl w:val="3"/>
    </w:pPr>
    <w:rPr>
      <w:rFonts w:ascii="Arial" w:hAnsi="Arial" w:eastAsia="黑体"/>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6">
    <w:name w:val="toc 7"/>
    <w:basedOn w:val="1"/>
    <w:next w:val="1"/>
    <w:qFormat/>
    <w:uiPriority w:val="99"/>
    <w:pPr>
      <w:ind w:left="2520" w:leftChars="1200"/>
    </w:pPr>
  </w:style>
  <w:style w:type="paragraph" w:styleId="7">
    <w:name w:val="Document Map"/>
    <w:basedOn w:val="1"/>
    <w:link w:val="56"/>
    <w:semiHidden/>
    <w:qFormat/>
    <w:uiPriority w:val="99"/>
    <w:pPr>
      <w:shd w:val="clear" w:color="auto" w:fill="000080"/>
    </w:pPr>
    <w:rPr>
      <w:rFonts w:ascii="Times New Roman" w:hAnsi="Times New Roman"/>
      <w:szCs w:val="24"/>
    </w:rPr>
  </w:style>
  <w:style w:type="paragraph" w:styleId="8">
    <w:name w:val="annotation text"/>
    <w:basedOn w:val="1"/>
    <w:link w:val="57"/>
    <w:qFormat/>
    <w:uiPriority w:val="99"/>
    <w:pPr>
      <w:jc w:val="left"/>
    </w:pPr>
    <w:rPr>
      <w:rFonts w:ascii="Times New Roman" w:hAnsi="Times New Roman"/>
      <w:szCs w:val="20"/>
    </w:rPr>
  </w:style>
  <w:style w:type="paragraph" w:styleId="9">
    <w:name w:val="toc 5"/>
    <w:basedOn w:val="1"/>
    <w:next w:val="1"/>
    <w:qFormat/>
    <w:uiPriority w:val="99"/>
    <w:pPr>
      <w:ind w:left="1680" w:leftChars="800"/>
    </w:pPr>
  </w:style>
  <w:style w:type="paragraph" w:styleId="10">
    <w:name w:val="toc 3"/>
    <w:basedOn w:val="1"/>
    <w:next w:val="1"/>
    <w:qFormat/>
    <w:uiPriority w:val="99"/>
    <w:pPr>
      <w:ind w:left="840" w:leftChars="400"/>
    </w:pPr>
    <w:rPr>
      <w:rFonts w:ascii="Times New Roman" w:hAnsi="Times New Roman"/>
      <w:szCs w:val="24"/>
    </w:rPr>
  </w:style>
  <w:style w:type="paragraph" w:styleId="11">
    <w:name w:val="Plain Text"/>
    <w:basedOn w:val="1"/>
    <w:link w:val="46"/>
    <w:qFormat/>
    <w:uiPriority w:val="99"/>
    <w:rPr>
      <w:rFonts w:ascii="宋体" w:hAnsi="Courier New"/>
      <w:szCs w:val="20"/>
    </w:rPr>
  </w:style>
  <w:style w:type="paragraph" w:styleId="12">
    <w:name w:val="toc 8"/>
    <w:basedOn w:val="1"/>
    <w:next w:val="1"/>
    <w:qFormat/>
    <w:uiPriority w:val="99"/>
    <w:pPr>
      <w:ind w:left="2940" w:leftChars="1400"/>
    </w:pPr>
  </w:style>
  <w:style w:type="paragraph" w:styleId="13">
    <w:name w:val="Date"/>
    <w:basedOn w:val="1"/>
    <w:next w:val="1"/>
    <w:link w:val="41"/>
    <w:qFormat/>
    <w:uiPriority w:val="99"/>
    <w:rPr>
      <w:rFonts w:ascii="仿宋_GB2312" w:hAnsi="Times New Roman" w:eastAsia="仿宋_GB2312"/>
      <w:sz w:val="32"/>
      <w:szCs w:val="20"/>
    </w:rPr>
  </w:style>
  <w:style w:type="paragraph" w:styleId="14">
    <w:name w:val="Balloon Text"/>
    <w:basedOn w:val="1"/>
    <w:link w:val="40"/>
    <w:semiHidden/>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tabs>
        <w:tab w:val="right" w:leader="dot" w:pos="9060"/>
      </w:tabs>
      <w:spacing w:line="276" w:lineRule="auto"/>
    </w:pPr>
    <w:rPr>
      <w:rFonts w:ascii="宋体" w:hAnsi="宋体"/>
      <w:b/>
      <w:sz w:val="24"/>
      <w:szCs w:val="24"/>
    </w:rPr>
  </w:style>
  <w:style w:type="paragraph" w:styleId="18">
    <w:name w:val="toc 4"/>
    <w:basedOn w:val="1"/>
    <w:next w:val="1"/>
    <w:qFormat/>
    <w:uiPriority w:val="99"/>
    <w:pPr>
      <w:ind w:left="1260" w:leftChars="600"/>
    </w:pPr>
  </w:style>
  <w:style w:type="paragraph" w:styleId="19">
    <w:name w:val="toc 6"/>
    <w:basedOn w:val="1"/>
    <w:next w:val="1"/>
    <w:qFormat/>
    <w:uiPriority w:val="99"/>
    <w:pPr>
      <w:ind w:left="2100" w:leftChars="1000"/>
    </w:pPr>
  </w:style>
  <w:style w:type="paragraph" w:styleId="20">
    <w:name w:val="toc 2"/>
    <w:basedOn w:val="1"/>
    <w:next w:val="1"/>
    <w:qFormat/>
    <w:uiPriority w:val="99"/>
    <w:pPr>
      <w:tabs>
        <w:tab w:val="right" w:leader="dot" w:pos="9060"/>
      </w:tabs>
      <w:spacing w:beforeLines="100" w:afterLines="100" w:line="276" w:lineRule="auto"/>
      <w:jc w:val="center"/>
    </w:pPr>
    <w:rPr>
      <w:rFonts w:ascii="宋体" w:hAnsi="宋体"/>
      <w:b/>
      <w:sz w:val="52"/>
      <w:szCs w:val="52"/>
      <w:lang w:val="zh-CN"/>
    </w:rPr>
  </w:style>
  <w:style w:type="paragraph" w:styleId="21">
    <w:name w:val="toc 9"/>
    <w:basedOn w:val="1"/>
    <w:next w:val="1"/>
    <w:qFormat/>
    <w:uiPriority w:val="99"/>
    <w:pPr>
      <w:ind w:left="3360" w:leftChars="1600"/>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47"/>
    <w:qFormat/>
    <w:uiPriority w:val="99"/>
    <w:pPr>
      <w:spacing w:before="240" w:after="60"/>
      <w:jc w:val="center"/>
      <w:outlineLvl w:val="0"/>
    </w:pPr>
    <w:rPr>
      <w:rFonts w:ascii="Cambria" w:hAnsi="Cambria"/>
      <w:b/>
      <w:bCs/>
      <w:sz w:val="32"/>
      <w:szCs w:val="32"/>
    </w:rPr>
  </w:style>
  <w:style w:type="paragraph" w:styleId="24">
    <w:name w:val="annotation subject"/>
    <w:basedOn w:val="8"/>
    <w:next w:val="8"/>
    <w:link w:val="58"/>
    <w:unhideWhenUsed/>
    <w:qFormat/>
    <w:locked/>
    <w:uiPriority w:val="99"/>
    <w:rPr>
      <w:rFonts w:ascii="Calibri" w:hAnsi="Calibri"/>
      <w:b/>
      <w:bCs/>
      <w:szCs w:val="22"/>
    </w:rPr>
  </w:style>
  <w:style w:type="table" w:styleId="26">
    <w:name w:val="Table Grid"/>
    <w:basedOn w:val="2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8">
    <w:name w:val="Strong"/>
    <w:qFormat/>
    <w:uiPriority w:val="99"/>
    <w:rPr>
      <w:rFonts w:cs="Times New Roman"/>
      <w:b/>
      <w:bCs/>
    </w:rPr>
  </w:style>
  <w:style w:type="character" w:styleId="29">
    <w:name w:val="page number"/>
    <w:qFormat/>
    <w:uiPriority w:val="99"/>
    <w:rPr>
      <w:rFonts w:cs="Times New Roman"/>
    </w:rPr>
  </w:style>
  <w:style w:type="character" w:styleId="30">
    <w:name w:val="Emphasis"/>
    <w:qFormat/>
    <w:uiPriority w:val="99"/>
    <w:rPr>
      <w:rFonts w:cs="Times New Roman"/>
      <w:color w:val="CC0000"/>
    </w:rPr>
  </w:style>
  <w:style w:type="character" w:styleId="31">
    <w:name w:val="Hyperlink"/>
    <w:qFormat/>
    <w:uiPriority w:val="99"/>
    <w:rPr>
      <w:rFonts w:cs="Times New Roman"/>
      <w:color w:val="0000FF"/>
      <w:u w:val="single"/>
    </w:rPr>
  </w:style>
  <w:style w:type="character" w:styleId="32">
    <w:name w:val="annotation reference"/>
    <w:basedOn w:val="27"/>
    <w:unhideWhenUsed/>
    <w:qFormat/>
    <w:locked/>
    <w:uiPriority w:val="99"/>
    <w:rPr>
      <w:sz w:val="21"/>
      <w:szCs w:val="21"/>
    </w:rPr>
  </w:style>
  <w:style w:type="character" w:customStyle="1" w:styleId="33">
    <w:name w:val="标题 1 Char"/>
    <w:link w:val="2"/>
    <w:qFormat/>
    <w:locked/>
    <w:uiPriority w:val="99"/>
    <w:rPr>
      <w:rFonts w:ascii="Times New Roman" w:hAnsi="Times New Roman" w:eastAsia="宋体" w:cs="Times New Roman"/>
      <w:b/>
      <w:bCs/>
      <w:kern w:val="44"/>
      <w:sz w:val="44"/>
      <w:szCs w:val="44"/>
    </w:rPr>
  </w:style>
  <w:style w:type="character" w:customStyle="1" w:styleId="34">
    <w:name w:val="标题 2 Char"/>
    <w:link w:val="3"/>
    <w:qFormat/>
    <w:locked/>
    <w:uiPriority w:val="99"/>
    <w:rPr>
      <w:rFonts w:ascii="Arial" w:hAnsi="Arial" w:eastAsia="宋体" w:cs="Times New Roman"/>
      <w:b/>
      <w:bCs/>
      <w:sz w:val="32"/>
      <w:szCs w:val="32"/>
    </w:rPr>
  </w:style>
  <w:style w:type="character" w:customStyle="1" w:styleId="35">
    <w:name w:val="标题 3 Char"/>
    <w:link w:val="4"/>
    <w:qFormat/>
    <w:locked/>
    <w:uiPriority w:val="99"/>
    <w:rPr>
      <w:rFonts w:ascii="Times New Roman" w:hAnsi="Times New Roman" w:eastAsia="宋体" w:cs="Times New Roman"/>
      <w:b/>
      <w:bCs/>
      <w:sz w:val="32"/>
      <w:szCs w:val="32"/>
    </w:rPr>
  </w:style>
  <w:style w:type="character" w:customStyle="1" w:styleId="36">
    <w:name w:val="标题 4 Char"/>
    <w:link w:val="5"/>
    <w:qFormat/>
    <w:locked/>
    <w:uiPriority w:val="99"/>
    <w:rPr>
      <w:rFonts w:ascii="Arial" w:hAnsi="Arial" w:eastAsia="黑体" w:cs="Times New Roman"/>
      <w:b/>
      <w:bCs/>
      <w:sz w:val="28"/>
      <w:szCs w:val="28"/>
    </w:rPr>
  </w:style>
  <w:style w:type="character" w:customStyle="1" w:styleId="37">
    <w:name w:val="页眉 Char"/>
    <w:link w:val="16"/>
    <w:qFormat/>
    <w:locked/>
    <w:uiPriority w:val="99"/>
    <w:rPr>
      <w:rFonts w:cs="Times New Roman"/>
      <w:sz w:val="18"/>
      <w:szCs w:val="18"/>
    </w:rPr>
  </w:style>
  <w:style w:type="character" w:customStyle="1" w:styleId="38">
    <w:name w:val="页脚 Char"/>
    <w:link w:val="15"/>
    <w:qFormat/>
    <w:locked/>
    <w:uiPriority w:val="99"/>
    <w:rPr>
      <w:rFonts w:cs="Times New Roman"/>
      <w:sz w:val="18"/>
      <w:szCs w:val="18"/>
    </w:rPr>
  </w:style>
  <w:style w:type="paragraph" w:customStyle="1" w:styleId="39">
    <w:name w:val="列出段落1"/>
    <w:basedOn w:val="1"/>
    <w:qFormat/>
    <w:uiPriority w:val="99"/>
    <w:pPr>
      <w:ind w:firstLine="420" w:firstLineChars="200"/>
    </w:pPr>
  </w:style>
  <w:style w:type="character" w:customStyle="1" w:styleId="40">
    <w:name w:val="批注框文本 Char"/>
    <w:link w:val="14"/>
    <w:semiHidden/>
    <w:qFormat/>
    <w:locked/>
    <w:uiPriority w:val="99"/>
    <w:rPr>
      <w:rFonts w:cs="Times New Roman"/>
      <w:sz w:val="18"/>
      <w:szCs w:val="18"/>
    </w:rPr>
  </w:style>
  <w:style w:type="character" w:customStyle="1" w:styleId="41">
    <w:name w:val="日期 Char"/>
    <w:link w:val="13"/>
    <w:qFormat/>
    <w:locked/>
    <w:uiPriority w:val="99"/>
    <w:rPr>
      <w:rFonts w:ascii="仿宋_GB2312" w:hAnsi="Times New Roman" w:eastAsia="仿宋_GB2312" w:cs="Times New Roman"/>
      <w:sz w:val="20"/>
      <w:szCs w:val="20"/>
    </w:rPr>
  </w:style>
  <w:style w:type="character" w:customStyle="1" w:styleId="42">
    <w:name w:val="正文文本_"/>
    <w:link w:val="43"/>
    <w:qFormat/>
    <w:locked/>
    <w:uiPriority w:val="99"/>
    <w:rPr>
      <w:rFonts w:ascii="MingLiU" w:hAnsi="MingLiU" w:eastAsia="MingLiU" w:cs="MingLiU"/>
      <w:spacing w:val="20"/>
      <w:sz w:val="15"/>
      <w:szCs w:val="15"/>
      <w:shd w:val="clear" w:color="auto" w:fill="FFFFFF"/>
    </w:rPr>
  </w:style>
  <w:style w:type="paragraph" w:customStyle="1" w:styleId="43">
    <w:name w:val="正文文本1"/>
    <w:basedOn w:val="1"/>
    <w:link w:val="42"/>
    <w:qFormat/>
    <w:uiPriority w:val="99"/>
    <w:pPr>
      <w:shd w:val="clear" w:color="auto" w:fill="FFFFFF"/>
      <w:spacing w:line="282" w:lineRule="exact"/>
      <w:ind w:hanging="280"/>
      <w:jc w:val="distribute"/>
    </w:pPr>
    <w:rPr>
      <w:rFonts w:ascii="MingLiU" w:hAnsi="MingLiU" w:eastAsia="MingLiU" w:cs="MingLiU"/>
      <w:spacing w:val="20"/>
      <w:sz w:val="15"/>
      <w:szCs w:val="15"/>
    </w:rPr>
  </w:style>
  <w:style w:type="character" w:customStyle="1" w:styleId="44">
    <w:name w:val="正文文本 + Dotum"/>
    <w:qFormat/>
    <w:uiPriority w:val="99"/>
    <w:rPr>
      <w:rFonts w:ascii="Dotum" w:hAnsi="Dotum" w:eastAsia="Dotum" w:cs="Dotum"/>
      <w:color w:val="000000"/>
      <w:spacing w:val="0"/>
      <w:w w:val="100"/>
      <w:position w:val="0"/>
      <w:sz w:val="16"/>
      <w:szCs w:val="16"/>
      <w:shd w:val="clear" w:color="auto" w:fill="FFFFFF"/>
      <w:lang w:val="en-US"/>
    </w:rPr>
  </w:style>
  <w:style w:type="paragraph" w:customStyle="1" w:styleId="45">
    <w:name w:val="列出段落11"/>
    <w:basedOn w:val="1"/>
    <w:qFormat/>
    <w:uiPriority w:val="99"/>
    <w:pPr>
      <w:ind w:firstLine="420" w:firstLineChars="200"/>
    </w:pPr>
    <w:rPr>
      <w:rFonts w:cs="Calibri"/>
      <w:szCs w:val="21"/>
    </w:rPr>
  </w:style>
  <w:style w:type="character" w:customStyle="1" w:styleId="46">
    <w:name w:val="纯文本 Char"/>
    <w:link w:val="11"/>
    <w:qFormat/>
    <w:locked/>
    <w:uiPriority w:val="99"/>
    <w:rPr>
      <w:rFonts w:ascii="宋体" w:hAnsi="Courier New" w:eastAsia="宋体" w:cs="Times New Roman"/>
      <w:sz w:val="20"/>
      <w:szCs w:val="20"/>
    </w:rPr>
  </w:style>
  <w:style w:type="character" w:customStyle="1" w:styleId="47">
    <w:name w:val="标题 Char"/>
    <w:link w:val="23"/>
    <w:qFormat/>
    <w:locked/>
    <w:uiPriority w:val="99"/>
    <w:rPr>
      <w:rFonts w:ascii="Cambria" w:hAnsi="Cambria" w:cs="Times New Roman"/>
      <w:b/>
      <w:bCs/>
      <w:sz w:val="32"/>
      <w:szCs w:val="32"/>
    </w:rPr>
  </w:style>
  <w:style w:type="character" w:customStyle="1" w:styleId="48">
    <w:name w:val="Title Char1"/>
    <w:qFormat/>
    <w:locked/>
    <w:uiPriority w:val="99"/>
    <w:rPr>
      <w:rFonts w:ascii="Cambria" w:hAnsi="Cambria" w:cs="Times New Roman"/>
      <w:b/>
      <w:bCs/>
      <w:sz w:val="32"/>
      <w:szCs w:val="32"/>
    </w:rPr>
  </w:style>
  <w:style w:type="character" w:customStyle="1" w:styleId="49">
    <w:name w:val="标题 Char1"/>
    <w:qFormat/>
    <w:locked/>
    <w:uiPriority w:val="99"/>
    <w:rPr>
      <w:rFonts w:ascii="Cambria" w:hAnsi="Cambria" w:eastAsia="宋体" w:cs="Times New Roman"/>
      <w:b/>
      <w:bCs/>
      <w:sz w:val="32"/>
      <w:szCs w:val="32"/>
    </w:rPr>
  </w:style>
  <w:style w:type="paragraph" w:customStyle="1" w:styleId="50">
    <w:name w:val="列出段落2"/>
    <w:basedOn w:val="1"/>
    <w:qFormat/>
    <w:uiPriority w:val="99"/>
    <w:pPr>
      <w:ind w:firstLine="420" w:firstLineChars="200"/>
    </w:pPr>
  </w:style>
  <w:style w:type="paragraph" w:customStyle="1" w:styleId="51">
    <w:name w:val="Char"/>
    <w:basedOn w:val="1"/>
    <w:qFormat/>
    <w:uiPriority w:val="99"/>
    <w:pPr>
      <w:tabs>
        <w:tab w:val="left" w:pos="4665"/>
        <w:tab w:val="left" w:pos="8970"/>
      </w:tabs>
      <w:ind w:firstLine="400"/>
    </w:pPr>
    <w:rPr>
      <w:rFonts w:ascii="Tahoma" w:hAnsi="Tahoma" w:cs="Tahoma"/>
      <w:sz w:val="24"/>
      <w:szCs w:val="24"/>
    </w:rPr>
  </w:style>
  <w:style w:type="paragraph" w:customStyle="1" w:styleId="52">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3">
    <w:name w:val="Char Char Char Char Char Char Char Char Char Char"/>
    <w:basedOn w:val="1"/>
    <w:qFormat/>
    <w:uiPriority w:val="99"/>
    <w:pPr>
      <w:spacing w:line="240" w:lineRule="exact"/>
      <w:ind w:firstLine="200" w:firstLineChars="200"/>
    </w:pPr>
    <w:rPr>
      <w:rFonts w:ascii="Times New Roman" w:hAnsi="Times New Roman" w:cs="宋体"/>
      <w:color w:val="000000"/>
      <w:sz w:val="24"/>
      <w:szCs w:val="24"/>
      <w:lang w:val="zh-CN"/>
    </w:rPr>
  </w:style>
  <w:style w:type="paragraph" w:customStyle="1" w:styleId="54">
    <w:name w:val="Char Char Char Char Char Char Char"/>
    <w:basedOn w:val="1"/>
    <w:qFormat/>
    <w:uiPriority w:val="99"/>
    <w:pPr>
      <w:widowControl/>
      <w:spacing w:after="160" w:line="240" w:lineRule="exact"/>
      <w:jc w:val="left"/>
    </w:pPr>
    <w:rPr>
      <w:rFonts w:ascii="Arial" w:hAnsi="Arial" w:cs="Verdana"/>
      <w:b/>
      <w:kern w:val="0"/>
      <w:sz w:val="24"/>
      <w:szCs w:val="24"/>
      <w:lang w:eastAsia="en-US"/>
    </w:rPr>
  </w:style>
  <w:style w:type="paragraph" w:customStyle="1" w:styleId="55">
    <w:name w:val="段落正文"/>
    <w:basedOn w:val="1"/>
    <w:qFormat/>
    <w:uiPriority w:val="99"/>
    <w:pPr>
      <w:spacing w:line="300" w:lineRule="auto"/>
      <w:ind w:firstLine="482" w:firstLineChars="200"/>
    </w:pPr>
    <w:rPr>
      <w:rFonts w:ascii="Times New Roman" w:hAnsi="Times New Roman"/>
      <w:sz w:val="24"/>
      <w:szCs w:val="24"/>
    </w:rPr>
  </w:style>
  <w:style w:type="character" w:customStyle="1" w:styleId="56">
    <w:name w:val="文档结构图 Char"/>
    <w:link w:val="7"/>
    <w:semiHidden/>
    <w:qFormat/>
    <w:locked/>
    <w:uiPriority w:val="99"/>
    <w:rPr>
      <w:rFonts w:ascii="Times New Roman" w:hAnsi="Times New Roman" w:eastAsia="宋体" w:cs="Times New Roman"/>
      <w:sz w:val="24"/>
      <w:szCs w:val="24"/>
      <w:shd w:val="clear" w:color="auto" w:fill="000080"/>
    </w:rPr>
  </w:style>
  <w:style w:type="character" w:customStyle="1" w:styleId="57">
    <w:name w:val="批注文字 Char"/>
    <w:link w:val="8"/>
    <w:qFormat/>
    <w:locked/>
    <w:uiPriority w:val="99"/>
    <w:rPr>
      <w:rFonts w:ascii="Times New Roman" w:hAnsi="Times New Roman" w:eastAsia="宋体" w:cs="Times New Roman"/>
      <w:sz w:val="20"/>
      <w:szCs w:val="20"/>
    </w:rPr>
  </w:style>
  <w:style w:type="character" w:customStyle="1" w:styleId="58">
    <w:name w:val="批注主题 Char"/>
    <w:basedOn w:val="57"/>
    <w:link w:val="24"/>
    <w:semiHidden/>
    <w:qFormat/>
    <w:uiPriority w:val="99"/>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2570</Words>
  <Characters>14655</Characters>
  <Lines>122</Lines>
  <Paragraphs>34</Paragraphs>
  <TotalTime>6</TotalTime>
  <ScaleCrop>false</ScaleCrop>
  <LinksUpToDate>false</LinksUpToDate>
  <CharactersWithSpaces>17191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2015-05-18T09:33:00Z</dcterms:created>
  <dc:creator>苏敏</dc:creator>
  <cp:lastModifiedBy>_ 李漂亮 _</cp:lastModifiedBy>
  <cp:lastPrinted>2015-03-31T07:23:00Z</cp:lastPrinted>
  <dcterms:modified xsi:type="dcterms:W3CDTF">2019-06-30T08:25:56Z</dcterms:modified>
  <dc:title>工程名称:　　　　　　　　　　　　　　　　　　　　　建筑类型：居住□　公建□　商住□　　　　　建筑面积：地上       ㎡，地下       ㎡     　　 层数：　　　　高度：　　　m　              绿色建筑建设目标：国标一星级□ 国标二星级□ 国标三星级□</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