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ind w:firstLine="105" w:firstLineChars="50"/>
        <w:outlineLvl w:val="0"/>
        <w:rPr>
          <w:rFonts w:ascii="Calibri" w:hAnsi="黑体" w:eastAsia="黑体" w:cs="Calibri"/>
          <w:b/>
          <w:bCs/>
          <w:color w:val="0000FF"/>
          <w:kern w:val="0"/>
          <w:sz w:val="26"/>
          <w:szCs w:val="26"/>
        </w:rPr>
      </w:pPr>
      <w:r>
        <mc:AlternateContent>
          <mc:Choice Requires="wps">
            <w:drawing>
              <wp:anchor distT="0" distB="0" distL="114300" distR="114300" simplePos="0" relativeHeight="251657216" behindDoc="0" locked="0" layoutInCell="1" allowOverlap="1">
                <wp:simplePos x="0" y="0"/>
                <wp:positionH relativeFrom="column">
                  <wp:posOffset>614045</wp:posOffset>
                </wp:positionH>
                <wp:positionV relativeFrom="paragraph">
                  <wp:posOffset>-495300</wp:posOffset>
                </wp:positionV>
                <wp:extent cx="10990580" cy="396240"/>
                <wp:effectExtent l="635" t="0" r="635"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990580" cy="396240"/>
                        </a:xfrm>
                        <a:prstGeom prst="rect">
                          <a:avLst/>
                        </a:prstGeom>
                        <a:solidFill>
                          <a:srgbClr val="FFFFFF"/>
                        </a:solidFill>
                        <a:ln>
                          <a:noFill/>
                        </a:ln>
                        <a:effectLst/>
                      </wps:spPr>
                      <wps:txbx>
                        <w:txbxContent>
                          <w:p>
                            <w:pPr>
                              <w:widowControl w:val="0"/>
                              <w:spacing w:line="500" w:lineRule="exact"/>
                              <w:jc w:val="center"/>
                              <w:rPr>
                                <w:rFonts w:ascii="方正小标宋简体" w:hAnsi="Calibri" w:eastAsia="方正小标宋简体" w:cs="方正小标宋简体"/>
                                <w:color w:val="0000FF"/>
                                <w:sz w:val="36"/>
                                <w:szCs w:val="36"/>
                              </w:rPr>
                            </w:pPr>
                            <w:r>
                              <w:rPr>
                                <w:rFonts w:hint="eastAsia" w:ascii="方正小标宋简体" w:hAnsi="Calibri" w:eastAsia="方正小标宋简体" w:cs="方正小标宋简体"/>
                                <w:color w:val="0000FF"/>
                                <w:sz w:val="36"/>
                                <w:szCs w:val="36"/>
                                <w:lang w:val="en-US" w:eastAsia="zh-CN"/>
                              </w:rPr>
                              <w:t>溪南中心小学新建教学楼工程</w:t>
                            </w:r>
                            <w:r>
                              <w:rPr>
                                <w:rFonts w:hint="eastAsia" w:ascii="方正小标宋简体" w:hAnsi="Calibri" w:eastAsia="方正小标宋简体" w:cs="方正小标宋简体"/>
                                <w:color w:val="0000FF"/>
                                <w:sz w:val="36"/>
                                <w:szCs w:val="36"/>
                              </w:rPr>
                              <w:t>绿色建筑设计说明专篇</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35pt;margin-top:-39pt;height:31.2pt;width:865.4pt;z-index:251657216;mso-width-relative:page;mso-height-relative:page;" fillcolor="#FFFFFF" filled="t" stroked="f" coordsize="21600,21600" o:gfxdata="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OudQ02AAAAAsBAAAPAAAA&#10;AAAAAAEAIAAAACIAAABkcnMvZG93bnJldi54bWxQSwECFAAUAAAACACHTuJAvviOyhUCAAD/AwAA&#10;DgAAAAAAAAABACAAAAAnAQAAZHJzL2Uyb0RvYy54bWxQSwUGAAAAAAYABgBZAQAArgUAAAAA&#10;">
                <v:fill on="t" focussize="0,0"/>
                <v:stroke on="f"/>
                <v:imagedata o:title=""/>
                <o:lock v:ext="edit" aspectratio="f"/>
                <v:textbox>
                  <w:txbxContent>
                    <w:p>
                      <w:pPr>
                        <w:widowControl w:val="0"/>
                        <w:spacing w:line="500" w:lineRule="exact"/>
                        <w:jc w:val="center"/>
                        <w:rPr>
                          <w:rFonts w:ascii="方正小标宋简体" w:hAnsi="Calibri" w:eastAsia="方正小标宋简体" w:cs="方正小标宋简体"/>
                          <w:color w:val="0000FF"/>
                          <w:sz w:val="36"/>
                          <w:szCs w:val="36"/>
                        </w:rPr>
                      </w:pPr>
                      <w:r>
                        <w:rPr>
                          <w:rFonts w:hint="eastAsia" w:ascii="方正小标宋简体" w:hAnsi="Calibri" w:eastAsia="方正小标宋简体" w:cs="方正小标宋简体"/>
                          <w:color w:val="0000FF"/>
                          <w:sz w:val="36"/>
                          <w:szCs w:val="36"/>
                          <w:lang w:val="en-US" w:eastAsia="zh-CN"/>
                        </w:rPr>
                        <w:t>溪南中心小学新建教学楼工程</w:t>
                      </w:r>
                      <w:r>
                        <w:rPr>
                          <w:rFonts w:hint="eastAsia" w:ascii="方正小标宋简体" w:hAnsi="Calibri" w:eastAsia="方正小标宋简体" w:cs="方正小标宋简体"/>
                          <w:color w:val="0000FF"/>
                          <w:sz w:val="36"/>
                          <w:szCs w:val="36"/>
                        </w:rPr>
                        <w:t>绿色建筑设计说明专篇</w:t>
                      </w:r>
                    </w:p>
                  </w:txbxContent>
                </v:textbox>
              </v:shape>
            </w:pict>
          </mc:Fallback>
        </mc:AlternateContent>
      </w:r>
      <w:r>
        <w:rPr>
          <w:rFonts w:hint="eastAsia" w:ascii="Calibri" w:hAnsi="黑体" w:eastAsia="黑体" w:cs="黑体"/>
          <w:b/>
          <w:bCs/>
          <w:color w:val="0000FF"/>
          <w:kern w:val="0"/>
          <w:sz w:val="26"/>
          <w:szCs w:val="26"/>
        </w:rPr>
        <w:t>一、设计依据</w:t>
      </w:r>
    </w:p>
    <w:p>
      <w:pPr>
        <w:widowControl w:val="0"/>
        <w:tabs>
          <w:tab w:val="left" w:pos="1113"/>
        </w:tabs>
        <w:jc w:val="left"/>
        <w:rPr>
          <w:rFonts w:ascii="Calibri" w:hAnsi="宋体" w:cs="Calibri"/>
          <w:color w:val="0000FF"/>
        </w:rPr>
      </w:pPr>
      <w:r>
        <w:rPr>
          <w:rFonts w:ascii="Calibri" w:hAnsi="宋体" w:cs="Calibri"/>
          <w:color w:val="0000FF"/>
        </w:rPr>
        <w:t>1.</w:t>
      </w:r>
      <w:r>
        <w:rPr>
          <w:rFonts w:hint="eastAsia" w:ascii="Calibri" w:hAnsi="宋体"/>
          <w:color w:val="0000FF"/>
        </w:rPr>
        <w:t>《绿色建筑评价技术细则》</w:t>
      </w:r>
      <w:r>
        <w:rPr>
          <w:rFonts w:ascii="Calibri" w:hAnsi="宋体" w:cs="Calibri"/>
          <w:color w:val="0000FF"/>
        </w:rPr>
        <w:t xml:space="preserve">        GB/T50378-2014</w:t>
      </w:r>
    </w:p>
    <w:p>
      <w:pPr>
        <w:widowControl w:val="0"/>
        <w:tabs>
          <w:tab w:val="left" w:pos="1113"/>
        </w:tabs>
        <w:jc w:val="left"/>
        <w:rPr>
          <w:rFonts w:ascii="Calibri" w:hAnsi="宋体" w:eastAsia="Times New Roman" w:cs="Calibri"/>
          <w:color w:val="0000FF"/>
        </w:rPr>
      </w:pPr>
      <w:r>
        <w:rPr>
          <w:rFonts w:ascii="Calibri" w:hAnsi="宋体" w:cs="Calibri"/>
          <w:color w:val="0000FF"/>
        </w:rPr>
        <w:t>2.</w:t>
      </w:r>
      <w:r>
        <w:rPr>
          <w:rFonts w:hint="eastAsia" w:ascii="Calibri" w:hAnsi="宋体"/>
          <w:color w:val="0000FF"/>
        </w:rPr>
        <w:t>《广东省绿色建筑评价标准》</w:t>
      </w:r>
      <w:r>
        <w:rPr>
          <w:rFonts w:ascii="Calibri" w:hAnsi="宋体" w:cs="Calibri"/>
          <w:color w:val="0000FF"/>
        </w:rPr>
        <w:t xml:space="preserve">  DBJ/T 15-83-2017</w:t>
      </w:r>
    </w:p>
    <w:p>
      <w:pPr>
        <w:widowControl w:val="0"/>
        <w:tabs>
          <w:tab w:val="left" w:pos="1113"/>
        </w:tabs>
        <w:jc w:val="left"/>
        <w:rPr>
          <w:rFonts w:ascii="Calibri" w:hAnsi="宋体" w:cs="Calibri"/>
          <w:color w:val="0000FF"/>
        </w:rPr>
      </w:pPr>
      <w:r>
        <w:rPr>
          <w:rFonts w:ascii="Calibri" w:hAnsi="宋体" w:cs="Calibri"/>
          <w:color w:val="0000FF"/>
        </w:rPr>
        <w:t>3.</w:t>
      </w:r>
      <w:r>
        <w:rPr>
          <w:rFonts w:hint="eastAsia" w:ascii="Calibri" w:hAnsi="宋体"/>
          <w:color w:val="0000FF"/>
        </w:rPr>
        <w:t>《民用建筑绿色设计规范》</w:t>
      </w:r>
      <w:r>
        <w:rPr>
          <w:rFonts w:ascii="Calibri" w:hAnsi="宋体" w:cs="Calibri"/>
          <w:color w:val="0000FF"/>
        </w:rPr>
        <w:t xml:space="preserve">    JGJ/T 229-2010</w:t>
      </w:r>
    </w:p>
    <w:p>
      <w:pPr>
        <w:widowControl w:val="0"/>
        <w:tabs>
          <w:tab w:val="left" w:pos="1113"/>
        </w:tabs>
        <w:jc w:val="left"/>
        <w:rPr>
          <w:rFonts w:ascii="Calibri" w:hAnsi="宋体" w:cs="Calibri"/>
          <w:color w:val="0000FF"/>
        </w:rPr>
      </w:pPr>
      <w:r>
        <w:rPr>
          <w:rFonts w:ascii="Calibri" w:hAnsi="宋体" w:cs="Calibri"/>
          <w:color w:val="0000FF"/>
        </w:rPr>
        <w:t xml:space="preserve">4. </w:t>
      </w:r>
      <w:r>
        <w:rPr>
          <w:rFonts w:hint="eastAsia" w:ascii="Calibri" w:hAnsi="宋体"/>
          <w:color w:val="0000FF"/>
        </w:rPr>
        <w:t>《绿色建筑评价引用指南》</w:t>
      </w:r>
    </w:p>
    <w:p>
      <w:pPr>
        <w:widowControl w:val="0"/>
        <w:tabs>
          <w:tab w:val="left" w:pos="1113"/>
        </w:tabs>
        <w:jc w:val="left"/>
        <w:rPr>
          <w:rFonts w:ascii="Calibri" w:hAnsi="宋体" w:cs="Calibri"/>
          <w:color w:val="0000FF"/>
        </w:rPr>
      </w:pPr>
      <w:r>
        <w:rPr>
          <w:rFonts w:ascii="Calibri" w:hAnsi="宋体" w:cs="Calibri"/>
          <w:color w:val="0000FF"/>
        </w:rPr>
        <w:t>5.</w:t>
      </w:r>
      <w:r>
        <w:rPr>
          <w:rFonts w:hint="eastAsia" w:ascii="Calibri" w:hAnsi="宋体"/>
          <w:color w:val="0000FF"/>
        </w:rPr>
        <w:t>《建筑采光设计标准》</w:t>
      </w:r>
      <w:r>
        <w:rPr>
          <w:rFonts w:ascii="Calibri" w:hAnsi="宋体" w:cs="Calibri"/>
          <w:color w:val="0000FF"/>
        </w:rPr>
        <w:t xml:space="preserve">        GB50033-2013</w:t>
      </w:r>
    </w:p>
    <w:p>
      <w:pPr>
        <w:widowControl w:val="0"/>
        <w:tabs>
          <w:tab w:val="left" w:pos="1113"/>
        </w:tabs>
        <w:jc w:val="left"/>
        <w:rPr>
          <w:rFonts w:ascii="Calibri" w:hAnsi="宋体" w:cs="Calibri"/>
          <w:color w:val="0000FF"/>
        </w:rPr>
      </w:pPr>
      <w:r>
        <w:rPr>
          <w:rFonts w:ascii="Calibri" w:hAnsi="宋体" w:cs="Calibri"/>
          <w:color w:val="0000FF"/>
        </w:rPr>
        <w:t>6.</w:t>
      </w:r>
      <w:r>
        <w:rPr>
          <w:rFonts w:hint="eastAsia" w:ascii="Calibri" w:hAnsi="宋体"/>
          <w:color w:val="0000FF"/>
        </w:rPr>
        <w:t>《建筑照明设计标准》</w:t>
      </w:r>
      <w:r>
        <w:rPr>
          <w:rFonts w:ascii="Calibri" w:hAnsi="宋体" w:cs="Calibri"/>
          <w:color w:val="0000FF"/>
        </w:rPr>
        <w:t xml:space="preserve">        GB50034-2013</w:t>
      </w:r>
    </w:p>
    <w:p>
      <w:pPr>
        <w:widowControl w:val="0"/>
        <w:tabs>
          <w:tab w:val="left" w:pos="1113"/>
        </w:tabs>
        <w:jc w:val="left"/>
        <w:rPr>
          <w:rFonts w:ascii="Calibri" w:hAnsi="宋体" w:cs="Calibri"/>
          <w:color w:val="0000FF"/>
        </w:rPr>
      </w:pPr>
      <w:r>
        <w:rPr>
          <w:rFonts w:ascii="Calibri" w:hAnsi="宋体" w:cs="Calibri"/>
          <w:color w:val="0000FF"/>
        </w:rPr>
        <w:t>7.</w:t>
      </w:r>
      <w:r>
        <w:rPr>
          <w:rFonts w:hint="eastAsia" w:ascii="Calibri" w:hAnsi="宋体"/>
          <w:color w:val="0000FF"/>
        </w:rPr>
        <w:t>《民用建筑绿色设计规范》</w:t>
      </w:r>
      <w:r>
        <w:rPr>
          <w:rFonts w:ascii="Calibri" w:hAnsi="宋体" w:cs="Calibri"/>
          <w:color w:val="0000FF"/>
        </w:rPr>
        <w:t xml:space="preserve">    JGJ/T 229-2010</w:t>
      </w:r>
    </w:p>
    <w:p>
      <w:pPr>
        <w:widowControl w:val="0"/>
        <w:tabs>
          <w:tab w:val="left" w:pos="1113"/>
        </w:tabs>
        <w:jc w:val="left"/>
        <w:rPr>
          <w:rFonts w:ascii="Calibri" w:hAnsi="宋体" w:eastAsia="Times New Roman" w:cs="Calibri"/>
          <w:color w:val="0000FF"/>
        </w:rPr>
      </w:pPr>
      <w:r>
        <w:rPr>
          <w:rFonts w:ascii="Calibri" w:hAnsi="宋体" w:cs="Calibri"/>
          <w:color w:val="0000FF"/>
        </w:rPr>
        <w:t>8.</w:t>
      </w:r>
      <w:r>
        <w:rPr>
          <w:rFonts w:ascii="Calibri" w:hAnsi="宋体" w:eastAsia="Times New Roman" w:cs="Calibri"/>
          <w:color w:val="0000FF"/>
        </w:rPr>
        <w:t xml:space="preserve"> </w:t>
      </w:r>
      <w:r>
        <w:rPr>
          <w:rFonts w:hint="eastAsia" w:ascii="Calibri" w:hAnsi="宋体"/>
          <w:color w:val="0000FF"/>
        </w:rPr>
        <w:t>《民用建筑热工设计规范》</w:t>
      </w:r>
      <w:r>
        <w:rPr>
          <w:rFonts w:ascii="Calibri" w:hAnsi="宋体" w:cs="Calibri"/>
          <w:color w:val="0000FF"/>
        </w:rPr>
        <w:t xml:space="preserve">    GB50176-2016</w:t>
      </w:r>
    </w:p>
    <w:p>
      <w:pPr>
        <w:widowControl w:val="0"/>
        <w:tabs>
          <w:tab w:val="left" w:pos="1113"/>
        </w:tabs>
        <w:jc w:val="left"/>
        <w:rPr>
          <w:rFonts w:ascii="Calibri" w:hAnsi="宋体" w:eastAsia="Times New Roman" w:cs="Calibri"/>
          <w:color w:val="0000FF"/>
        </w:rPr>
      </w:pPr>
      <w:r>
        <w:rPr>
          <w:rFonts w:ascii="Calibri" w:hAnsi="宋体" w:cs="Calibri"/>
          <w:color w:val="0000FF"/>
        </w:rPr>
        <w:t>9</w:t>
      </w:r>
      <w:r>
        <w:rPr>
          <w:rFonts w:ascii="Calibri" w:hAnsi="宋体" w:eastAsia="Times New Roman" w:cs="Calibri"/>
          <w:color w:val="0000FF"/>
        </w:rPr>
        <w:t>.</w:t>
      </w:r>
      <w:r>
        <w:rPr>
          <w:rFonts w:ascii="Calibri" w:hAnsi="宋体"/>
          <w:color w:val="0000FF"/>
        </w:rPr>
        <w:t xml:space="preserve"> </w:t>
      </w:r>
      <w:r>
        <w:rPr>
          <w:rFonts w:hint="eastAsia" w:ascii="Calibri" w:hAnsi="宋体"/>
          <w:color w:val="0000FF"/>
        </w:rPr>
        <w:t>《建筑幕墙》</w:t>
      </w:r>
      <w:r>
        <w:rPr>
          <w:rFonts w:ascii="Calibri" w:hAnsi="宋体" w:cs="Calibri"/>
          <w:color w:val="0000FF"/>
        </w:rPr>
        <w:t xml:space="preserve">                GB21086-2007</w:t>
      </w:r>
    </w:p>
    <w:p>
      <w:pPr>
        <w:widowControl w:val="0"/>
        <w:tabs>
          <w:tab w:val="left" w:pos="1113"/>
        </w:tabs>
        <w:jc w:val="left"/>
        <w:rPr>
          <w:rFonts w:ascii="Calibri" w:hAnsi="宋体" w:cs="Calibri"/>
          <w:color w:val="0000FF"/>
        </w:rPr>
      </w:pPr>
      <w:r>
        <w:rPr>
          <w:rFonts w:ascii="Calibri" w:hAnsi="宋体" w:cs="Calibri"/>
          <w:color w:val="0000FF"/>
        </w:rPr>
        <w:t>1</w:t>
      </w:r>
      <w:r>
        <w:rPr>
          <w:rFonts w:ascii="Calibri" w:hAnsi="宋体" w:eastAsia="Times New Roman" w:cs="Calibri"/>
          <w:color w:val="0000FF"/>
        </w:rPr>
        <w:t>0.</w:t>
      </w:r>
      <w:r>
        <w:rPr>
          <w:rFonts w:hint="eastAsia" w:ascii="Calibri" w:hAnsi="宋体"/>
          <w:color w:val="0000FF"/>
        </w:rPr>
        <w:t>《民用建筑节水设计标准》</w:t>
      </w:r>
      <w:r>
        <w:rPr>
          <w:rFonts w:ascii="Calibri" w:hAnsi="宋体" w:cs="Calibri"/>
          <w:color w:val="0000FF"/>
        </w:rPr>
        <w:t xml:space="preserve">    GB50555-2010</w:t>
      </w:r>
    </w:p>
    <w:p>
      <w:pPr>
        <w:widowControl w:val="0"/>
        <w:tabs>
          <w:tab w:val="left" w:pos="1113"/>
        </w:tabs>
        <w:jc w:val="left"/>
        <w:rPr>
          <w:rFonts w:ascii="Calibri" w:hAnsi="宋体" w:cs="Calibri"/>
          <w:color w:val="0000FF"/>
        </w:rPr>
      </w:pPr>
      <w:r>
        <w:rPr>
          <w:rFonts w:ascii="Calibri" w:hAnsi="宋体" w:cs="Calibri"/>
          <w:color w:val="0000FF"/>
        </w:rPr>
        <w:t>11</w:t>
      </w:r>
      <w:r>
        <w:rPr>
          <w:rFonts w:ascii="Calibri" w:hAnsi="宋体" w:eastAsia="Times New Roman" w:cs="Calibri"/>
          <w:color w:val="0000FF"/>
        </w:rPr>
        <w:t>.</w:t>
      </w:r>
      <w:r>
        <w:rPr>
          <w:rFonts w:ascii="Calibri" w:hAnsi="宋体"/>
          <w:color w:val="0000FF"/>
        </w:rPr>
        <w:t xml:space="preserve"> </w:t>
      </w:r>
      <w:r>
        <w:rPr>
          <w:rFonts w:hint="eastAsia" w:ascii="Calibri" w:hAnsi="宋体"/>
          <w:color w:val="0000FF"/>
        </w:rPr>
        <w:t>《建筑外窗气密、水密、抗风压性能分级及其检测方法》</w:t>
      </w:r>
      <w:r>
        <w:rPr>
          <w:rFonts w:ascii="Calibri" w:hAnsi="宋体" w:cs="Calibri"/>
          <w:color w:val="0000FF"/>
        </w:rPr>
        <w:t xml:space="preserve">    GB7106-2008</w:t>
      </w:r>
    </w:p>
    <w:p>
      <w:pPr>
        <w:widowControl w:val="0"/>
        <w:tabs>
          <w:tab w:val="left" w:pos="1113"/>
        </w:tabs>
        <w:jc w:val="left"/>
        <w:rPr>
          <w:rFonts w:ascii="Calibri" w:hAnsi="宋体" w:cs="Calibri"/>
          <w:color w:val="0000FF"/>
        </w:rPr>
      </w:pPr>
      <w:r>
        <w:rPr>
          <w:rFonts w:ascii="Calibri" w:hAnsi="宋体" w:cs="Calibri"/>
          <w:color w:val="0000FF"/>
        </w:rPr>
        <w:t>12</w:t>
      </w:r>
      <w:r>
        <w:rPr>
          <w:rFonts w:ascii="Calibri" w:hAnsi="宋体" w:eastAsia="Times New Roman" w:cs="Calibri"/>
          <w:color w:val="0000FF"/>
        </w:rPr>
        <w:t>.</w:t>
      </w:r>
      <w:r>
        <w:rPr>
          <w:rFonts w:hint="eastAsia" w:ascii="Calibri" w:hAnsi="宋体"/>
          <w:color w:val="0000FF"/>
        </w:rPr>
        <w:t>《建筑门窗玻璃幕墙热工计算规程》</w:t>
      </w:r>
      <w:r>
        <w:rPr>
          <w:rFonts w:ascii="Calibri" w:hAnsi="宋体" w:cs="Calibri"/>
          <w:color w:val="0000FF"/>
        </w:rPr>
        <w:t xml:space="preserve">                      JGJ/T0151-2008</w:t>
      </w:r>
    </w:p>
    <w:p>
      <w:pPr>
        <w:widowControl w:val="0"/>
        <w:tabs>
          <w:tab w:val="left" w:pos="1113"/>
        </w:tabs>
        <w:jc w:val="left"/>
        <w:rPr>
          <w:rFonts w:ascii="Calibri" w:hAnsi="宋体" w:eastAsia="Times New Roman" w:cs="Calibri"/>
          <w:color w:val="0000FF"/>
        </w:rPr>
      </w:pPr>
      <w:r>
        <w:rPr>
          <w:rFonts w:ascii="Calibri" w:hAnsi="宋体" w:cs="Calibri"/>
          <w:color w:val="0000FF"/>
        </w:rPr>
        <w:t>13</w:t>
      </w:r>
      <w:r>
        <w:rPr>
          <w:rFonts w:ascii="Calibri" w:hAnsi="宋体" w:eastAsia="Times New Roman" w:cs="Calibri"/>
          <w:color w:val="0000FF"/>
        </w:rPr>
        <w:t>.</w:t>
      </w:r>
      <w:r>
        <w:rPr>
          <w:rFonts w:hint="eastAsia" w:ascii="Calibri" w:hAnsi="宋体"/>
          <w:color w:val="0000FF"/>
        </w:rPr>
        <w:t>国家、省、市现行的相关建筑节能法律、法规</w:t>
      </w:r>
    </w:p>
    <w:p>
      <w:pPr>
        <w:widowControl w:val="0"/>
        <w:tabs>
          <w:tab w:val="left" w:pos="1113"/>
        </w:tabs>
        <w:jc w:val="left"/>
        <w:rPr>
          <w:rFonts w:ascii="Calibri" w:hAnsi="宋体" w:cs="Calibri"/>
          <w:color w:val="0000FF"/>
        </w:rPr>
      </w:pPr>
    </w:p>
    <w:p>
      <w:pPr>
        <w:widowControl w:val="0"/>
        <w:tabs>
          <w:tab w:val="left" w:pos="1113"/>
        </w:tabs>
        <w:jc w:val="left"/>
        <w:outlineLvl w:val="0"/>
        <w:rPr>
          <w:rFonts w:ascii="Calibri" w:hAnsi="黑体" w:eastAsia="黑体" w:cs="黑体"/>
          <w:b/>
          <w:bCs/>
          <w:color w:val="0000FF"/>
          <w:kern w:val="0"/>
          <w:sz w:val="26"/>
          <w:szCs w:val="26"/>
        </w:rPr>
      </w:pPr>
      <w:r>
        <w:rPr>
          <w:rFonts w:hint="eastAsia" w:ascii="Calibri" w:hAnsi="黑体" w:eastAsia="黑体" w:cs="黑体"/>
          <w:b/>
          <w:bCs/>
          <w:color w:val="0000FF"/>
          <w:kern w:val="0"/>
          <w:sz w:val="26"/>
          <w:szCs w:val="26"/>
        </w:rPr>
        <w:t>二、工程概况</w:t>
      </w:r>
    </w:p>
    <w:p>
      <w:pPr>
        <w:widowControl w:val="0"/>
        <w:tabs>
          <w:tab w:val="left" w:pos="1113"/>
        </w:tabs>
        <w:jc w:val="left"/>
        <w:rPr>
          <w:rFonts w:ascii="Calibri" w:hAnsi="宋体" w:cs="Calibri"/>
          <w:color w:val="0000FF"/>
        </w:rPr>
      </w:pPr>
      <w:r>
        <w:rPr>
          <w:rFonts w:ascii="Calibri" w:hAnsi="宋体" w:cs="Calibri"/>
          <w:color w:val="0000FF"/>
        </w:rPr>
        <w:t xml:space="preserve">1. </w:t>
      </w:r>
      <w:r>
        <w:rPr>
          <w:rFonts w:hint="eastAsia" w:ascii="Calibri" w:hAnsi="宋体" w:cs="Calibri"/>
          <w:color w:val="0000FF"/>
        </w:rPr>
        <w:t>建设目标：一星级</w:t>
      </w:r>
      <w:r>
        <w:rPr>
          <w:rFonts w:ascii="Calibri" w:hAnsi="宋体" w:cs="Calibri"/>
          <w:color w:val="0000FF"/>
        </w:rPr>
        <w:sym w:font="Wingdings 2" w:char="F052"/>
      </w:r>
      <w:r>
        <w:rPr>
          <w:rFonts w:ascii="Calibri" w:hAnsi="宋体" w:cs="Calibri"/>
          <w:color w:val="0000FF"/>
        </w:rPr>
        <w:t xml:space="preserve">     </w:t>
      </w:r>
      <w:r>
        <w:rPr>
          <w:rFonts w:hint="eastAsia" w:ascii="Calibri" w:hAnsi="宋体" w:cs="Calibri"/>
          <w:color w:val="0000FF"/>
        </w:rPr>
        <w:t>二星级□</w:t>
      </w:r>
      <w:r>
        <w:rPr>
          <w:rFonts w:ascii="Calibri" w:hAnsi="宋体" w:cs="Calibri"/>
          <w:color w:val="0000FF"/>
        </w:rPr>
        <w:t xml:space="preserve">      </w:t>
      </w:r>
      <w:r>
        <w:rPr>
          <w:rFonts w:hint="eastAsia" w:ascii="Calibri" w:hAnsi="宋体" w:cs="Calibri"/>
          <w:color w:val="0000FF"/>
        </w:rPr>
        <w:t>三星级□</w:t>
      </w:r>
    </w:p>
    <w:p>
      <w:pPr>
        <w:widowControl w:val="0"/>
        <w:tabs>
          <w:tab w:val="left" w:pos="1113"/>
        </w:tabs>
        <w:jc w:val="left"/>
        <w:rPr>
          <w:rFonts w:ascii="Calibri" w:hAnsi="宋体" w:cs="Calibri"/>
          <w:color w:val="0000FF"/>
        </w:rPr>
      </w:pPr>
      <w:r>
        <w:rPr>
          <w:rFonts w:ascii="Calibri" w:hAnsi="宋体" w:cs="Calibri"/>
          <w:color w:val="0000FF"/>
        </w:rPr>
        <w:t xml:space="preserve">2. </w:t>
      </w:r>
      <w:r>
        <w:rPr>
          <w:rFonts w:hint="eastAsia" w:ascii="Calibri" w:hAnsi="宋体" w:cs="Calibri"/>
          <w:color w:val="0000FF"/>
        </w:rPr>
        <w:t>项目总分</w:t>
      </w:r>
      <w:r>
        <w:rPr>
          <w:rFonts w:ascii="Calibri" w:hAnsi="宋体" w:cs="Calibri"/>
          <w:color w:val="0000FF"/>
        </w:rPr>
        <w:t>53.</w:t>
      </w:r>
      <w:r>
        <w:rPr>
          <w:rFonts w:hint="eastAsia" w:ascii="Calibri" w:hAnsi="宋体" w:cs="Calibri"/>
          <w:color w:val="0000FF"/>
          <w:lang w:val="en-US" w:eastAsia="zh-CN"/>
        </w:rPr>
        <w:t>16</w:t>
      </w:r>
      <w:r>
        <w:rPr>
          <w:rFonts w:ascii="Calibri" w:hAnsi="宋体" w:cs="Calibri"/>
          <w:color w:val="0000FF"/>
        </w:rPr>
        <w:t xml:space="preserve"> </w:t>
      </w:r>
      <w:r>
        <w:rPr>
          <w:rFonts w:hint="eastAsia" w:ascii="Calibri" w:hAnsi="宋体" w:cs="Calibri"/>
          <w:color w:val="0000FF"/>
        </w:rPr>
        <w:t>其中：</w:t>
      </w:r>
      <w:r>
        <w:rPr>
          <w:rFonts w:ascii="Calibri" w:hAnsi="宋体" w:cs="Calibri"/>
          <w:color w:val="0000FF"/>
        </w:rPr>
        <w:fldChar w:fldCharType="begin"/>
      </w:r>
      <w:r>
        <w:rPr>
          <w:rFonts w:ascii="Calibri" w:hAnsi="宋体" w:cs="Calibri"/>
          <w:color w:val="0000FF"/>
        </w:rPr>
        <w:instrText xml:space="preserve"> = 1 \* GB3 </w:instrText>
      </w:r>
      <w:r>
        <w:rPr>
          <w:rFonts w:ascii="Calibri" w:hAnsi="宋体" w:cs="Calibri"/>
          <w:color w:val="0000FF"/>
        </w:rPr>
        <w:fldChar w:fldCharType="separate"/>
      </w:r>
      <w:r>
        <w:rPr>
          <w:rFonts w:hint="eastAsia" w:ascii="Calibri" w:hAnsi="宋体" w:cs="Calibri"/>
          <w:color w:val="0000FF"/>
        </w:rPr>
        <w:t>①</w:t>
      </w:r>
      <w:r>
        <w:rPr>
          <w:rFonts w:ascii="Calibri" w:hAnsi="宋体" w:cs="Calibri"/>
          <w:color w:val="0000FF"/>
        </w:rPr>
        <w:fldChar w:fldCharType="end"/>
      </w:r>
      <w:r>
        <w:rPr>
          <w:rFonts w:hint="eastAsia" w:ascii="Calibri" w:hAnsi="宋体" w:cs="Calibri"/>
          <w:color w:val="0000FF"/>
        </w:rPr>
        <w:t>节地与室外技术</w:t>
      </w:r>
      <w:r>
        <w:rPr>
          <w:rFonts w:hint="eastAsia" w:ascii="Calibri" w:hAnsi="宋体" w:cs="Calibri"/>
          <w:color w:val="0000FF"/>
          <w:lang w:val="en-US" w:eastAsia="zh-CN"/>
        </w:rPr>
        <w:t>6.56</w:t>
      </w:r>
      <w:r>
        <w:rPr>
          <w:rFonts w:hint="eastAsia" w:ascii="Calibri" w:hAnsi="宋体" w:cs="Calibri"/>
          <w:color w:val="0000FF"/>
        </w:rPr>
        <w:t>分；</w:t>
      </w:r>
      <w:r>
        <w:rPr>
          <w:rFonts w:ascii="Calibri" w:hAnsi="宋体" w:cs="Calibri"/>
          <w:color w:val="0000FF"/>
        </w:rPr>
        <w:t xml:space="preserve">    </w:t>
      </w:r>
      <w:r>
        <w:rPr>
          <w:rFonts w:ascii="Calibri" w:hAnsi="宋体" w:cs="Calibri"/>
          <w:color w:val="0000FF"/>
        </w:rPr>
        <w:fldChar w:fldCharType="begin"/>
      </w:r>
      <w:r>
        <w:rPr>
          <w:rFonts w:ascii="Calibri" w:hAnsi="宋体" w:cs="Calibri"/>
          <w:color w:val="0000FF"/>
        </w:rPr>
        <w:instrText xml:space="preserve"> = 2 \* GB3 </w:instrText>
      </w:r>
      <w:r>
        <w:rPr>
          <w:rFonts w:ascii="Calibri" w:hAnsi="宋体" w:cs="Calibri"/>
          <w:color w:val="0000FF"/>
        </w:rPr>
        <w:fldChar w:fldCharType="separate"/>
      </w:r>
      <w:r>
        <w:rPr>
          <w:rFonts w:hint="eastAsia" w:ascii="Calibri" w:hAnsi="宋体" w:cs="Calibri"/>
          <w:color w:val="0000FF"/>
        </w:rPr>
        <w:t>②</w:t>
      </w:r>
      <w:r>
        <w:rPr>
          <w:rFonts w:ascii="Calibri" w:hAnsi="宋体" w:cs="Calibri"/>
          <w:color w:val="0000FF"/>
        </w:rPr>
        <w:fldChar w:fldCharType="end"/>
      </w:r>
      <w:r>
        <w:rPr>
          <w:rFonts w:hint="eastAsia" w:ascii="Calibri" w:hAnsi="宋体" w:cs="Calibri"/>
          <w:color w:val="0000FF"/>
        </w:rPr>
        <w:t>节能与能源利用技术</w:t>
      </w:r>
      <w:r>
        <w:rPr>
          <w:rFonts w:hint="eastAsia" w:ascii="Calibri" w:hAnsi="宋体" w:cs="Calibri"/>
          <w:color w:val="0000FF"/>
          <w:lang w:val="en-US" w:eastAsia="zh-CN"/>
        </w:rPr>
        <w:t>11.41</w:t>
      </w:r>
      <w:r>
        <w:rPr>
          <w:rFonts w:ascii="Calibri" w:hAnsi="宋体" w:cs="Calibri"/>
          <w:color w:val="0000FF"/>
        </w:rPr>
        <w:t xml:space="preserve"> </w:t>
      </w:r>
      <w:r>
        <w:rPr>
          <w:rFonts w:hint="eastAsia" w:ascii="Calibri" w:hAnsi="宋体" w:cs="Calibri"/>
          <w:color w:val="0000FF"/>
        </w:rPr>
        <w:t>分</w:t>
      </w:r>
    </w:p>
    <w:p>
      <w:pPr>
        <w:widowControl w:val="0"/>
        <w:tabs>
          <w:tab w:val="left" w:pos="1113"/>
        </w:tabs>
        <w:jc w:val="left"/>
        <w:rPr>
          <w:rFonts w:ascii="Calibri" w:hAnsi="宋体" w:cs="Calibri"/>
          <w:color w:val="0000FF"/>
        </w:rPr>
      </w:pPr>
      <w:r>
        <w:rPr>
          <w:rFonts w:ascii="Calibri" w:hAnsi="宋体" w:cs="Calibri"/>
          <w:color w:val="0000FF"/>
        </w:rPr>
        <w:t xml:space="preserve">                            </w:t>
      </w:r>
      <w:r>
        <w:rPr>
          <w:rFonts w:ascii="Calibri" w:hAnsi="宋体" w:cs="Calibri"/>
          <w:color w:val="0000FF"/>
        </w:rPr>
        <w:fldChar w:fldCharType="begin"/>
      </w:r>
      <w:r>
        <w:rPr>
          <w:rFonts w:ascii="Calibri" w:hAnsi="宋体" w:cs="Calibri"/>
          <w:color w:val="0000FF"/>
        </w:rPr>
        <w:instrText xml:space="preserve"> = 3 \* GB3 </w:instrText>
      </w:r>
      <w:r>
        <w:rPr>
          <w:rFonts w:ascii="Calibri" w:hAnsi="宋体" w:cs="Calibri"/>
          <w:color w:val="0000FF"/>
        </w:rPr>
        <w:fldChar w:fldCharType="separate"/>
      </w:r>
      <w:r>
        <w:rPr>
          <w:rFonts w:hint="eastAsia" w:ascii="Calibri" w:hAnsi="宋体" w:cs="Calibri"/>
          <w:color w:val="0000FF"/>
        </w:rPr>
        <w:t>③</w:t>
      </w:r>
      <w:r>
        <w:rPr>
          <w:rFonts w:ascii="Calibri" w:hAnsi="宋体" w:cs="Calibri"/>
          <w:color w:val="0000FF"/>
        </w:rPr>
        <w:fldChar w:fldCharType="end"/>
      </w:r>
      <w:r>
        <w:rPr>
          <w:rFonts w:hint="eastAsia" w:ascii="Calibri" w:hAnsi="宋体" w:cs="Calibri"/>
          <w:color w:val="0000FF"/>
        </w:rPr>
        <w:t>节水与水资源利用技术</w:t>
      </w:r>
      <w:r>
        <w:rPr>
          <w:rFonts w:ascii="Calibri" w:hAnsi="宋体" w:cs="Calibri"/>
          <w:color w:val="0000FF"/>
        </w:rPr>
        <w:t xml:space="preserve"> 1</w:t>
      </w:r>
      <w:r>
        <w:rPr>
          <w:rFonts w:hint="eastAsia" w:ascii="Calibri" w:hAnsi="宋体" w:cs="Calibri"/>
          <w:color w:val="0000FF"/>
          <w:lang w:val="en-US" w:eastAsia="zh-CN"/>
        </w:rPr>
        <w:t>2.77</w:t>
      </w:r>
      <w:r>
        <w:rPr>
          <w:rFonts w:hint="eastAsia" w:ascii="Calibri" w:hAnsi="宋体" w:cs="Calibri"/>
          <w:color w:val="0000FF"/>
        </w:rPr>
        <w:t>分；　</w:t>
      </w:r>
      <w:r>
        <w:rPr>
          <w:rFonts w:ascii="Calibri" w:hAnsi="宋体" w:cs="Calibri"/>
          <w:color w:val="0000FF"/>
        </w:rPr>
        <w:fldChar w:fldCharType="begin"/>
      </w:r>
      <w:r>
        <w:rPr>
          <w:rFonts w:ascii="Calibri" w:hAnsi="宋体" w:cs="Calibri"/>
          <w:color w:val="0000FF"/>
        </w:rPr>
        <w:instrText xml:space="preserve"> = 4 \* GB3 </w:instrText>
      </w:r>
      <w:r>
        <w:rPr>
          <w:rFonts w:ascii="Calibri" w:hAnsi="宋体" w:cs="Calibri"/>
          <w:color w:val="0000FF"/>
        </w:rPr>
        <w:fldChar w:fldCharType="separate"/>
      </w:r>
      <w:r>
        <w:rPr>
          <w:rFonts w:hint="eastAsia" w:ascii="Calibri" w:hAnsi="宋体" w:cs="Calibri"/>
          <w:color w:val="0000FF"/>
        </w:rPr>
        <w:t>④</w:t>
      </w:r>
      <w:r>
        <w:rPr>
          <w:rFonts w:ascii="Calibri" w:hAnsi="宋体" w:cs="Calibri"/>
          <w:color w:val="0000FF"/>
        </w:rPr>
        <w:fldChar w:fldCharType="end"/>
      </w:r>
      <w:r>
        <w:rPr>
          <w:rFonts w:hint="eastAsia" w:ascii="Calibri" w:hAnsi="宋体" w:cs="Calibri"/>
          <w:color w:val="0000FF"/>
        </w:rPr>
        <w:t>节材与材料资源利用</w:t>
      </w:r>
      <w:r>
        <w:rPr>
          <w:rFonts w:ascii="Calibri" w:hAnsi="宋体" w:cs="Calibri"/>
          <w:color w:val="0000FF"/>
        </w:rPr>
        <w:t xml:space="preserve"> </w:t>
      </w:r>
      <w:r>
        <w:rPr>
          <w:rFonts w:hint="eastAsia" w:ascii="Calibri" w:hAnsi="宋体" w:cs="Calibri"/>
          <w:color w:val="0000FF"/>
          <w:lang w:val="en-US" w:eastAsia="zh-CN"/>
        </w:rPr>
        <w:t>12.67</w:t>
      </w:r>
      <w:r>
        <w:rPr>
          <w:rFonts w:hint="eastAsia" w:ascii="Calibri" w:hAnsi="宋体" w:cs="Calibri"/>
          <w:color w:val="0000FF"/>
        </w:rPr>
        <w:t>分；</w:t>
      </w:r>
    </w:p>
    <w:p>
      <w:pPr>
        <w:widowControl w:val="0"/>
        <w:tabs>
          <w:tab w:val="left" w:pos="1113"/>
        </w:tabs>
        <w:jc w:val="left"/>
        <w:rPr>
          <w:rFonts w:ascii="Calibri" w:hAnsi="宋体" w:cs="Calibri"/>
          <w:color w:val="0000FF"/>
        </w:rPr>
      </w:pPr>
      <w:r>
        <w:rPr>
          <w:rFonts w:ascii="Calibri" w:hAnsi="宋体" w:cs="Calibri"/>
          <w:color w:val="0000FF"/>
        </w:rPr>
        <w:t xml:space="preserve">                            </w:t>
      </w:r>
      <w:r>
        <w:rPr>
          <w:rFonts w:ascii="Calibri" w:hAnsi="宋体" w:cs="Calibri"/>
          <w:color w:val="0000FF"/>
        </w:rPr>
        <w:fldChar w:fldCharType="begin"/>
      </w:r>
      <w:r>
        <w:rPr>
          <w:rFonts w:ascii="Calibri" w:hAnsi="宋体" w:cs="Calibri"/>
          <w:color w:val="0000FF"/>
        </w:rPr>
        <w:instrText xml:space="preserve"> = 5 \* GB3 </w:instrText>
      </w:r>
      <w:r>
        <w:rPr>
          <w:rFonts w:ascii="Calibri" w:hAnsi="宋体" w:cs="Calibri"/>
          <w:color w:val="0000FF"/>
        </w:rPr>
        <w:fldChar w:fldCharType="separate"/>
      </w:r>
      <w:r>
        <w:rPr>
          <w:rFonts w:hint="eastAsia" w:ascii="Calibri" w:hAnsi="宋体" w:cs="Calibri"/>
          <w:color w:val="0000FF"/>
        </w:rPr>
        <w:t>⑤</w:t>
      </w:r>
      <w:r>
        <w:rPr>
          <w:rFonts w:ascii="Calibri" w:hAnsi="宋体" w:cs="Calibri"/>
          <w:color w:val="0000FF"/>
        </w:rPr>
        <w:fldChar w:fldCharType="end"/>
      </w:r>
      <w:r>
        <w:rPr>
          <w:rFonts w:hint="eastAsia" w:ascii="Calibri" w:hAnsi="宋体" w:cs="Calibri"/>
          <w:color w:val="0000FF"/>
        </w:rPr>
        <w:t>室内环境质量技术</w:t>
      </w:r>
      <w:r>
        <w:rPr>
          <w:rFonts w:ascii="Calibri" w:hAnsi="宋体" w:cs="Calibri"/>
          <w:color w:val="0000FF"/>
        </w:rPr>
        <w:t xml:space="preserve"> </w:t>
      </w:r>
      <w:r>
        <w:rPr>
          <w:rFonts w:hint="eastAsia" w:ascii="Calibri" w:hAnsi="宋体" w:cs="Calibri"/>
          <w:color w:val="0000FF"/>
          <w:lang w:val="en-US" w:eastAsia="zh-CN"/>
        </w:rPr>
        <w:t>9.76</w:t>
      </w:r>
      <w:r>
        <w:rPr>
          <w:rFonts w:hint="eastAsia" w:ascii="Calibri" w:hAnsi="宋体" w:cs="Calibri"/>
          <w:color w:val="0000FF"/>
        </w:rPr>
        <w:t>分；</w:t>
      </w:r>
      <w:r>
        <w:rPr>
          <w:rFonts w:ascii="Calibri" w:hAnsi="宋体" w:cs="Calibri"/>
          <w:color w:val="0000FF"/>
        </w:rPr>
        <w:t xml:space="preserve">   </w:t>
      </w:r>
      <w:r>
        <w:rPr>
          <w:rFonts w:hint="eastAsia" w:ascii="Calibri" w:hAnsi="宋体" w:cs="Calibri"/>
          <w:color w:val="0000FF"/>
        </w:rPr>
        <w:t>⑥提高与创新</w:t>
      </w:r>
      <w:r>
        <w:rPr>
          <w:rFonts w:ascii="Calibri" w:hAnsi="宋体" w:cs="Calibri"/>
          <w:color w:val="0000FF"/>
        </w:rPr>
        <w:t xml:space="preserve">  </w:t>
      </w:r>
      <w:r>
        <w:rPr>
          <w:rFonts w:hint="eastAsia" w:ascii="Calibri" w:hAnsi="宋体" w:cs="Calibri"/>
          <w:color w:val="0000FF"/>
        </w:rPr>
        <w:t>　</w:t>
      </w:r>
      <w:r>
        <w:rPr>
          <w:rFonts w:ascii="Calibri" w:hAnsi="宋体" w:cs="Calibri"/>
          <w:color w:val="0000FF"/>
        </w:rPr>
        <w:t>0</w:t>
      </w:r>
      <w:r>
        <w:rPr>
          <w:rFonts w:hint="eastAsia" w:ascii="Calibri" w:hAnsi="宋体" w:cs="Calibri"/>
          <w:color w:val="0000FF"/>
        </w:rPr>
        <w:t>　　　分。</w:t>
      </w:r>
    </w:p>
    <w:p>
      <w:pPr>
        <w:widowControl w:val="0"/>
        <w:tabs>
          <w:tab w:val="left" w:pos="1113"/>
        </w:tabs>
        <w:jc w:val="left"/>
        <w:rPr>
          <w:rFonts w:ascii="Calibri" w:hAnsi="宋体" w:cs="Calibri"/>
          <w:color w:val="0000FF"/>
        </w:rPr>
      </w:pPr>
      <w:r>
        <w:rPr>
          <w:rFonts w:ascii="Calibri" w:hAnsi="宋体" w:cs="Calibri"/>
          <w:color w:val="0000FF"/>
        </w:rPr>
        <w:t xml:space="preserve">3. </w:t>
      </w:r>
      <w:r>
        <w:rPr>
          <w:rFonts w:hint="eastAsia" w:ascii="Calibri" w:hAnsi="宋体" w:cs="Calibri"/>
          <w:color w:val="0000FF"/>
        </w:rPr>
        <w:t>申报绿色建筑的区域范围示意图：（应注明北向角度）</w:t>
      </w:r>
    </w:p>
    <w:p>
      <w:pPr>
        <w:rPr>
          <w:rFonts w:cs="Times New Roman"/>
        </w:rPr>
      </w:pPr>
      <w:r>
        <w:drawing>
          <wp:inline distT="0" distB="0" distL="114300" distR="114300">
            <wp:extent cx="4207510" cy="3712845"/>
            <wp:effectExtent l="9525" t="9525" r="1206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207510" cy="3712845"/>
                    </a:xfrm>
                    <a:prstGeom prst="rect">
                      <a:avLst/>
                    </a:prstGeom>
                    <a:noFill/>
                    <a:ln>
                      <a:solidFill>
                        <a:srgbClr val="0000FF"/>
                      </a:solidFill>
                    </a:ln>
                  </pic:spPr>
                </pic:pic>
              </a:graphicData>
            </a:graphic>
          </wp:inline>
        </w:drawing>
      </w:r>
    </w:p>
    <w:p>
      <w:pPr>
        <w:rPr>
          <w:rFonts w:ascii="宋体"/>
          <w:color w:val="0000FF"/>
          <w:kern w:val="0"/>
        </w:rPr>
      </w:pPr>
      <w:r>
        <w:rPr>
          <w:rFonts w:ascii="Calibri" w:hAnsi="宋体" w:cs="Calibri"/>
          <w:color w:val="0000FF"/>
        </w:rPr>
        <w:t xml:space="preserve">4. </w:t>
      </w:r>
      <w:r>
        <w:rPr>
          <w:rFonts w:hint="eastAsia" w:ascii="Calibri" w:hAnsi="宋体"/>
          <w:color w:val="0000FF"/>
        </w:rPr>
        <w:t>项目建设用地面积：</w:t>
      </w:r>
      <w:r>
        <w:rPr>
          <w:rFonts w:hint="eastAsia" w:ascii="Calibri" w:hAnsi="宋体" w:cs="Calibri"/>
          <w:color w:val="0000FF"/>
          <w:u w:val="single"/>
          <w:lang w:val="en-US" w:eastAsia="zh-CN"/>
        </w:rPr>
        <w:t>11364.70</w:t>
      </w:r>
      <w:r>
        <w:rPr>
          <w:rFonts w:ascii="Calibri" w:hAnsi="宋体" w:cs="Calibri"/>
          <w:color w:val="0000FF"/>
        </w:rPr>
        <w:t xml:space="preserve"> m2 </w:t>
      </w:r>
      <w:r>
        <w:rPr>
          <w:rFonts w:hint="eastAsia" w:ascii="Calibri" w:hAnsi="宋体"/>
          <w:color w:val="0000FF"/>
        </w:rPr>
        <w:t>。项目建筑面积</w:t>
      </w:r>
      <w:r>
        <w:rPr>
          <w:rFonts w:hint="eastAsia" w:ascii="Calibri" w:hAnsi="宋体" w:cs="Calibri"/>
          <w:color w:val="0000FF"/>
          <w:u w:val="single"/>
          <w:lang w:val="en-US" w:eastAsia="zh-CN"/>
        </w:rPr>
        <w:t>2248.55</w:t>
      </w:r>
      <w:r>
        <w:rPr>
          <w:rFonts w:ascii="Calibri" w:hAnsi="宋体" w:cs="Calibri"/>
          <w:color w:val="0000FF"/>
        </w:rPr>
        <w:t xml:space="preserve"> </w:t>
      </w:r>
      <w:r>
        <w:rPr>
          <w:rFonts w:hint="eastAsia" w:ascii="Calibri" w:hAnsi="宋体"/>
          <w:color w:val="0000FF"/>
        </w:rPr>
        <w:t>㎡，其中地上</w:t>
      </w:r>
      <w:r>
        <w:rPr>
          <w:rFonts w:hint="eastAsia" w:ascii="Calibri" w:hAnsi="宋体" w:cs="Calibri"/>
          <w:color w:val="0000FF"/>
          <w:u w:val="single"/>
          <w:lang w:val="en-US" w:eastAsia="zh-CN"/>
        </w:rPr>
        <w:t>2248.55</w:t>
      </w:r>
      <w:r>
        <w:rPr>
          <w:rFonts w:ascii="Calibri" w:hAnsi="宋体" w:cs="Calibri"/>
          <w:color w:val="0000FF"/>
        </w:rPr>
        <w:t xml:space="preserve"> </w:t>
      </w:r>
      <w:r>
        <w:rPr>
          <w:rFonts w:hint="eastAsia" w:ascii="宋体" w:hAnsi="宋体"/>
          <w:color w:val="0000FF"/>
          <w:kern w:val="0"/>
        </w:rPr>
        <w:t>㎡，地下</w:t>
      </w:r>
      <w:r>
        <w:rPr>
          <w:rFonts w:hint="eastAsia" w:ascii="Calibri" w:hAnsi="宋体" w:cs="Calibri"/>
          <w:color w:val="0000FF"/>
          <w:u w:val="single"/>
          <w:lang w:val="en-US" w:eastAsia="zh-CN"/>
        </w:rPr>
        <w:t>0.00</w:t>
      </w:r>
      <w:r>
        <w:rPr>
          <w:rFonts w:ascii="宋体" w:hAnsi="宋体"/>
          <w:color w:val="0000FF"/>
          <w:kern w:val="0"/>
          <w:u w:val="single"/>
        </w:rPr>
        <w:t xml:space="preserve">  </w:t>
      </w:r>
      <w:r>
        <w:rPr>
          <w:rFonts w:hint="eastAsia" w:ascii="宋体" w:hAnsi="宋体"/>
          <w:color w:val="0000FF"/>
          <w:kern w:val="0"/>
        </w:rPr>
        <w:t>㎡</w:t>
      </w:r>
      <w:r>
        <w:rPr>
          <w:rFonts w:ascii="宋体" w:hAnsi="宋体"/>
          <w:color w:val="0000FF"/>
          <w:kern w:val="0"/>
        </w:rPr>
        <w:t xml:space="preserve">     </w:t>
      </w:r>
      <w:r>
        <w:rPr>
          <w:rFonts w:hint="eastAsia" w:ascii="宋体" w:hAnsi="宋体"/>
          <w:color w:val="0000FF"/>
          <w:kern w:val="0"/>
        </w:rPr>
        <w:t>　</w:t>
      </w:r>
    </w:p>
    <w:p>
      <w:pPr>
        <w:rPr>
          <w:rFonts w:ascii="Calibri" w:hAnsi="宋体" w:eastAsia="Times New Roman" w:cs="Calibri"/>
          <w:color w:val="0000FF"/>
        </w:rPr>
      </w:pPr>
      <w:r>
        <w:rPr>
          <w:rFonts w:hint="eastAsia" w:ascii="宋体" w:hAnsi="宋体"/>
          <w:color w:val="0000FF"/>
          <w:kern w:val="0"/>
        </w:rPr>
        <w:t>层数：</w:t>
      </w:r>
      <w:r>
        <w:rPr>
          <w:rFonts w:hint="eastAsia" w:ascii="宋体" w:hAnsi="宋体"/>
          <w:color w:val="0000FF"/>
          <w:kern w:val="0"/>
          <w:u w:val="single"/>
          <w:lang w:val="en-US" w:eastAsia="zh-CN"/>
        </w:rPr>
        <w:t>3</w:t>
      </w:r>
      <w:r>
        <w:rPr>
          <w:rFonts w:hint="eastAsia" w:ascii="宋体" w:hAnsi="宋体"/>
          <w:color w:val="0000FF"/>
          <w:kern w:val="0"/>
          <w:u w:val="single"/>
        </w:rPr>
        <w:t>　</w:t>
      </w:r>
      <w:r>
        <w:rPr>
          <w:rFonts w:hint="eastAsia" w:ascii="宋体" w:hAnsi="宋体"/>
          <w:color w:val="0000FF"/>
          <w:kern w:val="0"/>
        </w:rPr>
        <w:t>　　高度：</w:t>
      </w:r>
      <w:r>
        <w:rPr>
          <w:rFonts w:hint="eastAsia" w:ascii="Calibri" w:hAnsi="宋体" w:cs="Calibri"/>
          <w:color w:val="0000FF"/>
          <w:u w:val="single"/>
          <w:lang w:val="en-US" w:eastAsia="zh-CN"/>
        </w:rPr>
        <w:t>11.85</w:t>
      </w:r>
      <w:r>
        <w:rPr>
          <w:rFonts w:hint="eastAsia" w:ascii="宋体" w:hAnsi="宋体"/>
          <w:color w:val="0000FF"/>
          <w:kern w:val="0"/>
          <w:u w:val="single"/>
        </w:rPr>
        <w:t>　</w:t>
      </w:r>
      <w:r>
        <w:rPr>
          <w:rFonts w:ascii="宋体" w:hAnsi="宋体"/>
          <w:color w:val="0000FF"/>
          <w:kern w:val="0"/>
        </w:rPr>
        <w:t>m</w:t>
      </w:r>
      <w:r>
        <w:rPr>
          <w:rFonts w:hint="eastAsia" w:ascii="Calibri" w:hAnsi="宋体"/>
          <w:color w:val="0000FF"/>
        </w:rPr>
        <w:t>。主要建筑功能：居住建筑□</w:t>
      </w:r>
      <w:r>
        <w:rPr>
          <w:rFonts w:ascii="Calibri" w:hAnsi="宋体" w:cs="Calibri"/>
          <w:color w:val="0000FF"/>
        </w:rPr>
        <w:t xml:space="preserve">    </w:t>
      </w:r>
      <w:r>
        <w:rPr>
          <w:rFonts w:hint="eastAsia" w:ascii="Calibri" w:hAnsi="宋体"/>
          <w:color w:val="0000FF"/>
        </w:rPr>
        <w:t>公共建筑</w:t>
      </w:r>
      <w:r>
        <w:rPr>
          <w:rFonts w:hint="eastAsia" w:ascii="Calibri" w:hAnsi="宋体"/>
          <w:color w:val="0000FF"/>
          <w:lang w:eastAsia="zh-CN"/>
        </w:rPr>
        <w:t>☑</w:t>
      </w:r>
      <w:r>
        <w:rPr>
          <w:rFonts w:ascii="Calibri" w:hAnsi="宋体" w:cs="Calibri"/>
          <w:color w:val="0000FF"/>
        </w:rPr>
        <w:t xml:space="preserve">   </w:t>
      </w:r>
      <w:r>
        <w:rPr>
          <w:rFonts w:hint="eastAsia" w:ascii="Calibri" w:hAnsi="宋体"/>
          <w:color w:val="0000FF"/>
        </w:rPr>
        <w:t>商住建筑□</w:t>
      </w:r>
    </w:p>
    <w:p>
      <w:pPr>
        <w:widowControl w:val="0"/>
        <w:rPr>
          <w:rFonts w:hint="eastAsia" w:ascii="Calibri" w:hAnsi="宋体" w:eastAsia="宋体" w:cs="Calibri"/>
          <w:color w:val="0000FF"/>
          <w:lang w:eastAsia="zh-CN"/>
        </w:rPr>
      </w:pPr>
      <w:r>
        <w:rPr>
          <w:rFonts w:ascii="Calibri" w:hAnsi="宋体" w:cs="Calibri"/>
          <w:color w:val="0000FF"/>
        </w:rPr>
        <w:t xml:space="preserve">6. </w:t>
      </w:r>
      <w:r>
        <w:rPr>
          <w:rFonts w:hint="eastAsia" w:ascii="Calibri" w:hAnsi="宋体"/>
          <w:color w:val="0000FF"/>
        </w:rPr>
        <w:t>是否有旧建筑：有□</w:t>
      </w:r>
      <w:r>
        <w:rPr>
          <w:rFonts w:ascii="Calibri" w:hAnsi="宋体" w:cs="Calibri"/>
          <w:color w:val="0000FF"/>
        </w:rPr>
        <w:t xml:space="preserve">        </w:t>
      </w:r>
      <w:r>
        <w:rPr>
          <w:rFonts w:hint="eastAsia" w:ascii="Calibri" w:hAnsi="宋体"/>
          <w:color w:val="0000FF"/>
        </w:rPr>
        <w:t>无</w:t>
      </w:r>
      <w:r>
        <w:rPr>
          <w:rFonts w:hint="eastAsia" w:ascii="Calibri" w:hAnsi="宋体"/>
          <w:color w:val="0000FF"/>
          <w:lang w:eastAsia="zh-CN"/>
        </w:rPr>
        <w:t>☑</w:t>
      </w:r>
    </w:p>
    <w:p>
      <w:pPr>
        <w:widowControl w:val="0"/>
        <w:outlineLvl w:val="0"/>
        <w:rPr>
          <w:rFonts w:ascii="Calibri" w:hAnsi="黑体" w:eastAsia="黑体" w:cs="Calibri"/>
          <w:b/>
          <w:bCs/>
          <w:color w:val="0000FF"/>
          <w:kern w:val="0"/>
          <w:sz w:val="26"/>
          <w:szCs w:val="26"/>
        </w:rPr>
      </w:pPr>
      <w:r>
        <w:rPr>
          <w:rFonts w:hint="eastAsia" w:ascii="Calibri" w:hAnsi="黑体" w:eastAsia="黑体" w:cs="黑体"/>
          <w:b/>
          <w:bCs/>
          <w:color w:val="0000FF"/>
          <w:kern w:val="0"/>
          <w:sz w:val="26"/>
          <w:szCs w:val="26"/>
        </w:rPr>
        <w:t>三、绿色建筑设计技术措施汇总</w:t>
      </w:r>
    </w:p>
    <w:tbl>
      <w:tblPr>
        <w:tblStyle w:val="26"/>
        <w:tblW w:w="10539" w:type="dxa"/>
        <w:jc w:val="center"/>
        <w:tblInd w:w="0" w:type="dxa"/>
        <w:tblBorders>
          <w:top w:val="single" w:color="0000FF" w:sz="6" w:space="0"/>
          <w:left w:val="single" w:color="0000FF" w:sz="6" w:space="0"/>
          <w:bottom w:val="single" w:color="0000FF" w:sz="6" w:space="0"/>
          <w:right w:val="single" w:color="0000FF" w:sz="6" w:space="0"/>
          <w:insideH w:val="none" w:color="auto" w:sz="0" w:space="0"/>
          <w:insideV w:val="none" w:color="auto" w:sz="0" w:space="0"/>
        </w:tblBorders>
        <w:tblLayout w:type="fixed"/>
        <w:tblCellMar>
          <w:top w:w="0" w:type="dxa"/>
          <w:left w:w="108" w:type="dxa"/>
          <w:bottom w:w="0" w:type="dxa"/>
          <w:right w:w="108" w:type="dxa"/>
        </w:tblCellMar>
      </w:tblPr>
      <w:tblGrid>
        <w:gridCol w:w="747"/>
        <w:gridCol w:w="9792"/>
      </w:tblGrid>
      <w:tr>
        <w:tblPrEx>
          <w:tblBorders>
            <w:top w:val="single" w:color="0000FF" w:sz="6" w:space="0"/>
            <w:left w:val="single" w:color="0000FF" w:sz="6" w:space="0"/>
            <w:bottom w:val="single" w:color="0000FF" w:sz="6" w:space="0"/>
            <w:right w:val="single" w:color="0000FF" w:sz="6" w:space="0"/>
            <w:insideH w:val="none" w:color="auto" w:sz="0" w:space="0"/>
            <w:insideV w:val="none" w:color="auto" w:sz="0" w:space="0"/>
          </w:tblBorders>
          <w:tblLayout w:type="fixed"/>
          <w:tblCellMar>
            <w:top w:w="0" w:type="dxa"/>
            <w:left w:w="108" w:type="dxa"/>
            <w:bottom w:w="0" w:type="dxa"/>
            <w:right w:w="108" w:type="dxa"/>
          </w:tblCellMar>
        </w:tblPrEx>
        <w:trPr>
          <w:trHeight w:val="412" w:hRule="atLeast"/>
          <w:jc w:val="center"/>
        </w:trPr>
        <w:tc>
          <w:tcPr>
            <w:tcW w:w="10539" w:type="dxa"/>
            <w:gridSpan w:val="2"/>
            <w:tcBorders>
              <w:top w:val="single" w:color="0000FF" w:sz="6" w:space="0"/>
            </w:tcBorders>
          </w:tcPr>
          <w:p>
            <w:pPr>
              <w:widowControl w:val="0"/>
              <w:spacing w:line="300" w:lineRule="exact"/>
              <w:rPr>
                <w:rFonts w:ascii="Calibri" w:hAnsi="黑体" w:eastAsia="黑体" w:cs="Calibri"/>
                <w:b/>
                <w:bCs/>
                <w:color w:val="0000FF"/>
                <w:kern w:val="0"/>
                <w:sz w:val="24"/>
                <w:szCs w:val="24"/>
              </w:rPr>
            </w:pPr>
          </w:p>
          <w:p>
            <w:pPr>
              <w:widowControl w:val="0"/>
              <w:spacing w:line="300" w:lineRule="exact"/>
              <w:jc w:val="center"/>
              <w:rPr>
                <w:rFonts w:ascii="Calibri" w:hAnsi="黑体" w:eastAsia="黑体" w:cs="Calibri"/>
                <w:b/>
                <w:bCs/>
                <w:color w:val="0000FF"/>
                <w:kern w:val="0"/>
                <w:sz w:val="24"/>
                <w:szCs w:val="24"/>
              </w:rPr>
            </w:pPr>
            <w:r>
              <w:rPr>
                <w:rFonts w:hint="eastAsia" w:ascii="Calibri" w:hAnsi="黑体" w:eastAsia="黑体" w:cs="黑体"/>
                <w:b/>
                <w:bCs/>
                <w:color w:val="0000FF"/>
                <w:kern w:val="0"/>
                <w:sz w:val="24"/>
                <w:szCs w:val="24"/>
              </w:rPr>
              <w:t>一、节地与室外环境技术措施</w:t>
            </w:r>
          </w:p>
          <w:p>
            <w:pPr>
              <w:widowControl w:val="0"/>
              <w:spacing w:line="240" w:lineRule="exact"/>
              <w:rPr>
                <w:rFonts w:ascii="Calibri" w:eastAsia="Times New Roman" w:cs="Calibri"/>
                <w:color w:val="0000FF"/>
                <w:sz w:val="18"/>
                <w:szCs w:val="18"/>
              </w:rPr>
            </w:pPr>
          </w:p>
        </w:tc>
      </w:tr>
      <w:tr>
        <w:tblPrEx>
          <w:tblBorders>
            <w:top w:val="single" w:color="0000FF" w:sz="6" w:space="0"/>
            <w:left w:val="single" w:color="0000FF" w:sz="6" w:space="0"/>
            <w:bottom w:val="single" w:color="0000FF" w:sz="6" w:space="0"/>
            <w:right w:val="single" w:color="0000FF" w:sz="6" w:space="0"/>
            <w:insideH w:val="none" w:color="auto" w:sz="0" w:space="0"/>
            <w:insideV w:val="none" w:color="auto" w:sz="0" w:space="0"/>
          </w:tblBorders>
          <w:tblLayout w:type="fixed"/>
          <w:tblCellMar>
            <w:top w:w="0" w:type="dxa"/>
            <w:left w:w="108" w:type="dxa"/>
            <w:bottom w:w="0" w:type="dxa"/>
            <w:right w:w="108" w:type="dxa"/>
          </w:tblCellMar>
        </w:tblPrEx>
        <w:trPr>
          <w:trHeight w:val="879" w:hRule="atLeast"/>
          <w:jc w:val="center"/>
        </w:trPr>
        <w:tc>
          <w:tcPr>
            <w:tcW w:w="10539" w:type="dxa"/>
            <w:gridSpan w:val="2"/>
          </w:tcPr>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必须说明内容（控制项）</w:t>
            </w:r>
          </w:p>
          <w:p>
            <w:pPr>
              <w:widowControl w:val="0"/>
              <w:spacing w:line="240" w:lineRule="exact"/>
              <w:jc w:val="center"/>
              <w:rPr>
                <w:rFonts w:ascii="Calibri" w:eastAsia="Times New Roman" w:cs="Calibri"/>
                <w:b/>
                <w:bCs/>
                <w:color w:val="4F81BD"/>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规划专业</w:t>
            </w:r>
          </w:p>
          <w:p>
            <w:pPr>
              <w:widowControl w:val="0"/>
              <w:spacing w:line="240" w:lineRule="exact"/>
              <w:rPr>
                <w:rFonts w:ascii="黑体" w:hAnsi="宋体" w:eastAsia="黑体" w:cs="黑体"/>
                <w:color w:val="0000FF"/>
                <w:sz w:val="18"/>
                <w:szCs w:val="18"/>
              </w:rPr>
            </w:pPr>
            <w:r>
              <w:rPr>
                <w:rFonts w:hint="eastAsia" w:ascii="黑体" w:hAnsi="Wingdings 2" w:eastAsia="黑体" w:cs="黑体"/>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4.1.1</w:t>
            </w:r>
            <w:r>
              <w:rPr>
                <w:rFonts w:hint="eastAsia" w:ascii="黑体" w:hAnsi="Calibri" w:eastAsia="黑体" w:cs="黑体"/>
                <w:color w:val="0000FF"/>
                <w:sz w:val="18"/>
                <w:szCs w:val="18"/>
                <w:bdr w:val="single" w:color="0000FF" w:sz="4" w:space="0"/>
              </w:rPr>
              <w:t>项目选址应符合所在地城乡规划，且应符合各类保护区、文物古迹保护的建设控制要求。</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技术措施说明：（满足需在方框内打勾</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，并填写相应技术措施；不参评在方框内打斜杠</w:t>
            </w: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hint="eastAsia" w:ascii="宋体" w:hAnsi="宋体"/>
                <w:color w:val="0000FF"/>
                <w:sz w:val="18"/>
                <w:szCs w:val="18"/>
              </w:rPr>
              <w:t>并注明不参评原因；不满足在方框内打叉</w:t>
            </w: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hint="eastAsia" w:ascii="宋体" w:hAnsi="宋体"/>
                <w:color w:val="0000FF"/>
                <w:position w:val="1"/>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hint="eastAsia" w:ascii="宋体" w:hAnsi="宋体"/>
                <w:color w:val="0000FF"/>
                <w:sz w:val="18"/>
                <w:szCs w:val="18"/>
              </w:rPr>
              <w:t>，内容可不填写）</w:t>
            </w:r>
          </w:p>
          <w:p>
            <w:pPr>
              <w:widowControl w:val="0"/>
              <w:spacing w:line="240" w:lineRule="exact"/>
              <w:rPr>
                <w:rFonts w:hint="eastAsia" w:ascii="宋体" w:hAnsi="宋体"/>
                <w:color w:val="0000FF"/>
                <w:sz w:val="18"/>
                <w:szCs w:val="18"/>
              </w:rPr>
            </w:pPr>
            <w:r>
              <w:rPr>
                <w:rFonts w:hint="eastAsia" w:ascii="宋体" w:hAnsi="宋体"/>
                <w:color w:val="0000FF"/>
                <w:sz w:val="18"/>
                <w:szCs w:val="18"/>
              </w:rPr>
              <w:t>本项目位于</w:t>
            </w:r>
            <w:r>
              <w:rPr>
                <w:rFonts w:hint="eastAsia" w:ascii="宋体" w:hAnsi="宋体"/>
                <w:color w:val="0000FF"/>
                <w:sz w:val="18"/>
                <w:szCs w:val="18"/>
                <w:lang w:val="en-US" w:eastAsia="zh-CN"/>
              </w:rPr>
              <w:t>广东省汕头市澄海区。</w:t>
            </w:r>
            <w:r>
              <w:rPr>
                <w:rFonts w:hint="eastAsia" w:ascii="宋体" w:hAnsi="宋体"/>
                <w:color w:val="0000FF"/>
                <w:sz w:val="18"/>
                <w:szCs w:val="18"/>
              </w:rPr>
              <w:t>用地范围内无其他野生植物；目前基地现状较为平坦，基地范围内无需保留建构筑物和树木等。施工场地不涉及自然历史遗产、自然保护区、风景名胜区、基本农田保护区等敏感区，没有特别受保护的生境、生物区系及水产资源。</w:t>
            </w:r>
          </w:p>
          <w:p>
            <w:pPr>
              <w:widowControl w:val="0"/>
              <w:spacing w:line="240" w:lineRule="exact"/>
              <w:rPr>
                <w:rFonts w:ascii="宋体" w:hAnsi="宋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ascii="宋体" w:hAnsi="宋体"/>
                <w:color w:val="0000FF"/>
                <w:sz w:val="18"/>
                <w:szCs w:val="18"/>
              </w:rPr>
              <w:t xml:space="preserve"> </w:t>
            </w:r>
            <w:r>
              <w:rPr>
                <w:rFonts w:hint="eastAsia" w:ascii="宋体" w:hAnsi="宋体"/>
                <w:color w:val="0000FF"/>
                <w:sz w:val="18"/>
                <w:szCs w:val="18"/>
              </w:rPr>
              <w:t>环评报告，批复文件。</w:t>
            </w:r>
            <w:r>
              <w:rPr>
                <w:rFonts w:ascii="宋体" w:hAnsi="宋体"/>
                <w:color w:val="0000FF"/>
                <w:sz w:val="18"/>
                <w:szCs w:val="18"/>
              </w:rPr>
              <w:t xml:space="preserve"> </w:t>
            </w:r>
          </w:p>
          <w:p>
            <w:pPr>
              <w:widowControl w:val="0"/>
              <w:spacing w:line="240" w:lineRule="exact"/>
              <w:ind w:left="450" w:hanging="450" w:hangingChars="250"/>
              <w:rPr>
                <w:rFonts w:ascii="黑体" w:hAnsi="Calibri"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bdr w:val="single" w:color="0000FF" w:sz="4" w:space="0"/>
              </w:rPr>
              <w:t xml:space="preserve"> </w:t>
            </w:r>
            <w:r>
              <w:rPr>
                <w:rFonts w:ascii="黑体" w:hAnsi="Calibri" w:eastAsia="黑体" w:cs="黑体"/>
                <w:color w:val="0000FF"/>
                <w:sz w:val="18"/>
                <w:szCs w:val="18"/>
                <w:bdr w:val="single" w:color="0000FF" w:sz="4" w:space="0"/>
              </w:rPr>
              <w:t>4.1.2</w:t>
            </w:r>
            <w:r>
              <w:rPr>
                <w:rFonts w:hint="eastAsia" w:ascii="黑体" w:hAnsi="Calibri" w:eastAsia="黑体" w:cs="黑体"/>
                <w:color w:val="0000FF"/>
                <w:sz w:val="18"/>
                <w:szCs w:val="18"/>
                <w:bdr w:val="single" w:color="0000FF" w:sz="4" w:space="0"/>
              </w:rPr>
              <w:t>场地应无洪涝、滑坡、泥石流等自然灾害的威胁，无危险化学品、易燃易爆危险源的威胁，无电磁辐射、含氡土壤等危害。</w:t>
            </w:r>
          </w:p>
          <w:p>
            <w:pPr>
              <w:widowControl w:val="0"/>
              <w:topLinePunct/>
              <w:spacing w:line="240" w:lineRule="exact"/>
              <w:ind w:left="450" w:hanging="450" w:hangingChars="250"/>
              <w:rPr>
                <w:rFonts w:ascii="宋体" w:hAnsi="Calibri"/>
                <w:color w:val="0000FF"/>
                <w:sz w:val="18"/>
                <w:szCs w:val="18"/>
              </w:rPr>
            </w:pPr>
            <w:r>
              <w:rPr>
                <w:rFonts w:hint="eastAsia" w:ascii="宋体" w:hAnsi="宋体"/>
                <w:color w:val="0000FF"/>
                <w:sz w:val="18"/>
                <w:szCs w:val="18"/>
              </w:rPr>
              <w:t>技术措施说明：建筑场地选址无洪灾、泥石流及含氡土壤的威胁，建筑场地安全范围内无电磁辐射危害和火、爆、有毒物质等危险源。各检测点土壤氡浓度不大于</w:t>
            </w:r>
            <w:r>
              <w:rPr>
                <w:rFonts w:ascii="宋体" w:hAnsi="宋体"/>
                <w:color w:val="0000FF"/>
                <w:sz w:val="18"/>
                <w:szCs w:val="18"/>
              </w:rPr>
              <w:t>20000Bq/m3</w:t>
            </w:r>
            <w:r>
              <w:rPr>
                <w:rFonts w:hint="eastAsia" w:ascii="宋体" w:hAnsi="宋体"/>
                <w:color w:val="0000FF"/>
                <w:sz w:val="18"/>
                <w:szCs w:val="18"/>
              </w:rPr>
              <w:t>，土壤氡含量符合《民用建筑工程室内环境污染控制规范》</w:t>
            </w:r>
            <w:r>
              <w:rPr>
                <w:rFonts w:ascii="宋体" w:hAnsi="宋体"/>
                <w:color w:val="0000FF"/>
                <w:sz w:val="18"/>
                <w:szCs w:val="18"/>
              </w:rPr>
              <w:t>GB50325</w:t>
            </w:r>
            <w:r>
              <w:rPr>
                <w:rFonts w:hint="eastAsia" w:ascii="宋体" w:hAnsi="宋体"/>
                <w:color w:val="0000FF"/>
                <w:sz w:val="18"/>
                <w:szCs w:val="18"/>
              </w:rPr>
              <w:t>的相关要求。</w:t>
            </w:r>
          </w:p>
          <w:p>
            <w:pPr>
              <w:widowControl w:val="0"/>
              <w:spacing w:line="240" w:lineRule="exact"/>
              <w:ind w:left="450" w:hanging="450" w:hangingChars="250"/>
              <w:rPr>
                <w:rFonts w:hint="eastAsia" w:ascii="宋体" w:hAnsi="宋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ascii="宋体" w:hAnsi="宋体"/>
                <w:color w:val="0000FF"/>
                <w:sz w:val="18"/>
                <w:szCs w:val="18"/>
              </w:rPr>
              <w:t xml:space="preserve"> </w:t>
            </w:r>
            <w:r>
              <w:rPr>
                <w:rFonts w:hint="eastAsia" w:ascii="宋体" w:hAnsi="宋体"/>
                <w:color w:val="0000FF"/>
                <w:sz w:val="18"/>
                <w:szCs w:val="18"/>
              </w:rPr>
              <w:t>环评报告，批复文件；</w:t>
            </w:r>
            <w:r>
              <w:rPr>
                <w:rFonts w:hint="eastAsia" w:ascii="黑体" w:hAnsi="Wingdings 2" w:eastAsia="黑体" w:cs="黑体"/>
                <w:color w:val="0000FF"/>
                <w:sz w:val="18"/>
                <w:szCs w:val="18"/>
              </w:rPr>
              <w:sym w:font="Wingdings 2" w:char="F052"/>
            </w:r>
            <w:r>
              <w:rPr>
                <w:rFonts w:ascii="宋体" w:hAnsi="宋体"/>
                <w:color w:val="0000FF"/>
                <w:sz w:val="18"/>
                <w:szCs w:val="18"/>
              </w:rPr>
              <w:t xml:space="preserve"> </w:t>
            </w:r>
            <w:r>
              <w:rPr>
                <w:rFonts w:hint="eastAsia" w:ascii="宋体" w:hAnsi="宋体"/>
                <w:color w:val="0000FF"/>
                <w:sz w:val="18"/>
                <w:szCs w:val="18"/>
              </w:rPr>
              <w:t>土壤氡浓度检测报告。</w:t>
            </w:r>
          </w:p>
          <w:p>
            <w:pPr>
              <w:widowControl w:val="0"/>
              <w:spacing w:line="240" w:lineRule="exact"/>
              <w:ind w:left="450" w:hanging="450" w:hangingChars="250"/>
              <w:rPr>
                <w:rFonts w:hint="eastAsia" w:ascii="宋体" w:hAnsi="宋体"/>
                <w:color w:val="0000FF"/>
                <w:sz w:val="18"/>
                <w:szCs w:val="18"/>
              </w:rPr>
            </w:pPr>
          </w:p>
          <w:p>
            <w:pPr>
              <w:widowControl w:val="0"/>
              <w:spacing w:line="240" w:lineRule="exact"/>
              <w:rPr>
                <w:rFonts w:ascii="黑体" w:hAnsi="Calibri" w:eastAsia="黑体" w:cs="黑体"/>
                <w:color w:val="0000FF"/>
                <w:sz w:val="18"/>
                <w:szCs w:val="18"/>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 xml:space="preserve"> 4.1.3</w:t>
            </w:r>
            <w:r>
              <w:rPr>
                <w:rFonts w:hint="eastAsia" w:ascii="黑体" w:hAnsi="Calibri" w:eastAsia="黑体" w:cs="黑体"/>
                <w:color w:val="0000FF"/>
                <w:sz w:val="18"/>
                <w:szCs w:val="18"/>
                <w:bdr w:val="single" w:color="0000FF" w:sz="4" w:space="0"/>
              </w:rPr>
              <w:t>场地内不应有排放超标的污染源。</w:t>
            </w:r>
          </w:p>
          <w:p>
            <w:pPr>
              <w:widowControl w:val="0"/>
              <w:topLinePunct/>
              <w:spacing w:line="240" w:lineRule="exact"/>
              <w:ind w:left="450" w:hanging="450" w:hangingChars="250"/>
              <w:rPr>
                <w:rFonts w:hint="eastAsia" w:ascii="宋体" w:hAnsi="宋体"/>
                <w:color w:val="0000FF"/>
                <w:sz w:val="18"/>
                <w:szCs w:val="18"/>
                <w:lang w:val="en-US" w:eastAsia="zh-CN"/>
              </w:rPr>
            </w:pPr>
            <w:r>
              <w:rPr>
                <w:rFonts w:hint="eastAsia" w:ascii="宋体" w:hAnsi="宋体"/>
                <w:color w:val="0000FF"/>
                <w:sz w:val="18"/>
                <w:szCs w:val="18"/>
              </w:rPr>
              <w:t>技术措施说明</w:t>
            </w:r>
            <w:r>
              <w:rPr>
                <w:rFonts w:hint="eastAsia" w:ascii="宋体" w:hAnsi="宋体"/>
                <w:color w:val="0000FF"/>
                <w:sz w:val="18"/>
                <w:szCs w:val="18"/>
                <w:lang w:val="zh-CN"/>
              </w:rPr>
              <w:t>：本项目为新建项目，不存在与本项目有关的原有污染。根据本项目内部功能布局，项目建成后</w:t>
            </w:r>
            <w:r>
              <w:rPr>
                <w:rFonts w:hint="eastAsia" w:ascii="宋体" w:hAnsi="宋体"/>
                <w:color w:val="0000FF"/>
                <w:sz w:val="18"/>
                <w:szCs w:val="18"/>
                <w:lang w:val="en-US" w:eastAsia="zh-CN"/>
              </w:rPr>
              <w:t>主要污染物及其处理方式为</w:t>
            </w:r>
          </w:p>
          <w:p>
            <w:pPr>
              <w:widowControl w:val="0"/>
              <w:topLinePunct/>
              <w:spacing w:line="240" w:lineRule="exact"/>
              <w:ind w:left="450" w:hanging="450" w:hangingChars="250"/>
              <w:rPr>
                <w:rFonts w:hint="eastAsia" w:ascii="宋体" w:hAnsi="宋体"/>
                <w:color w:val="0000FF"/>
                <w:sz w:val="18"/>
                <w:szCs w:val="18"/>
                <w:lang w:val="zh-CN"/>
              </w:rPr>
            </w:pPr>
            <w:r>
              <w:rPr>
                <w:rFonts w:hint="eastAsia" w:ascii="宋体" w:hAnsi="宋体"/>
                <w:color w:val="0000FF"/>
                <w:sz w:val="18"/>
                <w:szCs w:val="18"/>
                <w:lang w:val="zh-CN"/>
              </w:rPr>
              <w:t>废水：</w:t>
            </w:r>
            <w:r>
              <w:rPr>
                <w:rFonts w:hint="eastAsia" w:ascii="宋体" w:hAnsi="宋体"/>
                <w:color w:val="0000FF"/>
                <w:sz w:val="18"/>
                <w:szCs w:val="18"/>
                <w:lang w:val="en-US" w:eastAsia="zh-CN"/>
              </w:rPr>
              <w:t>本工程采用雨污分流、污废合流制，粪便经三级化粪池后排污水道</w:t>
            </w:r>
            <w:r>
              <w:rPr>
                <w:rFonts w:hint="eastAsia" w:ascii="宋体" w:hAnsi="宋体"/>
                <w:color w:val="0000FF"/>
                <w:sz w:val="18"/>
                <w:szCs w:val="18"/>
                <w:lang w:val="zh-CN"/>
              </w:rPr>
              <w:t>。</w:t>
            </w:r>
          </w:p>
          <w:p>
            <w:pPr>
              <w:widowControl w:val="0"/>
              <w:topLinePunct/>
              <w:spacing w:line="240" w:lineRule="exact"/>
              <w:ind w:left="450" w:hanging="450" w:hangingChars="250"/>
              <w:rPr>
                <w:rFonts w:hint="eastAsia" w:ascii="宋体" w:hAnsi="宋体"/>
                <w:color w:val="0000FF"/>
                <w:sz w:val="18"/>
                <w:szCs w:val="18"/>
                <w:lang w:val="zh-CN"/>
              </w:rPr>
            </w:pPr>
            <w:r>
              <w:rPr>
                <w:rFonts w:hint="eastAsia" w:ascii="宋体" w:hAnsi="宋体"/>
                <w:color w:val="0000FF"/>
                <w:sz w:val="18"/>
                <w:szCs w:val="18"/>
                <w:lang w:val="zh-CN"/>
              </w:rPr>
              <w:t>固体废弃物：对产生的固废收集堆放在</w:t>
            </w:r>
            <w:r>
              <w:rPr>
                <w:rFonts w:hint="eastAsia" w:ascii="宋体" w:hAnsi="宋体"/>
                <w:color w:val="0000FF"/>
                <w:sz w:val="18"/>
                <w:szCs w:val="18"/>
                <w:lang w:val="en-US" w:eastAsia="zh-CN"/>
              </w:rPr>
              <w:t>学校</w:t>
            </w:r>
            <w:r>
              <w:rPr>
                <w:rFonts w:hint="eastAsia" w:ascii="宋体" w:hAnsi="宋体"/>
                <w:color w:val="0000FF"/>
                <w:sz w:val="18"/>
                <w:szCs w:val="18"/>
                <w:lang w:val="zh-CN"/>
              </w:rPr>
              <w:t>垃圾收集点</w:t>
            </w:r>
            <w:r>
              <w:rPr>
                <w:rFonts w:hint="eastAsia" w:ascii="宋体" w:hAnsi="宋体"/>
                <w:color w:val="0000FF"/>
                <w:sz w:val="18"/>
                <w:szCs w:val="18"/>
                <w:lang w:val="zh-CN" w:eastAsia="zh-CN"/>
              </w:rPr>
              <w:t>，</w:t>
            </w:r>
            <w:r>
              <w:rPr>
                <w:rFonts w:hint="eastAsia" w:ascii="宋体" w:hAnsi="宋体"/>
                <w:color w:val="0000FF"/>
                <w:sz w:val="18"/>
                <w:szCs w:val="18"/>
                <w:lang w:val="en-US" w:eastAsia="zh-CN"/>
              </w:rPr>
              <w:t>由专人</w:t>
            </w:r>
            <w:r>
              <w:rPr>
                <w:rFonts w:hint="eastAsia" w:ascii="宋体" w:hAnsi="宋体"/>
                <w:color w:val="0000FF"/>
                <w:sz w:val="18"/>
                <w:szCs w:val="18"/>
                <w:lang w:val="zh-CN"/>
              </w:rPr>
              <w:t>定时清理。</w:t>
            </w:r>
          </w:p>
          <w:p>
            <w:pPr>
              <w:widowControl w:val="0"/>
              <w:topLinePunct/>
              <w:spacing w:line="240" w:lineRule="exact"/>
              <w:ind w:left="450" w:hanging="450" w:hangingChars="250"/>
              <w:rPr>
                <w:rFonts w:hint="eastAsia" w:ascii="宋体" w:hAnsi="宋体"/>
                <w:color w:val="0000FF"/>
                <w:sz w:val="18"/>
                <w:szCs w:val="18"/>
                <w:lang w:val="zh-CN"/>
              </w:rPr>
            </w:pPr>
            <w:r>
              <w:rPr>
                <w:rFonts w:hint="eastAsia" w:ascii="宋体" w:hAnsi="宋体"/>
                <w:color w:val="0000FF"/>
                <w:sz w:val="18"/>
                <w:szCs w:val="18"/>
                <w:lang w:val="zh-CN"/>
              </w:rPr>
              <w:t>噪声：本项目选用节能低噪声设备，对各种因振动而引起噪声的设备加减振垫，减少振动噪声。</w:t>
            </w:r>
          </w:p>
          <w:p>
            <w:pPr>
              <w:widowControl w:val="0"/>
              <w:spacing w:line="240" w:lineRule="exact"/>
              <w:rPr>
                <w:rFonts w:hint="eastAsia" w:ascii="宋体" w:hAnsi="宋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ascii="宋体" w:hAnsi="宋体"/>
                <w:color w:val="0000FF"/>
                <w:sz w:val="18"/>
                <w:szCs w:val="18"/>
              </w:rPr>
              <w:t xml:space="preserve"> </w:t>
            </w:r>
            <w:r>
              <w:rPr>
                <w:rFonts w:hint="eastAsia" w:ascii="宋体" w:hAnsi="宋体"/>
                <w:color w:val="0000FF"/>
                <w:sz w:val="18"/>
                <w:szCs w:val="18"/>
              </w:rPr>
              <w:t>环评报告，批复文件；</w:t>
            </w:r>
          </w:p>
          <w:p>
            <w:pPr>
              <w:widowControl w:val="0"/>
              <w:spacing w:line="240" w:lineRule="exact"/>
              <w:rPr>
                <w:rFonts w:hint="eastAsia" w:ascii="宋体" w:hAnsi="宋体"/>
                <w:color w:val="0000FF"/>
                <w:sz w:val="18"/>
                <w:szCs w:val="18"/>
              </w:rPr>
            </w:pPr>
          </w:p>
          <w:p>
            <w:pPr>
              <w:widowControl w:val="0"/>
              <w:spacing w:line="240" w:lineRule="exact"/>
              <w:rPr>
                <w:rFonts w:ascii="黑体" w:hAnsi="Calibri" w:eastAsia="黑体" w:cs="黑体"/>
                <w:color w:val="0000FF"/>
                <w:sz w:val="18"/>
                <w:szCs w:val="18"/>
                <w:bdr w:val="single" w:color="0000FF" w:sz="4" w:space="0"/>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4.1.4</w:t>
            </w:r>
            <w:r>
              <w:rPr>
                <w:rFonts w:hint="eastAsia" w:ascii="黑体" w:hAnsi="Calibri" w:eastAsia="黑体" w:cs="黑体"/>
                <w:color w:val="0000FF"/>
                <w:sz w:val="18"/>
                <w:szCs w:val="18"/>
                <w:bdr w:val="single" w:color="0000FF" w:sz="4" w:space="0"/>
              </w:rPr>
              <w:t>建筑规划布局应满足日照标准，且不得降低周边建筑的日照标准。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技术措施说明：本项目有周边居住建筑，通过日照分析，本项目建成后不影响周边日照情况，同时居住空间满足日照要求。</w:t>
            </w:r>
          </w:p>
          <w:p>
            <w:pPr>
              <w:widowControl w:val="0"/>
              <w:spacing w:line="240" w:lineRule="exact"/>
              <w:rPr>
                <w:rFonts w:ascii="Calibri" w:eastAsia="Times New Roman" w:cs="Calibri"/>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ascii="宋体" w:hAnsi="宋体"/>
                <w:color w:val="0000FF"/>
                <w:sz w:val="18"/>
                <w:szCs w:val="18"/>
              </w:rPr>
              <w:t xml:space="preserve"> </w:t>
            </w:r>
            <w:r>
              <w:rPr>
                <w:rFonts w:hint="eastAsia" w:ascii="宋体" w:hAnsi="宋体"/>
                <w:color w:val="0000FF"/>
                <w:sz w:val="18"/>
                <w:szCs w:val="18"/>
              </w:rPr>
              <w:t>日照环境模拟计算书；</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设计图纸（建筑、建施</w:t>
            </w:r>
            <w:r>
              <w:rPr>
                <w:rFonts w:ascii="宋体" w:hAnsi="Calibri"/>
                <w:color w:val="0000FF"/>
                <w:sz w:val="18"/>
                <w:szCs w:val="18"/>
              </w:rPr>
              <w:t>-02</w:t>
            </w:r>
            <w:r>
              <w:rPr>
                <w:rFonts w:hint="eastAsia" w:ascii="宋体" w:hAnsi="宋体"/>
                <w:color w:val="0000FF"/>
                <w:sz w:val="18"/>
                <w:szCs w:val="18"/>
              </w:rPr>
              <w:t>）</w:t>
            </w:r>
          </w:p>
          <w:p>
            <w:pPr>
              <w:widowControl w:val="0"/>
              <w:spacing w:line="240" w:lineRule="exact"/>
              <w:rPr>
                <w:rFonts w:ascii="Calibri" w:eastAsia="Times New Roman" w:cs="Calibri"/>
                <w:color w:val="0000FF"/>
                <w:sz w:val="18"/>
                <w:szCs w:val="18"/>
              </w:rPr>
            </w:pPr>
          </w:p>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自选说明内容（评分项）</w:t>
            </w: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规划专业</w:t>
            </w:r>
          </w:p>
          <w:p>
            <w:pPr>
              <w:widowControl w:val="0"/>
              <w:spacing w:line="240" w:lineRule="exact"/>
              <w:rPr>
                <w:rFonts w:hint="eastAsia" w:ascii="宋体" w:hAnsi="宋体"/>
                <w:color w:val="8EAADB"/>
                <w:sz w:val="18"/>
                <w:szCs w:val="18"/>
              </w:rPr>
            </w:pPr>
            <w:r>
              <w:rPr>
                <w:rFonts w:hint="eastAsia" w:ascii="宋体" w:hAnsi="宋体"/>
                <w:color w:val="8EAADB"/>
                <w:sz w:val="18"/>
                <w:szCs w:val="18"/>
              </w:rPr>
              <w:fldChar w:fldCharType="begin"/>
            </w:r>
            <w:r>
              <w:rPr>
                <w:rFonts w:hint="eastAsia" w:ascii="宋体" w:hAnsi="宋体"/>
                <w:color w:val="8EAADB"/>
                <w:sz w:val="18"/>
                <w:szCs w:val="18"/>
              </w:rPr>
              <w:instrText xml:space="preserve"> eq \o\ac(□,×)</w:instrText>
            </w:r>
            <w:r>
              <w:rPr>
                <w:rFonts w:hint="eastAsia" w:ascii="宋体" w:hAnsi="宋体"/>
                <w:color w:val="8EAADB"/>
                <w:sz w:val="18"/>
                <w:szCs w:val="18"/>
              </w:rPr>
              <w:fldChar w:fldCharType="end"/>
            </w:r>
            <w:r>
              <w:rPr>
                <w:rFonts w:hint="eastAsia" w:ascii="宋体" w:hAnsi="宋体"/>
                <w:color w:val="8EAADB"/>
                <w:sz w:val="18"/>
                <w:szCs w:val="18"/>
              </w:rPr>
              <w:t xml:space="preserve"> 4.2.1节约集约利用土地。</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技术措施说明：。</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证明材料： □设计图纸（建筑、建施-02）□人均居住用地指标计算书；</w:t>
            </w:r>
          </w:p>
          <w:p>
            <w:pPr>
              <w:widowControl w:val="0"/>
              <w:spacing w:line="240" w:lineRule="exact"/>
              <w:rPr>
                <w:rFonts w:ascii="宋体" w:hAnsi="Calibri"/>
                <w:color w:val="0000FF"/>
                <w:sz w:val="18"/>
                <w:szCs w:val="18"/>
              </w:rPr>
            </w:pPr>
            <w:r>
              <w:rPr>
                <w:rFonts w:hint="eastAsia" w:ascii="黑体" w:hAnsi="Wingdings 2" w:eastAsia="黑体" w:cs="黑体"/>
                <w:color w:val="0000FF"/>
                <w:sz w:val="18"/>
                <w:szCs w:val="18"/>
              </w:rPr>
              <w:sym w:font="Wingdings 2" w:char="F052"/>
            </w:r>
            <w:r>
              <w:rPr>
                <w:rFonts w:ascii="黑体" w:hAnsi="Calibri" w:eastAsia="黑体" w:cs="黑体"/>
                <w:color w:val="0000FF"/>
                <w:sz w:val="18"/>
                <w:szCs w:val="18"/>
                <w:bdr w:val="single" w:color="0000FF" w:sz="4" w:space="0"/>
              </w:rPr>
              <w:t>4.2.2</w:t>
            </w:r>
            <w:r>
              <w:rPr>
                <w:rFonts w:hint="eastAsia" w:ascii="黑体" w:hAnsi="Calibri" w:eastAsia="黑体" w:cs="黑体"/>
                <w:color w:val="0000FF"/>
                <w:sz w:val="18"/>
                <w:szCs w:val="18"/>
                <w:bdr w:val="single" w:color="0000FF" w:sz="4" w:space="0"/>
              </w:rPr>
              <w:t>场地内合理设置绿化用地。</w:t>
            </w:r>
            <w:r>
              <w:rPr>
                <w:rFonts w:hint="eastAsia" w:ascii="黑体" w:hAnsi="Calibri" w:eastAsia="黑体" w:cs="黑体"/>
                <w:color w:val="0000FF"/>
                <w:sz w:val="18"/>
                <w:szCs w:val="18"/>
              </w:rPr>
              <w:t>（</w:t>
            </w:r>
            <w:r>
              <w:rPr>
                <w:rFonts w:hint="eastAsia" w:ascii="黑体" w:hAnsi="Calibri" w:eastAsia="黑体" w:cs="黑体"/>
                <w:color w:val="0000FF"/>
                <w:sz w:val="18"/>
                <w:szCs w:val="18"/>
                <w:lang w:val="en-US" w:eastAsia="zh-CN"/>
              </w:rPr>
              <w:t>9</w:t>
            </w:r>
            <w:r>
              <w:rPr>
                <w:rFonts w:hint="eastAsia" w:ascii="黑体" w:hAnsi="Calibri"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Calibri"/>
                <w:color w:val="0000FF"/>
                <w:sz w:val="18"/>
                <w:szCs w:val="18"/>
              </w:rPr>
              <w:t>技术措施说明：</w:t>
            </w:r>
            <w:r>
              <w:rPr>
                <w:rFonts w:ascii="宋体" w:hAnsi="Calibri"/>
                <w:color w:val="0000FF"/>
                <w:sz w:val="18"/>
                <w:szCs w:val="18"/>
              </w:rPr>
              <w:t xml:space="preserve"> </w:t>
            </w:r>
            <w:r>
              <w:rPr>
                <w:rFonts w:hint="eastAsia" w:ascii="宋体" w:hAnsi="Calibri"/>
                <w:color w:val="0000FF"/>
                <w:sz w:val="18"/>
                <w:szCs w:val="18"/>
                <w:lang w:val="en-US" w:eastAsia="zh-CN"/>
              </w:rPr>
              <w:t>项目为学校建筑，</w:t>
            </w:r>
            <w:r>
              <w:rPr>
                <w:rFonts w:hint="eastAsia" w:ascii="宋体" w:hAnsi="Calibri"/>
                <w:color w:val="0000FF"/>
                <w:sz w:val="18"/>
                <w:szCs w:val="18"/>
              </w:rPr>
              <w:t>绿地率达</w:t>
            </w:r>
            <w:r>
              <w:rPr>
                <w:rFonts w:hint="eastAsia" w:ascii="宋体" w:hAnsi="Calibri"/>
                <w:color w:val="0000FF"/>
                <w:sz w:val="18"/>
                <w:szCs w:val="18"/>
                <w:lang w:val="en-US" w:eastAsia="zh-CN"/>
              </w:rPr>
              <w:t>40.0</w:t>
            </w:r>
            <w:r>
              <w:rPr>
                <w:rFonts w:hint="eastAsia" w:ascii="宋体" w:hAnsi="Calibri"/>
                <w:color w:val="0000FF"/>
                <w:sz w:val="18"/>
                <w:szCs w:val="18"/>
              </w:rPr>
              <w:t>%</w:t>
            </w:r>
            <w:r>
              <w:rPr>
                <w:rFonts w:hint="eastAsia" w:ascii="宋体" w:hAnsi="Calibri"/>
                <w:color w:val="0000FF"/>
                <w:sz w:val="18"/>
                <w:szCs w:val="18"/>
                <w:lang w:eastAsia="zh-CN"/>
              </w:rPr>
              <w:t>，</w:t>
            </w:r>
            <w:r>
              <w:rPr>
                <w:rFonts w:hint="eastAsia" w:ascii="宋体" w:hAnsi="Calibri"/>
                <w:color w:val="0000FF"/>
                <w:sz w:val="18"/>
                <w:szCs w:val="18"/>
                <w:lang w:val="en-US" w:eastAsia="zh-CN"/>
              </w:rPr>
              <w:t>同时项目绿地向周边开放</w:t>
            </w:r>
            <w:r>
              <w:rPr>
                <w:rFonts w:hint="eastAsia" w:ascii="宋体" w:hAnsi="Calibri"/>
                <w:color w:val="0000FF"/>
                <w:sz w:val="18"/>
                <w:szCs w:val="18"/>
              </w:rPr>
              <w:t>。</w:t>
            </w:r>
          </w:p>
          <w:p>
            <w:pPr>
              <w:widowControl w:val="0"/>
              <w:spacing w:line="240" w:lineRule="exact"/>
              <w:rPr>
                <w:rFonts w:ascii="宋体" w:hAnsi="Calibri"/>
                <w:color w:val="0000FF"/>
                <w:sz w:val="18"/>
                <w:szCs w:val="18"/>
              </w:rPr>
            </w:pPr>
            <w:r>
              <w:rPr>
                <w:rFonts w:hint="eastAsia" w:ascii="宋体" w:hAnsi="Calibri"/>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Calibri"/>
                <w:color w:val="0000FF"/>
                <w:sz w:val="18"/>
                <w:szCs w:val="18"/>
              </w:rPr>
              <w:t>设计图纸（建筑、建施</w:t>
            </w:r>
            <w:r>
              <w:rPr>
                <w:rFonts w:ascii="宋体" w:hAnsi="Calibri"/>
                <w:color w:val="0000FF"/>
                <w:sz w:val="18"/>
                <w:szCs w:val="18"/>
              </w:rPr>
              <w:t>-02</w:t>
            </w:r>
            <w:r>
              <w:rPr>
                <w:rFonts w:hint="eastAsia" w:ascii="宋体" w:hAnsi="Calibri"/>
                <w:color w:val="0000FF"/>
                <w:sz w:val="18"/>
                <w:szCs w:val="18"/>
              </w:rPr>
              <w:t>）</w:t>
            </w:r>
          </w:p>
          <w:p>
            <w:pPr>
              <w:widowControl w:val="0"/>
              <w:spacing w:line="240" w:lineRule="exact"/>
              <w:rPr>
                <w:rFonts w:hint="eastAsia" w:ascii="宋体" w:hAnsi="宋体"/>
                <w:color w:val="8EAADB"/>
                <w:sz w:val="18"/>
                <w:szCs w:val="18"/>
              </w:rPr>
            </w:pPr>
            <w:r>
              <w:rPr>
                <w:rFonts w:hint="eastAsia" w:ascii="宋体" w:hAnsi="宋体"/>
                <w:color w:val="8EAADB"/>
                <w:sz w:val="18"/>
                <w:szCs w:val="18"/>
              </w:rPr>
              <w:fldChar w:fldCharType="begin"/>
            </w:r>
            <w:r>
              <w:rPr>
                <w:rFonts w:hint="eastAsia" w:ascii="宋体" w:hAnsi="宋体"/>
                <w:color w:val="8EAADB"/>
                <w:sz w:val="18"/>
                <w:szCs w:val="18"/>
              </w:rPr>
              <w:instrText xml:space="preserve"> eq \o\ac(□,×)</w:instrText>
            </w:r>
            <w:r>
              <w:rPr>
                <w:rFonts w:hint="eastAsia" w:ascii="宋体" w:hAnsi="宋体"/>
                <w:color w:val="8EAADB"/>
                <w:sz w:val="18"/>
                <w:szCs w:val="18"/>
              </w:rPr>
              <w:fldChar w:fldCharType="end"/>
            </w:r>
            <w:r>
              <w:rPr>
                <w:rFonts w:hint="eastAsia" w:ascii="宋体" w:hAnsi="宋体"/>
                <w:color w:val="8EAADB"/>
                <w:sz w:val="18"/>
                <w:szCs w:val="18"/>
              </w:rPr>
              <w:t xml:space="preserve"> 4.2.3合理开发利用地下空间。</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 xml:space="preserve">技术措施说明： </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证明材料：□地下空间利用计算书；□设计图纸（建筑、建施-02）</w:t>
            </w:r>
          </w:p>
          <w:p>
            <w:pPr>
              <w:widowControl w:val="0"/>
              <w:spacing w:line="240" w:lineRule="exact"/>
              <w:rPr>
                <w:rFonts w:ascii="黑体" w:hAnsi="宋体" w:eastAsia="黑体" w:cs="黑体"/>
                <w:color w:val="0000FF"/>
                <w:sz w:val="18"/>
                <w:szCs w:val="18"/>
              </w:rPr>
            </w:pPr>
            <w:r>
              <w:rPr>
                <w:rFonts w:hint="eastAsia" w:ascii="黑体" w:hAnsi="Wingdings 2" w:eastAsia="黑体" w:cs="黑体"/>
                <w:color w:val="0000FF"/>
                <w:sz w:val="18"/>
                <w:szCs w:val="18"/>
              </w:rPr>
              <w:sym w:font="Wingdings 2" w:char="F052"/>
            </w:r>
            <w:r>
              <w:rPr>
                <w:rFonts w:ascii="黑体" w:hAnsi="Calibri" w:eastAsia="黑体" w:cs="黑体"/>
                <w:color w:val="0000FF"/>
                <w:sz w:val="18"/>
                <w:szCs w:val="18"/>
                <w:bdr w:val="single" w:color="0000FF" w:sz="4" w:space="0"/>
              </w:rPr>
              <w:t>4.2.5</w:t>
            </w:r>
            <w:r>
              <w:rPr>
                <w:rFonts w:hint="eastAsia" w:ascii="黑体" w:hAnsi="Calibri" w:eastAsia="黑体" w:cs="黑体"/>
                <w:color w:val="0000FF"/>
                <w:sz w:val="18"/>
                <w:szCs w:val="18"/>
                <w:bdr w:val="single" w:color="0000FF" w:sz="4" w:space="0"/>
              </w:rPr>
              <w:t>场地内环境噪声符合现行国家标准《声环境质量标准》</w:t>
            </w:r>
            <w:r>
              <w:rPr>
                <w:rFonts w:ascii="黑体" w:hAnsi="Calibri" w:eastAsia="黑体" w:cs="黑体"/>
                <w:color w:val="0000FF"/>
                <w:sz w:val="18"/>
                <w:szCs w:val="18"/>
                <w:bdr w:val="single" w:color="0000FF" w:sz="4" w:space="0"/>
              </w:rPr>
              <w:t>GB 3096</w:t>
            </w:r>
            <w:r>
              <w:rPr>
                <w:rFonts w:hint="eastAsia" w:ascii="黑体" w:hAnsi="Calibri" w:eastAsia="黑体" w:cs="黑体"/>
                <w:color w:val="0000FF"/>
                <w:sz w:val="18"/>
                <w:szCs w:val="18"/>
                <w:bdr w:val="single" w:color="0000FF" w:sz="4" w:space="0"/>
              </w:rPr>
              <w:t>的有关规定。</w:t>
            </w:r>
            <w:r>
              <w:rPr>
                <w:rFonts w:hint="eastAsia" w:ascii="黑体" w:hAnsi="Calibri" w:eastAsia="黑体" w:cs="黑体"/>
                <w:color w:val="0000FF"/>
                <w:sz w:val="18"/>
                <w:szCs w:val="18"/>
              </w:rPr>
              <w:t>（</w:t>
            </w:r>
            <w:r>
              <w:rPr>
                <w:rFonts w:ascii="黑体" w:hAnsi="Calibri" w:eastAsia="黑体" w:cs="黑体"/>
                <w:color w:val="0000FF"/>
                <w:sz w:val="18"/>
                <w:szCs w:val="18"/>
              </w:rPr>
              <w:t>4</w:t>
            </w:r>
            <w:r>
              <w:rPr>
                <w:rFonts w:hint="eastAsia" w:ascii="黑体" w:hAnsi="Calibri" w:eastAsia="黑体" w:cs="黑体"/>
                <w:color w:val="0000FF"/>
                <w:sz w:val="18"/>
                <w:szCs w:val="18"/>
              </w:rPr>
              <w:t>分）</w:t>
            </w:r>
          </w:p>
          <w:p>
            <w:pPr>
              <w:widowControl w:val="0"/>
              <w:spacing w:line="240" w:lineRule="exact"/>
              <w:rPr>
                <w:rFonts w:ascii="宋体" w:hAnsi="Calibri"/>
                <w:color w:val="0000FF"/>
                <w:kern w:val="0"/>
                <w:sz w:val="18"/>
                <w:szCs w:val="18"/>
              </w:rPr>
            </w:pPr>
            <w:r>
              <w:rPr>
                <w:rFonts w:hint="eastAsia" w:ascii="宋体" w:hAnsi="宋体"/>
                <w:color w:val="0000FF"/>
                <w:sz w:val="18"/>
                <w:szCs w:val="18"/>
              </w:rPr>
              <w:t>技术措施说明：</w:t>
            </w:r>
            <w:r>
              <w:rPr>
                <w:rFonts w:ascii="宋体" w:hAnsi="Calibri"/>
                <w:color w:val="0000FF"/>
                <w:kern w:val="0"/>
                <w:sz w:val="18"/>
                <w:szCs w:val="18"/>
              </w:rPr>
              <w:t xml:space="preserve"> </w:t>
            </w:r>
            <w:r>
              <w:rPr>
                <w:rFonts w:hint="eastAsia" w:ascii="宋体" w:hAnsi="Calibri"/>
                <w:color w:val="0000FF"/>
                <w:kern w:val="0"/>
                <w:sz w:val="18"/>
                <w:szCs w:val="18"/>
              </w:rPr>
              <w:t>根据噪声监测报告，项目场地内噪声符合标准要求</w:t>
            </w:r>
          </w:p>
          <w:p>
            <w:pPr>
              <w:widowControl w:val="0"/>
              <w:spacing w:line="240" w:lineRule="exact"/>
              <w:rPr>
                <w:rFonts w:ascii="Calibri" w:eastAsia="Times New Roman" w:cs="Calibri"/>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环评报告，应包含噪声测试或噪声预测数据；</w:t>
            </w:r>
            <w:r>
              <w:rPr>
                <w:rFonts w:hint="eastAsia" w:ascii="宋体" w:hAnsi="宋体" w:eastAsia="宋体" w:cs="宋体"/>
                <w:color w:val="0000FF"/>
                <w:kern w:val="2"/>
                <w:sz w:val="18"/>
                <w:szCs w:val="18"/>
                <w:shd w:val="clear" w:color="auto" w:fill="FFFFFF"/>
                <w:lang w:val="en-US" w:eastAsia="zh-CN" w:bidi="ar-SA"/>
              </w:rPr>
              <w:t>□</w:t>
            </w:r>
            <w:r>
              <w:rPr>
                <w:rFonts w:ascii="宋体" w:hAnsi="宋体"/>
                <w:color w:val="0000FF"/>
                <w:sz w:val="18"/>
                <w:szCs w:val="18"/>
              </w:rPr>
              <w:t xml:space="preserve"> </w:t>
            </w:r>
            <w:r>
              <w:rPr>
                <w:rFonts w:hint="eastAsia" w:ascii="宋体" w:hAnsi="宋体"/>
                <w:color w:val="0000FF"/>
                <w:sz w:val="18"/>
                <w:szCs w:val="18"/>
              </w:rPr>
              <w:t>噪声测试或预测报告</w:t>
            </w:r>
          </w:p>
          <w:p>
            <w:pPr>
              <w:widowControl w:val="0"/>
              <w:spacing w:line="240" w:lineRule="exact"/>
              <w:rPr>
                <w:rFonts w:ascii="黑体" w:hAnsi="宋体" w:eastAsia="黑体" w:cs="黑体"/>
                <w:color w:val="0000FF"/>
                <w:sz w:val="18"/>
                <w:szCs w:val="18"/>
              </w:rPr>
            </w:pPr>
            <w:r>
              <w:rPr>
                <w:rFonts w:hint="eastAsia" w:ascii="黑体" w:hAnsi="Wingdings 2" w:eastAsia="黑体" w:cs="黑体"/>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4.2.6</w:t>
            </w:r>
            <w:r>
              <w:rPr>
                <w:rFonts w:hint="eastAsia" w:ascii="黑体" w:hAnsi="Calibri" w:eastAsia="黑体" w:cs="黑体"/>
                <w:color w:val="0000FF"/>
                <w:sz w:val="18"/>
                <w:szCs w:val="18"/>
                <w:bdr w:val="single" w:color="0000FF" w:sz="4" w:space="0"/>
              </w:rPr>
              <w:t>场地内风环境有利于室外行走、活动舒适和建筑的自然通风。</w:t>
            </w:r>
            <w:r>
              <w:rPr>
                <w:rFonts w:hint="eastAsia" w:ascii="黑体" w:hAnsi="宋体" w:eastAsia="黑体" w:cs="黑体"/>
                <w:color w:val="0000FF"/>
                <w:sz w:val="18"/>
                <w:szCs w:val="18"/>
              </w:rPr>
              <w:t>（</w:t>
            </w:r>
            <w:r>
              <w:rPr>
                <w:rFonts w:ascii="黑体" w:hAnsi="宋体" w:eastAsia="黑体" w:cs="黑体"/>
                <w:color w:val="0000FF"/>
                <w:sz w:val="18"/>
                <w:szCs w:val="18"/>
              </w:rPr>
              <w:t>6</w:t>
            </w:r>
            <w:r>
              <w:rPr>
                <w:rFonts w:hint="eastAsia" w:ascii="黑体" w:hAnsi="宋体" w:eastAsia="黑体" w:cs="黑体"/>
                <w:color w:val="0000FF"/>
                <w:sz w:val="18"/>
                <w:szCs w:val="18"/>
              </w:rPr>
              <w:t>分）</w:t>
            </w:r>
          </w:p>
          <w:p>
            <w:pPr>
              <w:pStyle w:val="263"/>
              <w:spacing w:line="240" w:lineRule="exact"/>
              <w:ind w:firstLine="0" w:firstLineChars="0"/>
              <w:rPr>
                <w:color w:val="0000FF"/>
                <w:kern w:val="2"/>
                <w:sz w:val="18"/>
                <w:szCs w:val="18"/>
              </w:rPr>
            </w:pPr>
            <w:r>
              <w:rPr>
                <w:rFonts w:hint="eastAsia"/>
                <w:color w:val="0000FF"/>
                <w:kern w:val="2"/>
                <w:sz w:val="18"/>
                <w:szCs w:val="18"/>
              </w:rPr>
              <w:t>技术措施说明：在冬季工况下人行高度处的风速</w:t>
            </w:r>
            <w:r>
              <w:rPr>
                <w:rFonts w:hint="eastAsia"/>
                <w:color w:val="0000FF"/>
                <w:kern w:val="2"/>
                <w:sz w:val="18"/>
                <w:szCs w:val="18"/>
                <w:lang w:val="en-US" w:eastAsia="zh-CN"/>
              </w:rPr>
              <w:t>为</w:t>
            </w:r>
            <w:r>
              <w:rPr>
                <w:color w:val="0000FF"/>
                <w:kern w:val="2"/>
                <w:sz w:val="18"/>
                <w:szCs w:val="18"/>
              </w:rPr>
              <w:t xml:space="preserve">0.10m/s ~ </w:t>
            </w:r>
            <w:r>
              <w:rPr>
                <w:rFonts w:hint="eastAsia"/>
                <w:color w:val="0000FF"/>
                <w:kern w:val="2"/>
                <w:sz w:val="18"/>
                <w:szCs w:val="18"/>
                <w:lang w:val="en-US" w:eastAsia="zh-CN"/>
              </w:rPr>
              <w:t>2.66</w:t>
            </w:r>
            <w:r>
              <w:rPr>
                <w:color w:val="0000FF"/>
                <w:kern w:val="2"/>
                <w:sz w:val="18"/>
                <w:szCs w:val="18"/>
              </w:rPr>
              <w:t>m/s</w:t>
            </w:r>
            <w:r>
              <w:rPr>
                <w:rFonts w:hint="eastAsia"/>
                <w:color w:val="0000FF"/>
                <w:kern w:val="2"/>
                <w:sz w:val="18"/>
                <w:szCs w:val="18"/>
              </w:rPr>
              <w:t>之间，小于</w:t>
            </w:r>
            <w:r>
              <w:rPr>
                <w:color w:val="0000FF"/>
                <w:kern w:val="2"/>
                <w:sz w:val="18"/>
                <w:szCs w:val="18"/>
              </w:rPr>
              <w:t>5m/s</w:t>
            </w:r>
            <w:r>
              <w:rPr>
                <w:rFonts w:hint="eastAsia"/>
                <w:color w:val="0000FF"/>
                <w:kern w:val="2"/>
                <w:sz w:val="18"/>
                <w:szCs w:val="18"/>
              </w:rPr>
              <w:t>，符合舒适要求；风速放大系数最大为</w:t>
            </w:r>
            <w:r>
              <w:rPr>
                <w:color w:val="0000FF"/>
                <w:kern w:val="2"/>
                <w:sz w:val="18"/>
                <w:szCs w:val="18"/>
              </w:rPr>
              <w:t>1.</w:t>
            </w:r>
            <w:r>
              <w:rPr>
                <w:rFonts w:hint="eastAsia"/>
                <w:color w:val="0000FF"/>
                <w:kern w:val="2"/>
                <w:sz w:val="18"/>
                <w:szCs w:val="18"/>
                <w:lang w:val="en-US" w:eastAsia="zh-CN"/>
              </w:rPr>
              <w:t>1</w:t>
            </w:r>
            <w:r>
              <w:rPr>
                <w:color w:val="0000FF"/>
                <w:kern w:val="2"/>
                <w:sz w:val="18"/>
                <w:szCs w:val="18"/>
              </w:rPr>
              <w:t>7</w:t>
            </w:r>
            <w:r>
              <w:rPr>
                <w:rFonts w:hint="eastAsia"/>
                <w:color w:val="0000FF"/>
                <w:kern w:val="2"/>
                <w:sz w:val="18"/>
                <w:szCs w:val="18"/>
              </w:rPr>
              <w:t>，小于</w:t>
            </w:r>
            <w:r>
              <w:rPr>
                <w:color w:val="0000FF"/>
                <w:kern w:val="2"/>
                <w:sz w:val="18"/>
                <w:szCs w:val="18"/>
              </w:rPr>
              <w:t>2</w:t>
            </w:r>
            <w:r>
              <w:rPr>
                <w:rFonts w:hint="eastAsia"/>
                <w:color w:val="0000FF"/>
                <w:kern w:val="2"/>
                <w:sz w:val="18"/>
                <w:szCs w:val="18"/>
              </w:rPr>
              <w:t>；建筑迎风面和背风面风压差最大为</w:t>
            </w:r>
            <w:r>
              <w:rPr>
                <w:rFonts w:hint="eastAsia"/>
                <w:color w:val="0000FF"/>
                <w:kern w:val="2"/>
                <w:sz w:val="18"/>
                <w:szCs w:val="18"/>
                <w:lang w:val="en-US" w:eastAsia="zh-CN"/>
              </w:rPr>
              <w:t>2.28</w:t>
            </w:r>
            <w:r>
              <w:rPr>
                <w:color w:val="0000FF"/>
                <w:kern w:val="2"/>
                <w:sz w:val="18"/>
                <w:szCs w:val="18"/>
              </w:rPr>
              <w:t>pa</w:t>
            </w:r>
            <w:r>
              <w:rPr>
                <w:rFonts w:hint="eastAsia"/>
                <w:color w:val="0000FF"/>
                <w:kern w:val="2"/>
                <w:sz w:val="18"/>
                <w:szCs w:val="18"/>
              </w:rPr>
              <w:t>；夏季、过渡季工况下，场地内无涡旋及无风区，</w:t>
            </w:r>
            <w:r>
              <w:rPr>
                <w:rFonts w:hint="eastAsia"/>
                <w:color w:val="0000FF"/>
                <w:kern w:val="2"/>
                <w:sz w:val="18"/>
                <w:szCs w:val="18"/>
                <w:lang w:val="en-US" w:eastAsia="zh-CN"/>
              </w:rPr>
              <w:t>89.78</w:t>
            </w:r>
            <w:r>
              <w:rPr>
                <w:color w:val="0000FF"/>
                <w:kern w:val="2"/>
                <w:sz w:val="18"/>
                <w:szCs w:val="18"/>
              </w:rPr>
              <w:t>%</w:t>
            </w:r>
            <w:r>
              <w:rPr>
                <w:rFonts w:hint="eastAsia"/>
                <w:color w:val="0000FF"/>
                <w:kern w:val="2"/>
                <w:sz w:val="18"/>
                <w:szCs w:val="18"/>
              </w:rPr>
              <w:t>（秋）以上可开启外窗内外表面的风压差大于</w:t>
            </w:r>
            <w:r>
              <w:rPr>
                <w:color w:val="0000FF"/>
                <w:kern w:val="2"/>
                <w:sz w:val="18"/>
                <w:szCs w:val="18"/>
              </w:rPr>
              <w:t>0.5pa</w:t>
            </w:r>
            <w:r>
              <w:rPr>
                <w:rFonts w:hint="eastAsia"/>
                <w:color w:val="0000FF"/>
                <w:kern w:val="2"/>
                <w:sz w:val="18"/>
                <w:szCs w:val="18"/>
              </w:rPr>
              <w:t>。</w:t>
            </w:r>
          </w:p>
          <w:p>
            <w:pPr>
              <w:widowControl w:val="0"/>
              <w:spacing w:line="240" w:lineRule="exact"/>
              <w:rPr>
                <w:rFonts w:ascii="宋体" w:hAnsi="Calibri"/>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室外风环境模拟计算报告；□设计图纸（专业、图号）</w:t>
            </w:r>
          </w:p>
          <w:p>
            <w:pPr>
              <w:widowControl w:val="0"/>
              <w:spacing w:line="240" w:lineRule="exact"/>
              <w:rPr>
                <w:rFonts w:hint="eastAsia" w:ascii="黑体" w:hAnsi="Wingdings 2" w:eastAsia="黑体" w:cs="黑体"/>
                <w:color w:val="0000FF"/>
                <w:sz w:val="18"/>
                <w:szCs w:val="18"/>
              </w:rPr>
            </w:pPr>
            <w:r>
              <w:rPr>
                <w:rFonts w:hint="eastAsia" w:ascii="黑体" w:hAnsi="Wingdings 2" w:eastAsia="黑体" w:cs="黑体"/>
                <w:color w:val="0000FF"/>
                <w:sz w:val="18"/>
                <w:szCs w:val="18"/>
              </w:rPr>
              <w:sym w:font="Wingdings 2" w:char="F052"/>
            </w:r>
            <w:r>
              <w:rPr>
                <w:rFonts w:hint="eastAsia" w:ascii="黑体" w:hAnsi="Wingdings 2" w:eastAsia="黑体" w:cs="黑体"/>
                <w:color w:val="0000FF"/>
                <w:sz w:val="18"/>
                <w:szCs w:val="18"/>
              </w:rPr>
              <w:t xml:space="preserve"> 4.2.8 场地与公共交通设施具有便捷的联系。</w:t>
            </w:r>
            <w:r>
              <w:rPr>
                <w:rFonts w:hint="eastAsia" w:ascii="黑体" w:hAnsi="宋体" w:eastAsia="黑体" w:cs="黑体"/>
                <w:color w:val="0000FF"/>
                <w:sz w:val="18"/>
                <w:szCs w:val="18"/>
              </w:rPr>
              <w:t>（</w:t>
            </w:r>
            <w:r>
              <w:rPr>
                <w:rFonts w:ascii="黑体" w:hAnsi="宋体" w:eastAsia="黑体" w:cs="黑体"/>
                <w:color w:val="0000FF"/>
                <w:sz w:val="18"/>
                <w:szCs w:val="18"/>
              </w:rPr>
              <w:t>6</w:t>
            </w:r>
            <w:r>
              <w:rPr>
                <w:rFonts w:hint="eastAsia" w:ascii="黑体" w:hAnsi="宋体" w:eastAsia="黑体" w:cs="黑体"/>
                <w:color w:val="0000FF"/>
                <w:sz w:val="18"/>
                <w:szCs w:val="18"/>
              </w:rPr>
              <w:t>分）</w:t>
            </w:r>
          </w:p>
          <w:p>
            <w:pPr>
              <w:widowControl w:val="0"/>
              <w:spacing w:line="240" w:lineRule="exact"/>
              <w:rPr>
                <w:rFonts w:hint="eastAsia" w:ascii="宋体" w:hAnsi="宋体" w:eastAsia="宋体" w:cs="宋体"/>
                <w:color w:val="0000FF"/>
                <w:kern w:val="2"/>
                <w:sz w:val="18"/>
                <w:szCs w:val="18"/>
                <w:shd w:val="clear" w:color="auto" w:fill="FFFFFF"/>
                <w:lang w:val="en-US" w:eastAsia="zh-CN" w:bidi="ar-SA"/>
              </w:rPr>
            </w:pPr>
            <w:r>
              <w:rPr>
                <w:rFonts w:hint="eastAsia" w:ascii="宋体" w:hAnsi="宋体" w:eastAsia="宋体" w:cs="宋体"/>
                <w:color w:val="0000FF"/>
                <w:kern w:val="2"/>
                <w:sz w:val="18"/>
                <w:szCs w:val="18"/>
                <w:shd w:val="clear" w:color="auto" w:fill="FFFFFF"/>
                <w:lang w:val="en-US" w:eastAsia="zh-CN" w:bidi="ar-SA"/>
              </w:rPr>
              <w:t xml:space="preserve">技术措施说明：项目周边交通情况良好，500m范围内有两个公交站点，分别是水南路和岱美。 </w:t>
            </w:r>
          </w:p>
          <w:p>
            <w:pPr>
              <w:widowControl w:val="0"/>
              <w:spacing w:line="240" w:lineRule="exact"/>
              <w:rPr>
                <w:rFonts w:hint="eastAsia" w:ascii="宋体" w:hAnsi="宋体" w:eastAsia="宋体" w:cs="宋体"/>
                <w:color w:val="0000FF"/>
                <w:kern w:val="2"/>
                <w:sz w:val="18"/>
                <w:szCs w:val="18"/>
                <w:shd w:val="clear" w:color="auto" w:fill="FFFFFF"/>
                <w:lang w:val="en-US" w:eastAsia="zh-CN" w:bidi="ar-SA"/>
              </w:rPr>
            </w:pPr>
            <w:r>
              <w:rPr>
                <w:rFonts w:hint="eastAsia" w:ascii="宋体" w:hAnsi="宋体" w:eastAsia="宋体" w:cs="宋体"/>
                <w:color w:val="0000FF"/>
                <w:kern w:val="2"/>
                <w:sz w:val="18"/>
                <w:szCs w:val="18"/>
                <w:shd w:val="clear" w:color="auto" w:fill="FFFFFF"/>
                <w:lang w:val="en-US" w:eastAsia="zh-CN" w:bidi="ar-SA"/>
              </w:rPr>
              <w:t>证明材料：□规划总平面；☑所在地交通地图；□设计图纸（建筑/图号）</w:t>
            </w:r>
          </w:p>
          <w:p>
            <w:pPr>
              <w:widowControl w:val="0"/>
              <w:spacing w:line="240" w:lineRule="exact"/>
              <w:rPr>
                <w:rFonts w:hint="eastAsia" w:ascii="宋体" w:hAnsi="宋体"/>
                <w:color w:val="8EAADB"/>
                <w:sz w:val="18"/>
                <w:szCs w:val="18"/>
              </w:rPr>
            </w:pPr>
            <w:r>
              <w:rPr>
                <w:rFonts w:hint="eastAsia" w:ascii="宋体" w:hAnsi="宋体"/>
                <w:color w:val="8EAADB"/>
                <w:sz w:val="18"/>
                <w:szCs w:val="18"/>
              </w:rPr>
              <w:fldChar w:fldCharType="begin"/>
            </w:r>
            <w:r>
              <w:rPr>
                <w:rFonts w:hint="eastAsia" w:ascii="宋体" w:hAnsi="宋体"/>
                <w:color w:val="8EAADB"/>
                <w:sz w:val="18"/>
                <w:szCs w:val="18"/>
              </w:rPr>
              <w:instrText xml:space="preserve"> eq \o\ac(□,×)</w:instrText>
            </w:r>
            <w:r>
              <w:rPr>
                <w:rFonts w:hint="eastAsia" w:ascii="宋体" w:hAnsi="宋体"/>
                <w:color w:val="8EAADB"/>
                <w:sz w:val="18"/>
                <w:szCs w:val="18"/>
              </w:rPr>
              <w:fldChar w:fldCharType="end"/>
            </w:r>
            <w:r>
              <w:rPr>
                <w:rFonts w:hint="eastAsia" w:ascii="宋体" w:hAnsi="宋体"/>
                <w:color w:val="8EAADB"/>
                <w:sz w:val="18"/>
                <w:szCs w:val="18"/>
              </w:rPr>
              <w:t xml:space="preserve"> 4.2.9 场地内人行通道采用无障碍设计。</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技术措施说明：</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证明材料：</w:t>
            </w:r>
            <w:r>
              <w:rPr>
                <w:rFonts w:hint="eastAsia" w:ascii="宋体" w:hAnsi="宋体" w:cs="宋体"/>
                <w:color w:val="0000FF"/>
                <w:kern w:val="2"/>
                <w:sz w:val="18"/>
                <w:szCs w:val="18"/>
                <w:shd w:val="clear" w:color="auto" w:fill="FFFFFF"/>
                <w:lang w:val="en-US" w:eastAsia="zh-CN" w:bidi="ar-SA"/>
              </w:rPr>
              <w:t>□</w:t>
            </w:r>
            <w:r>
              <w:rPr>
                <w:rFonts w:hint="eastAsia" w:ascii="宋体" w:hAnsi="宋体"/>
                <w:color w:val="8EAADB"/>
                <w:sz w:val="18"/>
                <w:szCs w:val="18"/>
              </w:rPr>
              <w:t>设计图纸（）</w:t>
            </w:r>
          </w:p>
          <w:p>
            <w:pPr>
              <w:widowControl w:val="0"/>
              <w:spacing w:line="240" w:lineRule="exact"/>
              <w:rPr>
                <w:rFonts w:hint="eastAsia" w:ascii="宋体" w:hAnsi="宋体"/>
                <w:color w:val="8EAADB"/>
                <w:sz w:val="18"/>
                <w:szCs w:val="18"/>
              </w:rPr>
            </w:pPr>
            <w:r>
              <w:rPr>
                <w:rFonts w:hint="eastAsia" w:ascii="宋体" w:hAnsi="宋体"/>
                <w:color w:val="8EAADB"/>
                <w:sz w:val="18"/>
                <w:szCs w:val="18"/>
              </w:rPr>
              <w:fldChar w:fldCharType="begin"/>
            </w:r>
            <w:r>
              <w:rPr>
                <w:rFonts w:hint="eastAsia" w:ascii="宋体" w:hAnsi="宋体"/>
                <w:color w:val="8EAADB"/>
                <w:sz w:val="18"/>
                <w:szCs w:val="18"/>
              </w:rPr>
              <w:instrText xml:space="preserve"> eq \o\ac(□,×)</w:instrText>
            </w:r>
            <w:r>
              <w:rPr>
                <w:rFonts w:hint="eastAsia" w:ascii="宋体" w:hAnsi="宋体"/>
                <w:color w:val="8EAADB"/>
                <w:sz w:val="18"/>
                <w:szCs w:val="18"/>
              </w:rPr>
              <w:fldChar w:fldCharType="end"/>
            </w:r>
            <w:r>
              <w:rPr>
                <w:rFonts w:hint="eastAsia" w:ascii="宋体" w:hAnsi="宋体"/>
                <w:color w:val="8EAADB"/>
                <w:sz w:val="18"/>
                <w:szCs w:val="18"/>
              </w:rPr>
              <w:t xml:space="preserve"> 4.2.10合理设置停车场所。</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技术措施说明：</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证明材料：</w:t>
            </w:r>
            <w:r>
              <w:rPr>
                <w:rFonts w:hint="eastAsia" w:ascii="宋体" w:hAnsi="宋体" w:cs="宋体"/>
                <w:color w:val="0000FF"/>
                <w:kern w:val="2"/>
                <w:sz w:val="18"/>
                <w:szCs w:val="18"/>
                <w:shd w:val="clear" w:color="auto" w:fill="FFFFFF"/>
                <w:lang w:val="en-US" w:eastAsia="zh-CN" w:bidi="ar-SA"/>
              </w:rPr>
              <w:t>□</w:t>
            </w:r>
            <w:r>
              <w:rPr>
                <w:rFonts w:hint="eastAsia" w:ascii="宋体" w:hAnsi="宋体"/>
                <w:color w:val="8EAADB"/>
                <w:sz w:val="18"/>
                <w:szCs w:val="18"/>
              </w:rPr>
              <w:t xml:space="preserve"> 设计图纸（）</w:t>
            </w:r>
          </w:p>
          <w:p>
            <w:pPr>
              <w:widowControl w:val="0"/>
              <w:spacing w:line="240" w:lineRule="exact"/>
              <w:rPr>
                <w:rFonts w:ascii="黑体" w:hAnsi="宋体" w:eastAsia="黑体" w:cs="黑体"/>
                <w:color w:val="0000FF"/>
                <w:sz w:val="18"/>
                <w:szCs w:val="18"/>
              </w:rPr>
            </w:pPr>
            <w:r>
              <w:rPr>
                <w:rFonts w:hint="eastAsia" w:ascii="黑体" w:hAnsi="Wingdings 2" w:eastAsia="黑体" w:cs="黑体"/>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4.2.11</w:t>
            </w:r>
            <w:r>
              <w:rPr>
                <w:rFonts w:hint="eastAsia" w:ascii="黑体" w:hAnsi="Calibri" w:eastAsia="黑体" w:cs="黑体"/>
                <w:color w:val="0000FF"/>
                <w:sz w:val="18"/>
                <w:szCs w:val="18"/>
                <w:bdr w:val="single" w:color="0000FF" w:sz="4" w:space="0"/>
              </w:rPr>
              <w:t>提供便利的公共服务。</w:t>
            </w:r>
            <w:r>
              <w:rPr>
                <w:rFonts w:hint="eastAsia" w:ascii="黑体" w:hAnsi="宋体" w:eastAsia="黑体" w:cs="黑体"/>
                <w:color w:val="0000FF"/>
                <w:sz w:val="18"/>
                <w:szCs w:val="18"/>
              </w:rPr>
              <w:t>（</w:t>
            </w:r>
            <w:r>
              <w:rPr>
                <w:rFonts w:hint="eastAsia" w:ascii="黑体" w:hAnsi="宋体" w:eastAsia="黑体" w:cs="黑体"/>
                <w:color w:val="0000FF"/>
                <w:sz w:val="18"/>
                <w:szCs w:val="18"/>
                <w:lang w:val="en-US" w:eastAsia="zh-CN"/>
              </w:rPr>
              <w:t>6</w:t>
            </w:r>
            <w:r>
              <w:rPr>
                <w:rFonts w:hint="eastAsia" w:ascii="黑体" w:hAnsi="宋体" w:eastAsia="黑体" w:cs="黑体"/>
                <w:color w:val="0000FF"/>
                <w:sz w:val="18"/>
                <w:szCs w:val="18"/>
              </w:rPr>
              <w:t>分）</w:t>
            </w:r>
          </w:p>
          <w:p>
            <w:pPr>
              <w:rPr>
                <w:rFonts w:eastAsia="Times New Roman" w:cs="Times New Roman"/>
                <w:color w:val="0000FF"/>
              </w:rPr>
            </w:pPr>
            <w:r>
              <w:rPr>
                <w:rFonts w:hint="eastAsia" w:ascii="宋体" w:hAnsi="宋体"/>
                <w:color w:val="0000FF"/>
                <w:sz w:val="18"/>
                <w:szCs w:val="18"/>
              </w:rPr>
              <w:t>技术措施说明：本项目</w:t>
            </w:r>
            <w:r>
              <w:rPr>
                <w:rFonts w:hint="eastAsia" w:ascii="宋体" w:hAnsi="宋体"/>
                <w:color w:val="0000FF"/>
                <w:sz w:val="18"/>
                <w:szCs w:val="18"/>
                <w:lang w:val="en-US" w:eastAsia="zh-CN"/>
              </w:rPr>
              <w:t>为学校建筑，建筑内有教室、办公室、卫生间等多种功能用房，卫生间等配套用房资源共享，室外场地向周边居民开放</w:t>
            </w:r>
            <w:r>
              <w:rPr>
                <w:rFonts w:hint="eastAsia" w:ascii="宋体" w:hAnsi="宋体"/>
                <w:color w:val="0000FF"/>
                <w:sz w:val="18"/>
                <w:szCs w:val="18"/>
              </w:rPr>
              <w:t>，得</w:t>
            </w:r>
            <w:r>
              <w:rPr>
                <w:rFonts w:hint="eastAsia" w:ascii="宋体" w:hAnsi="宋体"/>
                <w:color w:val="0000FF"/>
                <w:sz w:val="18"/>
                <w:szCs w:val="18"/>
                <w:lang w:val="en-US" w:eastAsia="zh-CN"/>
              </w:rPr>
              <w:t>6</w:t>
            </w:r>
            <w:r>
              <w:rPr>
                <w:rFonts w:hint="eastAsia" w:ascii="宋体" w:hAnsi="宋体"/>
                <w:color w:val="0000FF"/>
                <w:sz w:val="18"/>
                <w:szCs w:val="18"/>
              </w:rPr>
              <w:t>分。</w:t>
            </w:r>
            <w:r>
              <w:rPr>
                <w:rFonts w:ascii="宋体" w:hAnsi="宋体"/>
                <w:color w:val="0000FF"/>
                <w:kern w:val="0"/>
                <w:sz w:val="18"/>
                <w:szCs w:val="18"/>
              </w:rPr>
              <w:t xml:space="preserve"> </w:t>
            </w:r>
          </w:p>
          <w:p>
            <w:pPr>
              <w:widowControl w:val="0"/>
              <w:spacing w:line="240" w:lineRule="exact"/>
              <w:rPr>
                <w:rFonts w:ascii="宋体" w:hAnsi="Calibri"/>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规划总平面；□所在地公共服务分析图；</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设计图纸（建筑、建施</w:t>
            </w:r>
            <w:r>
              <w:rPr>
                <w:rFonts w:ascii="宋体" w:hAnsi="Calibri"/>
                <w:color w:val="0000FF"/>
                <w:sz w:val="18"/>
                <w:szCs w:val="18"/>
              </w:rPr>
              <w:t>-0</w:t>
            </w:r>
            <w:r>
              <w:rPr>
                <w:rFonts w:ascii="宋体" w:hAnsi="宋体"/>
                <w:color w:val="0000FF"/>
                <w:sz w:val="18"/>
                <w:szCs w:val="18"/>
              </w:rPr>
              <w:t>2</w:t>
            </w:r>
            <w:r>
              <w:rPr>
                <w:rFonts w:hint="eastAsia" w:ascii="宋体" w:hAnsi="宋体"/>
                <w:color w:val="0000FF"/>
                <w:sz w:val="18"/>
                <w:szCs w:val="18"/>
              </w:rPr>
              <w:t>）</w:t>
            </w:r>
          </w:p>
          <w:p>
            <w:pPr>
              <w:widowControl w:val="0"/>
              <w:spacing w:line="240" w:lineRule="exact"/>
              <w:rPr>
                <w:rFonts w:hint="eastAsia" w:ascii="宋体" w:hAnsi="宋体"/>
                <w:color w:val="8EAADB"/>
                <w:sz w:val="18"/>
                <w:szCs w:val="18"/>
              </w:rPr>
            </w:pPr>
            <w:r>
              <w:rPr>
                <w:rFonts w:hint="eastAsia" w:ascii="宋体" w:hAnsi="宋体"/>
                <w:color w:val="8EAADB"/>
                <w:sz w:val="18"/>
                <w:szCs w:val="18"/>
              </w:rPr>
              <w:fldChar w:fldCharType="begin"/>
            </w:r>
            <w:r>
              <w:rPr>
                <w:rFonts w:hint="eastAsia" w:ascii="宋体" w:hAnsi="宋体"/>
                <w:color w:val="8EAADB"/>
                <w:sz w:val="18"/>
                <w:szCs w:val="18"/>
              </w:rPr>
              <w:instrText xml:space="preserve"> eq \o\ac(□,×)</w:instrText>
            </w:r>
            <w:r>
              <w:rPr>
                <w:rFonts w:hint="eastAsia" w:ascii="宋体" w:hAnsi="宋体"/>
                <w:color w:val="8EAADB"/>
                <w:sz w:val="18"/>
                <w:szCs w:val="18"/>
              </w:rPr>
              <w:fldChar w:fldCharType="end"/>
            </w:r>
            <w:r>
              <w:rPr>
                <w:rFonts w:hint="eastAsia" w:ascii="宋体" w:hAnsi="宋体"/>
                <w:color w:val="8EAADB"/>
                <w:sz w:val="18"/>
                <w:szCs w:val="18"/>
              </w:rPr>
              <w:t xml:space="preserve"> 4.2.12 结合现状地形地貌进行场地设计与建筑布局，保护场地内原有的自然水域、湿地和植被，采取表层土利用等生态补偿措施。（景观专业辅助）</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技术措施说明：</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证明材料：□生态保护补偿报告；□设计图纸（专业、图号）</w:t>
            </w:r>
          </w:p>
          <w:p>
            <w:pPr>
              <w:widowControl w:val="0"/>
              <w:spacing w:line="240" w:lineRule="exact"/>
              <w:rPr>
                <w:rFonts w:hint="eastAsia" w:ascii="宋体" w:hAnsi="Calibri"/>
                <w:color w:val="0000FF"/>
                <w:sz w:val="18"/>
                <w:szCs w:val="18"/>
              </w:rPr>
            </w:pPr>
            <w:r>
              <w:rPr>
                <w:rFonts w:hint="eastAsia" w:ascii="黑体" w:hAnsi="Wingdings 2" w:eastAsia="黑体" w:cs="黑体"/>
                <w:color w:val="0000FF"/>
                <w:sz w:val="18"/>
                <w:szCs w:val="18"/>
              </w:rPr>
              <w:sym w:font="Wingdings 2" w:char="F052"/>
            </w:r>
            <w:r>
              <w:rPr>
                <w:rFonts w:hint="eastAsia" w:ascii="宋体" w:hAnsi="Calibri"/>
                <w:color w:val="0000FF"/>
                <w:sz w:val="18"/>
                <w:szCs w:val="18"/>
              </w:rPr>
              <w:t xml:space="preserve"> </w:t>
            </w:r>
            <w:r>
              <w:rPr>
                <w:rFonts w:hint="eastAsia" w:ascii="黑体" w:hAnsi="Calibri" w:eastAsia="黑体" w:cs="黑体"/>
                <w:color w:val="0000FF"/>
                <w:sz w:val="18"/>
                <w:szCs w:val="18"/>
                <w:bdr w:val="single" w:color="0000FF" w:sz="4" w:space="0"/>
              </w:rPr>
              <w:t>4.2.13充分利用场地空间合理设置绿色雨水基础设施，对大于10hm2的场地进行雨水专项规划设计。（景观专业辅助）</w:t>
            </w:r>
          </w:p>
          <w:p>
            <w:pPr>
              <w:widowControl w:val="0"/>
              <w:spacing w:line="240" w:lineRule="exact"/>
              <w:rPr>
                <w:rFonts w:hint="eastAsia" w:ascii="宋体" w:hAnsi="Calibri" w:eastAsia="宋体"/>
                <w:color w:val="0000FF"/>
                <w:sz w:val="18"/>
                <w:szCs w:val="18"/>
                <w:lang w:val="en-US" w:eastAsia="zh-CN"/>
              </w:rPr>
            </w:pPr>
            <w:r>
              <w:rPr>
                <w:rFonts w:hint="eastAsia" w:ascii="宋体" w:hAnsi="Calibri"/>
                <w:color w:val="0000FF"/>
                <w:sz w:val="18"/>
                <w:szCs w:val="18"/>
              </w:rPr>
              <w:t>技术措施说明：</w:t>
            </w:r>
            <w:r>
              <w:rPr>
                <w:rFonts w:hint="eastAsia" w:ascii="宋体" w:hAnsi="宋体"/>
                <w:color w:val="0000FF"/>
                <w:sz w:val="18"/>
                <w:szCs w:val="18"/>
                <w:lang w:val="en-US" w:eastAsia="zh-CN"/>
              </w:rPr>
              <w:t>项目为教学楼，建筑屋面雨水经雨水管道排至场地周边绿化设施，经绿化设施中排水溢流口排入市政管网。道路雨水同样先流经绿化设施后排至溢流雨水口，然后排至雨水管网。</w:t>
            </w:r>
          </w:p>
          <w:p>
            <w:pPr>
              <w:widowControl w:val="0"/>
              <w:spacing w:line="240" w:lineRule="exact"/>
              <w:rPr>
                <w:rFonts w:hint="eastAsia" w:ascii="宋体" w:hAnsi="Calibri"/>
                <w:color w:val="0000FF"/>
                <w:sz w:val="18"/>
                <w:szCs w:val="18"/>
              </w:rPr>
            </w:pPr>
            <w:r>
              <w:rPr>
                <w:rFonts w:hint="eastAsia" w:ascii="宋体" w:hAnsi="Calibri"/>
                <w:color w:val="0000FF"/>
                <w:sz w:val="18"/>
                <w:szCs w:val="18"/>
              </w:rPr>
              <w:t>证明材料：□场地雨水专项规划设计（场地超过10万m2时）或综合利用方案专项说明；□设计图纸（专业、图号）</w:t>
            </w:r>
          </w:p>
          <w:p>
            <w:pPr>
              <w:widowControl w:val="0"/>
              <w:spacing w:line="240" w:lineRule="exact"/>
              <w:rPr>
                <w:rFonts w:ascii="Calibri" w:eastAsia="Times New Roman" w:cs="Calibri"/>
                <w:b/>
                <w:bCs/>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建筑专业</w:t>
            </w:r>
          </w:p>
          <w:p>
            <w:pPr>
              <w:widowControl w:val="0"/>
              <w:spacing w:line="240" w:lineRule="exact"/>
              <w:rPr>
                <w:rFonts w:ascii="黑体" w:hAnsi="宋体" w:eastAsia="黑体" w:cs="黑体"/>
                <w:color w:val="0000FF"/>
                <w:sz w:val="18"/>
                <w:szCs w:val="18"/>
              </w:rPr>
            </w:pPr>
            <w:r>
              <w:rPr>
                <w:rFonts w:hint="eastAsia" w:ascii="黑体" w:hAnsi="Wingdings 2" w:eastAsia="黑体" w:cs="黑体"/>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4.2.4</w:t>
            </w:r>
            <w:r>
              <w:rPr>
                <w:rFonts w:hint="eastAsia" w:ascii="黑体" w:hAnsi="Calibri" w:eastAsia="黑体" w:cs="黑体"/>
                <w:color w:val="0000FF"/>
                <w:sz w:val="18"/>
                <w:szCs w:val="18"/>
                <w:bdr w:val="single" w:color="0000FF" w:sz="4" w:space="0"/>
              </w:rPr>
              <w:t>建筑及照明设计避免产生光污染情况。</w:t>
            </w:r>
            <w:r>
              <w:rPr>
                <w:rFonts w:ascii="黑体" w:hAnsi="Calibri" w:eastAsia="黑体" w:cs="黑体"/>
                <w:color w:val="0000FF"/>
                <w:sz w:val="18"/>
                <w:szCs w:val="18"/>
                <w:bdr w:val="single" w:color="0000FF" w:sz="4" w:space="0"/>
              </w:rPr>
              <w:t>(</w:t>
            </w:r>
            <w:r>
              <w:rPr>
                <w:rFonts w:hint="eastAsia" w:ascii="黑体" w:hAnsi="Calibri" w:eastAsia="黑体" w:cs="黑体"/>
                <w:color w:val="0000FF"/>
                <w:sz w:val="18"/>
                <w:szCs w:val="18"/>
                <w:bdr w:val="single" w:color="0000FF" w:sz="4" w:space="0"/>
              </w:rPr>
              <w:t>幕墙反射比由建筑专业填写</w:t>
            </w:r>
            <w:r>
              <w:rPr>
                <w:rFonts w:ascii="黑体" w:hAnsi="Calibri" w:eastAsia="黑体" w:cs="黑体"/>
                <w:color w:val="0000FF"/>
                <w:sz w:val="18"/>
                <w:szCs w:val="18"/>
                <w:bdr w:val="single" w:color="0000FF" w:sz="4" w:space="0"/>
              </w:rPr>
              <w:t>)</w:t>
            </w:r>
            <w:r>
              <w:rPr>
                <w:rFonts w:hint="eastAsia" w:ascii="黑体" w:hAnsi="宋体" w:eastAsia="黑体" w:cs="黑体"/>
                <w:color w:val="0000FF"/>
                <w:sz w:val="18"/>
                <w:szCs w:val="18"/>
              </w:rPr>
              <w:t>（</w:t>
            </w:r>
            <w:r>
              <w:rPr>
                <w:rFonts w:ascii="黑体" w:hAnsi="宋体" w:eastAsia="黑体" w:cs="黑体"/>
                <w:color w:val="0000FF"/>
                <w:sz w:val="18"/>
                <w:szCs w:val="18"/>
              </w:rPr>
              <w:t>2</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hint="eastAsia" w:ascii="宋体" w:hAnsi="Calibri"/>
                <w:color w:val="0000FF"/>
                <w:sz w:val="18"/>
                <w:szCs w:val="18"/>
              </w:rPr>
              <w:t>本项目玻璃幕墙反射比不大于</w:t>
            </w:r>
            <w:r>
              <w:rPr>
                <w:rFonts w:ascii="宋体" w:hAnsi="Calibri"/>
                <w:color w:val="0000FF"/>
                <w:sz w:val="18"/>
                <w:szCs w:val="18"/>
              </w:rPr>
              <w:t>0.2</w:t>
            </w:r>
            <w:r>
              <w:rPr>
                <w:rFonts w:hint="eastAsia" w:ascii="宋体" w:hAnsi="Calibri"/>
                <w:color w:val="0000FF"/>
                <w:sz w:val="18"/>
                <w:szCs w:val="18"/>
              </w:rPr>
              <w:t>。</w:t>
            </w:r>
          </w:p>
          <w:p>
            <w:pPr>
              <w:widowControl w:val="0"/>
              <w:spacing w:line="240" w:lineRule="exact"/>
              <w:rPr>
                <w:rFonts w:ascii="宋体" w:hAnsi="Calibri"/>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设计图纸（建筑、建施</w:t>
            </w:r>
            <w:r>
              <w:rPr>
                <w:rFonts w:ascii="宋体" w:hAnsi="Calibri"/>
                <w:color w:val="0000FF"/>
                <w:sz w:val="18"/>
                <w:szCs w:val="18"/>
              </w:rPr>
              <w:t>-0</w:t>
            </w:r>
            <w:r>
              <w:rPr>
                <w:rFonts w:ascii="宋体" w:hAnsi="宋体"/>
                <w:color w:val="0000FF"/>
                <w:sz w:val="18"/>
                <w:szCs w:val="18"/>
              </w:rPr>
              <w:t>1~</w:t>
            </w:r>
            <w:r>
              <w:rPr>
                <w:rFonts w:ascii="宋体"/>
                <w:color w:val="0000FF"/>
                <w:sz w:val="18"/>
                <w:szCs w:val="18"/>
              </w:rPr>
              <w:t>0</w:t>
            </w:r>
            <w:r>
              <w:rPr>
                <w:rFonts w:ascii="宋体" w:hAnsi="宋体"/>
                <w:color w:val="0000FF"/>
                <w:sz w:val="18"/>
                <w:szCs w:val="18"/>
              </w:rPr>
              <w:t>3</w:t>
            </w:r>
            <w:r>
              <w:rPr>
                <w:rFonts w:hint="eastAsia" w:ascii="宋体" w:hAnsi="宋体"/>
                <w:color w:val="0000FF"/>
                <w:sz w:val="18"/>
                <w:szCs w:val="18"/>
              </w:rPr>
              <w:t>）</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4.2.7</w:t>
            </w:r>
            <w:r>
              <w:rPr>
                <w:rFonts w:hint="eastAsia" w:ascii="黑体" w:hAnsi="宋体" w:eastAsia="黑体" w:cs="黑体"/>
                <w:color w:val="8EAADB"/>
                <w:sz w:val="18"/>
                <w:szCs w:val="18"/>
              </w:rPr>
              <w:t>采取措施降低热岛强度。（屋面太阳辐射系数由建筑专业填写）</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宋体" w:hAnsi="Calibri"/>
                <w:color w:val="8EAADB"/>
                <w:sz w:val="18"/>
                <w:szCs w:val="18"/>
              </w:rPr>
            </w:pPr>
            <w:r>
              <w:rPr>
                <w:rFonts w:hint="eastAsia" w:ascii="宋体" w:hAnsi="宋体"/>
                <w:color w:val="8EAADB"/>
                <w:sz w:val="18"/>
                <w:szCs w:val="18"/>
              </w:rPr>
              <w:t>证明材料：□节能计算书；□设计图纸（专业、图号）</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给排水专业</w:t>
            </w:r>
          </w:p>
          <w:p>
            <w:pPr>
              <w:widowControl w:val="0"/>
              <w:spacing w:line="240" w:lineRule="exact"/>
              <w:ind w:left="24"/>
              <w:rPr>
                <w:rFonts w:ascii="黑体" w:hAnsi="Calibri"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4.2.14</w:t>
            </w:r>
            <w:r>
              <w:rPr>
                <w:rFonts w:hint="eastAsia" w:ascii="黑体" w:hAnsi="宋体" w:eastAsia="黑体" w:cs="黑体"/>
                <w:color w:val="8EAADB"/>
                <w:sz w:val="18"/>
                <w:szCs w:val="18"/>
              </w:rPr>
              <w:t>合理规划地表与屋面雨水径流，对场地雨水实施外排总量控制。</w:t>
            </w:r>
            <w:r>
              <w:rPr>
                <w:rFonts w:hint="eastAsia" w:ascii="黑体" w:hAnsi="Calibri" w:eastAsia="黑体" w:cs="黑体"/>
                <w:color w:val="8EAADB"/>
                <w:sz w:val="18"/>
                <w:szCs w:val="18"/>
              </w:rPr>
              <w:t>（景观专业辅助）</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宋体" w:hAnsi="Calibri"/>
                <w:color w:val="8EAADB"/>
                <w:sz w:val="18"/>
                <w:szCs w:val="18"/>
              </w:rPr>
            </w:pPr>
            <w:r>
              <w:rPr>
                <w:rFonts w:hint="eastAsia" w:ascii="宋体" w:hAnsi="宋体"/>
                <w:color w:val="8EAADB"/>
                <w:sz w:val="18"/>
                <w:szCs w:val="18"/>
              </w:rPr>
              <w:t>证明材料：□设计控制雨量计算书；□设计图纸（专业、图号）</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景观专业</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w:t>
            </w:r>
            <w:r>
              <w:rPr>
                <w:rFonts w:ascii="黑体" w:hAnsi="Calibri" w:eastAsia="黑体" w:cs="黑体"/>
                <w:color w:val="8EAADB"/>
                <w:sz w:val="18"/>
                <w:szCs w:val="18"/>
              </w:rPr>
              <w:t>4.2.4</w:t>
            </w:r>
            <w:r>
              <w:rPr>
                <w:rFonts w:hint="eastAsia" w:ascii="黑体" w:hAnsi="Calibri" w:eastAsia="黑体" w:cs="黑体"/>
                <w:color w:val="8EAADB"/>
                <w:sz w:val="18"/>
                <w:szCs w:val="18"/>
              </w:rPr>
              <w:t>建筑及照明设计避免产生光污染情况。</w:t>
            </w:r>
            <w:r>
              <w:rPr>
                <w:rFonts w:ascii="黑体" w:hAnsi="Calibri" w:eastAsia="黑体" w:cs="黑体"/>
                <w:color w:val="8EAADB"/>
                <w:sz w:val="18"/>
                <w:szCs w:val="18"/>
              </w:rPr>
              <w:t>(</w:t>
            </w:r>
            <w:r>
              <w:rPr>
                <w:rFonts w:hint="eastAsia" w:ascii="黑体" w:hAnsi="Calibri" w:eastAsia="黑体" w:cs="黑体"/>
                <w:color w:val="8EAADB"/>
                <w:sz w:val="18"/>
                <w:szCs w:val="18"/>
              </w:rPr>
              <w:t>夜景照明控制由景观专业填写</w:t>
            </w:r>
            <w:r>
              <w:rPr>
                <w:rFonts w:ascii="黑体" w:hAnsi="Calibri" w:eastAsia="黑体" w:cs="黑体"/>
                <w:color w:val="8EAADB"/>
                <w:sz w:val="18"/>
                <w:szCs w:val="18"/>
              </w:rPr>
              <w:t xml:space="preserve">) </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r>
              <w:rPr>
                <w:rFonts w:ascii="宋体" w:hAnsi="Calibri"/>
                <w:color w:val="8EAADB"/>
                <w:sz w:val="18"/>
                <w:szCs w:val="18"/>
              </w:rPr>
              <w:t xml:space="preserve"> </w:t>
            </w:r>
          </w:p>
          <w:p>
            <w:pPr>
              <w:widowControl w:val="0"/>
              <w:spacing w:line="240" w:lineRule="exact"/>
              <w:rPr>
                <w:rFonts w:ascii="宋体" w:hAnsi="Calibri"/>
                <w:color w:val="8EAADB"/>
                <w:sz w:val="18"/>
                <w:szCs w:val="18"/>
              </w:rPr>
            </w:pPr>
            <w:r>
              <w:rPr>
                <w:rFonts w:hint="eastAsia" w:ascii="宋体" w:hAnsi="宋体"/>
                <w:color w:val="8EAADB"/>
                <w:sz w:val="18"/>
                <w:szCs w:val="18"/>
              </w:rPr>
              <w:t>证明材料：□设计图纸（建筑、建施</w:t>
            </w:r>
            <w:r>
              <w:rPr>
                <w:rFonts w:ascii="宋体" w:hAnsi="Calibri"/>
                <w:color w:val="8EAADB"/>
                <w:sz w:val="18"/>
                <w:szCs w:val="18"/>
              </w:rPr>
              <w:t>-0</w:t>
            </w:r>
            <w:r>
              <w:rPr>
                <w:rFonts w:ascii="宋体" w:hAnsi="宋体"/>
                <w:color w:val="8EAADB"/>
                <w:sz w:val="18"/>
                <w:szCs w:val="18"/>
              </w:rPr>
              <w:t>1</w:t>
            </w:r>
            <w:r>
              <w:rPr>
                <w:rFonts w:hint="eastAsia" w:ascii="宋体" w:hAnsi="宋体"/>
                <w:color w:val="8EAADB"/>
                <w:sz w:val="18"/>
                <w:szCs w:val="18"/>
              </w:rPr>
              <w:t>）</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4.2.7</w:t>
            </w:r>
            <w:r>
              <w:rPr>
                <w:rFonts w:hint="eastAsia" w:ascii="黑体" w:hAnsi="宋体" w:eastAsia="黑体" w:cs="黑体"/>
                <w:color w:val="8EAADB"/>
                <w:sz w:val="18"/>
                <w:szCs w:val="18"/>
              </w:rPr>
              <w:t>采取措施降低热岛强度。（室外遮荫以及道路太阳辐射反射系数由景观专业填写）</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宋体" w:hAnsi="Calibri"/>
                <w:color w:val="8EAADB"/>
                <w:sz w:val="18"/>
                <w:szCs w:val="18"/>
              </w:rPr>
            </w:pPr>
            <w:r>
              <w:rPr>
                <w:rFonts w:hint="eastAsia" w:ascii="宋体" w:hAnsi="宋体"/>
                <w:color w:val="8EAADB"/>
                <w:sz w:val="18"/>
                <w:szCs w:val="18"/>
              </w:rPr>
              <w:t>证明材料：□设计图纸（专业、图号）</w:t>
            </w:r>
          </w:p>
          <w:p>
            <w:pPr>
              <w:widowControl w:val="0"/>
              <w:spacing w:line="240" w:lineRule="exact"/>
              <w:rPr>
                <w:rFonts w:hint="eastAsia" w:ascii="黑体" w:hAnsi="Calibri" w:eastAsia="黑体" w:cs="黑体"/>
                <w:color w:val="0000FF"/>
                <w:sz w:val="18"/>
                <w:szCs w:val="18"/>
                <w:bdr w:val="single" w:color="0000FF" w:sz="4" w:space="0"/>
                <w:lang w:val="en-US" w:eastAsia="zh-CN"/>
              </w:rPr>
            </w:pPr>
            <w:r>
              <w:rPr>
                <w:rFonts w:ascii="Calibri" w:hAnsi="Calibri" w:cs="Calibri"/>
                <w:color w:val="0000FF"/>
                <w:sz w:val="18"/>
                <w:szCs w:val="18"/>
              </w:rPr>
              <w:sym w:font="Wingdings 2" w:char="F052"/>
            </w:r>
            <w:r>
              <w:rPr>
                <w:rFonts w:ascii="黑体" w:hAnsi="宋体" w:eastAsia="黑体" w:cs="黑体"/>
                <w:color w:val="8EAADB"/>
                <w:sz w:val="18"/>
                <w:szCs w:val="18"/>
              </w:rPr>
              <w:t xml:space="preserve"> </w:t>
            </w:r>
            <w:r>
              <w:rPr>
                <w:rFonts w:hint="eastAsia" w:ascii="黑体" w:hAnsi="Calibri" w:eastAsia="黑体" w:cs="黑体"/>
                <w:color w:val="0000FF"/>
                <w:sz w:val="18"/>
                <w:szCs w:val="18"/>
                <w:bdr w:val="single" w:color="0000FF" w:sz="4" w:space="0"/>
              </w:rPr>
              <w:t xml:space="preserve"> 4.2.15合理选择绿化方式，科学配置绿化植物。</w:t>
            </w:r>
            <w:r>
              <w:rPr>
                <w:rFonts w:hint="eastAsia" w:ascii="黑体" w:hAnsi="Calibri" w:eastAsia="黑体" w:cs="黑体"/>
                <w:color w:val="0000FF"/>
                <w:sz w:val="18"/>
                <w:szCs w:val="18"/>
                <w:bdr w:val="single" w:color="0000FF" w:sz="4" w:space="0"/>
                <w:lang w:val="en-US" w:eastAsia="zh-CN"/>
              </w:rPr>
              <w:t xml:space="preserve"> </w:t>
            </w:r>
            <w:r>
              <w:rPr>
                <w:rFonts w:hint="eastAsia" w:ascii="黑体" w:hAnsi="宋体" w:eastAsia="黑体" w:cs="黑体"/>
                <w:color w:val="0000FF"/>
                <w:sz w:val="18"/>
                <w:szCs w:val="18"/>
              </w:rPr>
              <w:t>（</w:t>
            </w:r>
            <w:r>
              <w:rPr>
                <w:rFonts w:hint="eastAsia" w:ascii="黑体" w:hAnsi="宋体" w:eastAsia="黑体" w:cs="黑体"/>
                <w:color w:val="0000FF"/>
                <w:sz w:val="18"/>
                <w:szCs w:val="18"/>
                <w:lang w:val="en-US" w:eastAsia="zh-CN"/>
              </w:rPr>
              <w:t>3</w:t>
            </w:r>
            <w:r>
              <w:rPr>
                <w:rFonts w:hint="eastAsia" w:ascii="黑体" w:hAnsi="宋体" w:eastAsia="黑体" w:cs="黑体"/>
                <w:color w:val="0000FF"/>
                <w:sz w:val="18"/>
                <w:szCs w:val="18"/>
              </w:rPr>
              <w:t>分）</w:t>
            </w:r>
          </w:p>
          <w:p>
            <w:pPr>
              <w:spacing w:line="240" w:lineRule="exact"/>
              <w:rPr>
                <w:rFonts w:hint="eastAsia" w:ascii="宋体" w:hAnsi="宋体" w:eastAsia="宋体"/>
                <w:color w:val="0000FF"/>
                <w:sz w:val="18"/>
                <w:szCs w:val="18"/>
                <w:lang w:val="en-US" w:eastAsia="zh-CN"/>
              </w:rPr>
            </w:pPr>
            <w:r>
              <w:rPr>
                <w:rFonts w:hint="eastAsia" w:ascii="宋体" w:hAnsi="宋体"/>
                <w:color w:val="0000FF"/>
                <w:sz w:val="18"/>
                <w:szCs w:val="18"/>
              </w:rPr>
              <w:t>技术措施说明</w:t>
            </w:r>
            <w:r>
              <w:rPr>
                <w:rFonts w:hint="eastAsia" w:ascii="宋体" w:hAnsi="宋体"/>
                <w:color w:val="0000FF"/>
                <w:sz w:val="18"/>
                <w:szCs w:val="18"/>
                <w:lang w:val="en-US" w:eastAsia="zh-CN"/>
              </w:rPr>
              <w:t>：项目选用适应汕头市气候和土壤条件的本地植物，栽植多类型植物，乔、灌、草结合构成多层次的植物群落。乔灌木有：香樟、红花紫荆、桃花心木、小叶榄仁、黄槐、凤凰木、金山葵、桂花、苏铁等，地被植物有：龙船花、紫花野牡丹、毛杜鹃、红花继木等。</w:t>
            </w:r>
          </w:p>
          <w:p>
            <w:pPr>
              <w:spacing w:line="240" w:lineRule="exact"/>
              <w:rPr>
                <w:rFonts w:ascii="Calibri" w:eastAsia="Times New Roman" w:cs="Calibri"/>
                <w:color w:val="0000FF"/>
                <w:sz w:val="18"/>
                <w:szCs w:val="18"/>
              </w:rPr>
            </w:pPr>
            <w:r>
              <w:rPr>
                <w:rFonts w:hint="eastAsia" w:ascii="宋体" w:hAnsi="宋体"/>
                <w:color w:val="0000FF"/>
                <w:sz w:val="18"/>
                <w:szCs w:val="18"/>
              </w:rPr>
              <w:t>证明材料：</w:t>
            </w:r>
            <w:r>
              <w:rPr>
                <w:rFonts w:hint="eastAsia" w:ascii="宋体" w:hAnsi="宋体"/>
                <w:color w:val="0000FF"/>
                <w:sz w:val="18"/>
                <w:szCs w:val="18"/>
              </w:rPr>
              <w:sym w:font="Wingdings 2" w:char="F052"/>
            </w:r>
            <w:r>
              <w:rPr>
                <w:rFonts w:hint="eastAsia" w:ascii="宋体" w:hAnsi="宋体"/>
                <w:color w:val="0000FF"/>
                <w:sz w:val="18"/>
                <w:szCs w:val="18"/>
              </w:rPr>
              <w:t>设计图纸（建筑、建施-00）</w:t>
            </w:r>
          </w:p>
        </w:tc>
      </w:tr>
      <w:tr>
        <w:tblPrEx>
          <w:tblBorders>
            <w:top w:val="single" w:color="0000FF" w:sz="6" w:space="0"/>
            <w:left w:val="single" w:color="0000FF" w:sz="6" w:space="0"/>
            <w:bottom w:val="single" w:color="0000FF" w:sz="6" w:space="0"/>
            <w:right w:val="single" w:color="0000FF" w:sz="6" w:space="0"/>
            <w:insideH w:val="none" w:color="auto" w:sz="0" w:space="0"/>
            <w:insideV w:val="none" w:color="auto" w:sz="0" w:space="0"/>
          </w:tblBorders>
          <w:tblLayout w:type="fixed"/>
          <w:tblCellMar>
            <w:top w:w="0" w:type="dxa"/>
            <w:left w:w="108" w:type="dxa"/>
            <w:bottom w:w="0" w:type="dxa"/>
            <w:right w:w="108" w:type="dxa"/>
          </w:tblCellMar>
        </w:tblPrEx>
        <w:trPr>
          <w:trHeight w:val="890" w:hRule="atLeast"/>
          <w:jc w:val="center"/>
        </w:trPr>
        <w:tc>
          <w:tcPr>
            <w:tcW w:w="10539" w:type="dxa"/>
            <w:gridSpan w:val="2"/>
          </w:tcPr>
          <w:p>
            <w:pPr>
              <w:widowControl w:val="0"/>
              <w:spacing w:line="240" w:lineRule="exact"/>
              <w:ind w:firstLine="2040" w:firstLineChars="1129"/>
              <w:rPr>
                <w:rFonts w:ascii="Calibri" w:hAnsi="黑体" w:eastAsia="黑体" w:cs="Calibri"/>
                <w:b/>
                <w:bCs/>
                <w:color w:val="0000FF"/>
                <w:kern w:val="0"/>
                <w:sz w:val="18"/>
                <w:szCs w:val="18"/>
              </w:rPr>
            </w:pPr>
          </w:p>
          <w:p>
            <w:pPr>
              <w:widowControl w:val="0"/>
              <w:spacing w:line="300" w:lineRule="exact"/>
              <w:jc w:val="center"/>
              <w:rPr>
                <w:rFonts w:ascii="Calibri" w:eastAsia="Times New Roman" w:cs="Calibri"/>
                <w:color w:val="0000FF"/>
                <w:sz w:val="18"/>
                <w:szCs w:val="18"/>
              </w:rPr>
            </w:pPr>
            <w:r>
              <w:rPr>
                <w:rFonts w:hint="eastAsia" w:ascii="Calibri" w:hAnsi="黑体" w:eastAsia="黑体" w:cs="黑体"/>
                <w:b/>
                <w:bCs/>
                <w:color w:val="0000FF"/>
                <w:kern w:val="0"/>
                <w:sz w:val="24"/>
                <w:szCs w:val="24"/>
              </w:rPr>
              <w:t>二、节能与能源利用技术措施</w:t>
            </w:r>
          </w:p>
        </w:tc>
      </w:tr>
      <w:tr>
        <w:tblPrEx>
          <w:tblBorders>
            <w:top w:val="single" w:color="0000FF" w:sz="6" w:space="0"/>
            <w:left w:val="single" w:color="0000FF" w:sz="6" w:space="0"/>
            <w:bottom w:val="single" w:color="0000FF" w:sz="6" w:space="0"/>
            <w:right w:val="single" w:color="0000FF" w:sz="6"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jc w:val="center"/>
        </w:trPr>
        <w:tc>
          <w:tcPr>
            <w:tcW w:w="10539" w:type="dxa"/>
            <w:gridSpan w:val="2"/>
          </w:tcPr>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必须说明内容（控制项）</w:t>
            </w: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建筑专业</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 xml:space="preserve"> 5.1.1</w:t>
            </w:r>
            <w:r>
              <w:rPr>
                <w:rFonts w:hint="eastAsia" w:ascii="黑体" w:hAnsi="Calibri" w:eastAsia="黑体" w:cs="黑体"/>
                <w:color w:val="0000FF"/>
                <w:sz w:val="18"/>
                <w:szCs w:val="18"/>
                <w:bdr w:val="single" w:color="0000FF" w:sz="4" w:space="0"/>
              </w:rPr>
              <w:t>建筑设计应符合国家现行有关建筑节能设计标准中强制性条文的规定。</w:t>
            </w:r>
          </w:p>
          <w:p>
            <w:pPr>
              <w:spacing w:line="240" w:lineRule="exact"/>
              <w:rPr>
                <w:rFonts w:eastAsia="Times New Roman" w:cs="Times New Roman"/>
              </w:rPr>
            </w:pPr>
            <w:r>
              <w:rPr>
                <w:rFonts w:hint="eastAsia" w:ascii="宋体" w:hAnsi="宋体"/>
                <w:color w:val="0000FF"/>
                <w:sz w:val="18"/>
                <w:szCs w:val="18"/>
              </w:rPr>
              <w:t>技术措施说明：本项目外墙采用</w:t>
            </w:r>
            <w:r>
              <w:rPr>
                <w:rFonts w:ascii="宋体" w:hAnsi="宋体"/>
                <w:color w:val="0000FF"/>
                <w:sz w:val="18"/>
                <w:szCs w:val="18"/>
              </w:rPr>
              <w:t>200</w:t>
            </w:r>
            <w:r>
              <w:rPr>
                <w:rFonts w:hint="eastAsia" w:ascii="宋体" w:hAnsi="宋体"/>
                <w:color w:val="0000FF"/>
                <w:sz w:val="18"/>
                <w:szCs w:val="18"/>
              </w:rPr>
              <w:t>厚加气混凝土砌块</w:t>
            </w:r>
            <w:r>
              <w:rPr>
                <w:rFonts w:ascii="宋体" w:hAnsi="宋体"/>
                <w:color w:val="0000FF"/>
                <w:sz w:val="18"/>
                <w:szCs w:val="18"/>
              </w:rPr>
              <w:t>/200</w:t>
            </w:r>
            <w:r>
              <w:rPr>
                <w:rFonts w:hint="eastAsia" w:ascii="宋体" w:hAnsi="宋体"/>
                <w:color w:val="0000FF"/>
                <w:sz w:val="18"/>
                <w:szCs w:val="18"/>
              </w:rPr>
              <w:t>厚钢筋混凝土，外窗采用普通铝合金窗+6mm高透光Low-E玻璃，按照《公共建筑节能设计标准》(GB50189-2015)进行设计，满足标准的要求。</w:t>
            </w:r>
          </w:p>
          <w:p>
            <w:pPr>
              <w:widowControl w:val="0"/>
              <w:spacing w:line="240" w:lineRule="exact"/>
              <w:rPr>
                <w:rFonts w:ascii="Calibri" w:eastAsia="Times New Roman" w:cs="Calibri"/>
                <w:b/>
                <w:bCs/>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节能计算书、备案表；</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设计图纸（建筑、建施</w:t>
            </w:r>
            <w:r>
              <w:rPr>
                <w:rFonts w:ascii="宋体" w:hAnsi="Calibri"/>
                <w:color w:val="0000FF"/>
                <w:sz w:val="18"/>
                <w:szCs w:val="18"/>
              </w:rPr>
              <w:t>-0</w:t>
            </w:r>
            <w:r>
              <w:rPr>
                <w:rFonts w:ascii="宋体" w:hAnsi="宋体"/>
                <w:color w:val="0000FF"/>
                <w:sz w:val="18"/>
                <w:szCs w:val="18"/>
              </w:rPr>
              <w:t>1</w:t>
            </w:r>
            <w:r>
              <w:rPr>
                <w:rFonts w:hint="eastAsia" w:ascii="宋体" w:hAnsi="宋体"/>
                <w:color w:val="0000FF"/>
                <w:sz w:val="18"/>
                <w:szCs w:val="18"/>
              </w:rPr>
              <w:t>）</w:t>
            </w:r>
          </w:p>
          <w:p>
            <w:pPr>
              <w:widowControl w:val="0"/>
              <w:spacing w:line="240" w:lineRule="exact"/>
              <w:rPr>
                <w:rFonts w:ascii="Calibri" w:eastAsia="Times New Roman" w:cs="Calibri"/>
                <w:b/>
                <w:bCs/>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暖通专业</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黑体" w:hAnsi="Calibri" w:eastAsia="黑体" w:cs="黑体"/>
                <w:color w:val="0000FF"/>
                <w:sz w:val="18"/>
                <w:szCs w:val="18"/>
              </w:rPr>
              <w:t>5.1.2</w:t>
            </w:r>
            <w:r>
              <w:rPr>
                <w:rFonts w:hint="eastAsia" w:ascii="黑体" w:hAnsi="Calibri" w:eastAsia="黑体" w:cs="黑体"/>
                <w:color w:val="0000FF"/>
                <w:sz w:val="18"/>
                <w:szCs w:val="18"/>
              </w:rPr>
              <w:t>不应采用电直接加热设备作为供暖空调系统的供暖热源和空气加湿热源。</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技术措施说明：本项目处于夏热冬暖地区，未采用电直接加热设备作为空调系统的供暖热源。</w:t>
            </w:r>
          </w:p>
          <w:p>
            <w:pPr>
              <w:widowControl w:val="0"/>
              <w:spacing w:line="240" w:lineRule="exact"/>
              <w:rPr>
                <w:rFonts w:ascii="Calibri" w:eastAsia="Times New Roman" w:cs="Calibri"/>
                <w:b/>
                <w:bCs/>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暖通、暖施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Calibri" w:eastAsia="Times New Roman" w:cs="Calibri"/>
                <w:b/>
                <w:bCs/>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电气专业</w:t>
            </w:r>
          </w:p>
          <w:p>
            <w:pPr>
              <w:widowControl w:val="0"/>
              <w:spacing w:line="240" w:lineRule="exact"/>
              <w:rPr>
                <w:rFonts w:ascii="黑体" w:hAnsi="宋体" w:eastAsia="黑体" w:cs="黑体"/>
                <w:color w:val="0000FF"/>
                <w:sz w:val="18"/>
                <w:szCs w:val="18"/>
              </w:rPr>
            </w:pPr>
            <w:r>
              <w:rPr>
                <w:rFonts w:hint="eastAsia" w:ascii="黑体" w:hAnsi="Wingdings 2" w:eastAsia="黑体" w:cs="黑体"/>
                <w:color w:val="0000FF"/>
                <w:sz w:val="18"/>
                <w:szCs w:val="18"/>
              </w:rPr>
              <w:sym w:font="Wingdings 2" w:char="F052"/>
            </w:r>
            <w:r>
              <w:rPr>
                <w:rFonts w:ascii="黑体" w:hAnsi="Calibri" w:eastAsia="黑体" w:cs="黑体"/>
                <w:color w:val="0000FF"/>
                <w:sz w:val="18"/>
                <w:szCs w:val="18"/>
              </w:rPr>
              <w:t xml:space="preserve"> 5.1.3</w:t>
            </w:r>
            <w:r>
              <w:rPr>
                <w:rFonts w:hint="eastAsia" w:ascii="黑体" w:hAnsi="Calibri" w:eastAsia="黑体" w:cs="黑体"/>
                <w:color w:val="0000FF"/>
                <w:sz w:val="18"/>
                <w:szCs w:val="18"/>
              </w:rPr>
              <w:t>冷热源、输配系统和照明等各部分能耗应进行独立分项计量。</w:t>
            </w:r>
          </w:p>
          <w:p>
            <w:pPr>
              <w:keepNext w:val="0"/>
              <w:keepLines w:val="0"/>
              <w:suppressLineNumbers w:val="0"/>
              <w:spacing w:before="0" w:beforeAutospacing="0" w:after="0" w:afterAutospacing="0"/>
              <w:ind w:right="0"/>
              <w:rPr>
                <w:rFonts w:ascii="宋体" w:hAnsi="Calibri"/>
                <w:color w:val="0000FF"/>
                <w:sz w:val="18"/>
                <w:szCs w:val="18"/>
              </w:rPr>
            </w:pPr>
            <w:r>
              <w:rPr>
                <w:rFonts w:hint="eastAsia" w:ascii="宋体" w:hAnsi="宋体"/>
                <w:color w:val="0000FF"/>
                <w:sz w:val="18"/>
                <w:szCs w:val="18"/>
              </w:rPr>
              <w:t>技术措施说明：本项目设分项计量系统，将建筑物的空调用电、动力用电、照明插座用电和特殊用电等分别进行计量。</w:t>
            </w:r>
          </w:p>
          <w:p>
            <w:pPr>
              <w:widowControl w:val="0"/>
              <w:spacing w:line="240" w:lineRule="exact"/>
              <w:rPr>
                <w:rFonts w:ascii="Calibri" w:eastAsia="Times New Roman" w:cs="Calibri"/>
                <w:b/>
                <w:bCs/>
                <w:color w:val="0000FF"/>
                <w:sz w:val="18"/>
                <w:szCs w:val="18"/>
              </w:rPr>
            </w:pPr>
            <w:r>
              <w:rPr>
                <w:rFonts w:hint="eastAsia" w:ascii="宋体" w:hAnsi="宋体"/>
                <w:color w:val="0000FF"/>
                <w:sz w:val="18"/>
                <w:szCs w:val="18"/>
              </w:rPr>
              <w:t>证明材料：</w:t>
            </w:r>
            <w:r>
              <w:rPr>
                <w:rFonts w:ascii="Calibri" w:hAnsi="Calibri" w:cs="Calibri"/>
                <w:color w:val="0000FF"/>
                <w:sz w:val="18"/>
                <w:szCs w:val="18"/>
              </w:rPr>
              <w:sym w:font="Wingdings 2" w:char="F052"/>
            </w:r>
            <w:r>
              <w:rPr>
                <w:rFonts w:hint="eastAsia" w:ascii="宋体" w:hAnsi="宋体"/>
                <w:color w:val="0000FF"/>
                <w:sz w:val="18"/>
                <w:szCs w:val="18"/>
              </w:rPr>
              <w:t>设计图纸（电施、</w:t>
            </w:r>
            <w:r>
              <w:rPr>
                <w:rFonts w:ascii="宋体" w:hAnsi="宋体"/>
                <w:color w:val="0000FF"/>
                <w:sz w:val="18"/>
                <w:szCs w:val="18"/>
              </w:rPr>
              <w:t>1</w:t>
            </w:r>
            <w:r>
              <w:rPr>
                <w:rFonts w:hint="eastAsia" w:ascii="宋体" w:hAnsi="宋体"/>
                <w:color w:val="0000FF"/>
                <w:sz w:val="18"/>
                <w:szCs w:val="18"/>
              </w:rPr>
              <w:t>、</w:t>
            </w:r>
            <w:r>
              <w:rPr>
                <w:rFonts w:ascii="宋体" w:hAnsi="宋体"/>
                <w:color w:val="0000FF"/>
                <w:sz w:val="18"/>
                <w:szCs w:val="18"/>
              </w:rPr>
              <w:t>2,01~</w:t>
            </w:r>
            <w:r>
              <w:rPr>
                <w:rFonts w:ascii="宋体"/>
                <w:color w:val="0000FF"/>
                <w:sz w:val="18"/>
                <w:szCs w:val="18"/>
              </w:rPr>
              <w:t>0</w:t>
            </w:r>
            <w:r>
              <w:rPr>
                <w:rFonts w:ascii="宋体" w:hAnsi="宋体"/>
                <w:color w:val="0000FF"/>
                <w:sz w:val="18"/>
                <w:szCs w:val="18"/>
              </w:rPr>
              <w:t>8</w:t>
            </w:r>
            <w:r>
              <w:rPr>
                <w:rFonts w:hint="eastAsia" w:ascii="宋体" w:hAnsi="宋体"/>
                <w:color w:val="0000FF"/>
                <w:sz w:val="18"/>
                <w:szCs w:val="18"/>
              </w:rPr>
              <w:t>）</w:t>
            </w:r>
          </w:p>
          <w:p>
            <w:pPr>
              <w:widowControl w:val="0"/>
              <w:spacing w:line="240" w:lineRule="exact"/>
              <w:rPr>
                <w:rFonts w:ascii="黑体" w:hAnsi="Calibri" w:eastAsia="黑体" w:cs="黑体"/>
                <w:color w:val="0000FF"/>
                <w:sz w:val="18"/>
                <w:szCs w:val="18"/>
                <w:bdr w:val="single" w:color="0000FF" w:sz="4" w:space="0"/>
              </w:rPr>
            </w:pPr>
            <w:r>
              <w:rPr>
                <w:rFonts w:hint="eastAsia" w:ascii="黑体" w:hAnsi="Wingdings 2" w:eastAsia="黑体" w:cs="黑体"/>
                <w:color w:val="0000FF"/>
                <w:sz w:val="18"/>
                <w:szCs w:val="18"/>
              </w:rPr>
              <w:sym w:font="Wingdings 2" w:char="F052"/>
            </w:r>
            <w:r>
              <w:rPr>
                <w:rFonts w:ascii="黑体" w:hAnsi="Calibri" w:eastAsia="黑体" w:cs="黑体"/>
                <w:color w:val="0000FF"/>
                <w:sz w:val="18"/>
                <w:szCs w:val="18"/>
                <w:bdr w:val="single" w:color="0000FF" w:sz="4" w:space="0"/>
              </w:rPr>
              <w:t>5.1.4</w:t>
            </w:r>
            <w:r>
              <w:rPr>
                <w:rFonts w:hint="eastAsia" w:ascii="黑体" w:hAnsi="Calibri" w:eastAsia="黑体" w:cs="黑体"/>
                <w:color w:val="0000FF"/>
                <w:sz w:val="18"/>
                <w:szCs w:val="18"/>
                <w:bdr w:val="single" w:color="0000FF" w:sz="4" w:space="0"/>
              </w:rPr>
              <w:t>各房间或场所的照明功率密度值不得高于现行国家标准《建筑照明设计标准》</w:t>
            </w:r>
            <w:r>
              <w:rPr>
                <w:rFonts w:ascii="黑体" w:hAnsi="Calibri" w:eastAsia="黑体" w:cs="黑体"/>
                <w:color w:val="0000FF"/>
                <w:sz w:val="18"/>
                <w:szCs w:val="18"/>
                <w:bdr w:val="single" w:color="0000FF" w:sz="4" w:space="0"/>
              </w:rPr>
              <w:t>GB 50034</w:t>
            </w:r>
            <w:r>
              <w:rPr>
                <w:rFonts w:hint="eastAsia" w:ascii="黑体" w:hAnsi="Calibri" w:eastAsia="黑体" w:cs="黑体"/>
                <w:color w:val="0000FF"/>
                <w:sz w:val="18"/>
                <w:szCs w:val="18"/>
                <w:bdr w:val="single" w:color="0000FF" w:sz="4" w:space="0"/>
              </w:rPr>
              <w:t>中的现行值规定。</w:t>
            </w:r>
          </w:p>
          <w:p>
            <w:pPr>
              <w:widowControl w:val="0"/>
              <w:spacing w:line="240" w:lineRule="exact"/>
              <w:rPr>
                <w:rFonts w:hint="eastAsia" w:ascii="黑体" w:hAnsi="宋体" w:eastAsia="黑体" w:cs="黑体"/>
                <w:color w:val="0000FF"/>
                <w:sz w:val="18"/>
                <w:szCs w:val="18"/>
              </w:rPr>
            </w:pPr>
            <w:r>
              <w:rPr>
                <w:rFonts w:hint="eastAsia" w:ascii="宋体" w:hAnsi="宋体"/>
                <w:color w:val="0000FF"/>
                <w:sz w:val="18"/>
                <w:szCs w:val="18"/>
              </w:rPr>
              <w:t>技术措施说明：本项目光源选用直管型荧光灯、紧凑型荧光灯等，各房间照明功率密度值满足</w:t>
            </w:r>
            <w:r>
              <w:rPr>
                <w:rFonts w:hint="eastAsia" w:ascii="黑体" w:hAnsi="宋体" w:eastAsia="黑体" w:cs="黑体"/>
                <w:color w:val="0000FF"/>
                <w:sz w:val="18"/>
                <w:szCs w:val="18"/>
              </w:rPr>
              <w:t>《建筑照明设计标准》</w:t>
            </w:r>
            <w:r>
              <w:rPr>
                <w:rFonts w:ascii="黑体" w:hAnsi="宋体" w:eastAsia="黑体" w:cs="黑体"/>
                <w:color w:val="0000FF"/>
                <w:sz w:val="18"/>
                <w:szCs w:val="18"/>
              </w:rPr>
              <w:t>GB 50034</w:t>
            </w:r>
            <w:r>
              <w:rPr>
                <w:rFonts w:hint="eastAsia" w:ascii="黑体" w:hAnsi="宋体" w:eastAsia="黑体" w:cs="黑体"/>
                <w:color w:val="0000FF"/>
                <w:sz w:val="18"/>
                <w:szCs w:val="18"/>
              </w:rPr>
              <w:t>的要求。</w:t>
            </w:r>
          </w:p>
          <w:p>
            <w:pPr>
              <w:widowControl w:val="0"/>
              <w:spacing w:line="240" w:lineRule="exact"/>
              <w:rPr>
                <w:rFonts w:hint="eastAsia" w:ascii="黑体" w:hAnsi="宋体" w:eastAsia="黑体" w:cs="黑体"/>
                <w:color w:val="0000FF"/>
                <w:sz w:val="18"/>
                <w:szCs w:val="18"/>
              </w:rPr>
            </w:pPr>
          </w:p>
          <w:p>
            <w:pPr>
              <w:widowControl w:val="0"/>
              <w:spacing w:line="240" w:lineRule="exact"/>
              <w:rPr>
                <w:rFonts w:hint="eastAsia" w:ascii="黑体" w:hAnsi="宋体" w:eastAsia="黑体" w:cs="黑体"/>
                <w:color w:val="0000FF"/>
                <w:sz w:val="18"/>
                <w:szCs w:val="18"/>
              </w:rPr>
            </w:pPr>
          </w:p>
          <w:tbl>
            <w:tblPr>
              <w:tblStyle w:val="26"/>
              <w:tblW w:w="10218" w:type="dxa"/>
              <w:jc w:val="center"/>
              <w:tblInd w:w="0" w:type="dxa"/>
              <w:tblBorders>
                <w:top w:val="single" w:color="3333FF" w:sz="6" w:space="0"/>
                <w:left w:val="single" w:color="3333FF" w:sz="6" w:space="0"/>
                <w:bottom w:val="single" w:color="3333FF" w:sz="6" w:space="0"/>
                <w:right w:val="single" w:color="3333FF" w:sz="6" w:space="0"/>
                <w:insideH w:val="single" w:color="3333FF" w:sz="6" w:space="0"/>
                <w:insideV w:val="single" w:color="3333FF" w:sz="6" w:space="0"/>
              </w:tblBorders>
              <w:tblLayout w:type="fixed"/>
              <w:tblCellMar>
                <w:top w:w="0" w:type="dxa"/>
                <w:left w:w="108" w:type="dxa"/>
                <w:bottom w:w="0" w:type="dxa"/>
                <w:right w:w="108" w:type="dxa"/>
              </w:tblCellMar>
            </w:tblPr>
            <w:tblGrid>
              <w:gridCol w:w="4409"/>
              <w:gridCol w:w="1538"/>
              <w:gridCol w:w="1836"/>
              <w:gridCol w:w="1274"/>
              <w:gridCol w:w="1161"/>
            </w:tblGrid>
            <w:tr>
              <w:tblPrEx>
                <w:tblBorders>
                  <w:top w:val="single" w:color="3333FF" w:sz="6" w:space="0"/>
                  <w:left w:val="single" w:color="3333FF" w:sz="6" w:space="0"/>
                  <w:bottom w:val="single" w:color="3333FF" w:sz="6" w:space="0"/>
                  <w:right w:val="single" w:color="3333FF" w:sz="6" w:space="0"/>
                  <w:insideH w:val="single" w:color="3333FF" w:sz="6" w:space="0"/>
                  <w:insideV w:val="single" w:color="3333FF" w:sz="6" w:space="0"/>
                </w:tblBorders>
                <w:tblLayout w:type="fixed"/>
                <w:tblCellMar>
                  <w:top w:w="0" w:type="dxa"/>
                  <w:left w:w="108" w:type="dxa"/>
                  <w:bottom w:w="0" w:type="dxa"/>
                  <w:right w:w="108" w:type="dxa"/>
                </w:tblCellMar>
              </w:tblPrEx>
              <w:trPr>
                <w:cantSplit/>
                <w:trHeight w:val="282" w:hRule="atLeast"/>
                <w:jc w:val="center"/>
              </w:trPr>
              <w:tc>
                <w:tcPr>
                  <w:tcW w:w="4409" w:type="dxa"/>
                  <w:vMerge w:val="restart"/>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rPr>
                    <w:t>房间类型</w:t>
                  </w:r>
                </w:p>
              </w:tc>
              <w:tc>
                <w:tcPr>
                  <w:tcW w:w="3374" w:type="dxa"/>
                  <w:gridSpan w:val="2"/>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rPr>
                    <w:t>设计照度值（lx）</w:t>
                  </w:r>
                </w:p>
              </w:tc>
              <w:tc>
                <w:tcPr>
                  <w:tcW w:w="2435" w:type="dxa"/>
                  <w:gridSpan w:val="2"/>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rPr>
                    <w:t>照明功率密度（W/m2)</w:t>
                  </w:r>
                </w:p>
              </w:tc>
            </w:tr>
            <w:tr>
              <w:tblPrEx>
                <w:tblBorders>
                  <w:top w:val="single" w:color="3333FF" w:sz="6" w:space="0"/>
                  <w:left w:val="single" w:color="3333FF" w:sz="6" w:space="0"/>
                  <w:bottom w:val="single" w:color="3333FF" w:sz="6" w:space="0"/>
                  <w:right w:val="single" w:color="3333FF" w:sz="6" w:space="0"/>
                  <w:insideH w:val="single" w:color="3333FF" w:sz="6" w:space="0"/>
                  <w:insideV w:val="single" w:color="3333FF" w:sz="6" w:space="0"/>
                </w:tblBorders>
                <w:tblLayout w:type="fixed"/>
                <w:tblCellMar>
                  <w:top w:w="0" w:type="dxa"/>
                  <w:left w:w="108" w:type="dxa"/>
                  <w:bottom w:w="0" w:type="dxa"/>
                  <w:right w:w="108" w:type="dxa"/>
                </w:tblCellMar>
              </w:tblPrEx>
              <w:trPr>
                <w:cantSplit/>
                <w:trHeight w:val="282" w:hRule="atLeast"/>
                <w:jc w:val="center"/>
              </w:trPr>
              <w:tc>
                <w:tcPr>
                  <w:tcW w:w="4409" w:type="dxa"/>
                  <w:vMerge w:val="continue"/>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p>
              </w:tc>
              <w:tc>
                <w:tcPr>
                  <w:tcW w:w="1538"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rPr>
                    <w:t>实际值</w:t>
                  </w:r>
                </w:p>
              </w:tc>
              <w:tc>
                <w:tcPr>
                  <w:tcW w:w="1836"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rPr>
                    <w:t>标准值</w:t>
                  </w:r>
                </w:p>
              </w:tc>
              <w:tc>
                <w:tcPr>
                  <w:tcW w:w="1274"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rPr>
                    <w:t>实际值</w:t>
                  </w:r>
                </w:p>
              </w:tc>
              <w:tc>
                <w:tcPr>
                  <w:tcW w:w="1161"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rPr>
                    <w:t>目标值</w:t>
                  </w:r>
                </w:p>
              </w:tc>
            </w:tr>
            <w:tr>
              <w:tblPrEx>
                <w:tblBorders>
                  <w:top w:val="single" w:color="3333FF" w:sz="6" w:space="0"/>
                  <w:left w:val="single" w:color="3333FF" w:sz="6" w:space="0"/>
                  <w:bottom w:val="single" w:color="3333FF" w:sz="6" w:space="0"/>
                  <w:right w:val="single" w:color="3333FF" w:sz="6" w:space="0"/>
                  <w:insideH w:val="single" w:color="3333FF" w:sz="6" w:space="0"/>
                  <w:insideV w:val="single" w:color="3333FF" w:sz="6" w:space="0"/>
                </w:tblBorders>
                <w:tblLayout w:type="fixed"/>
                <w:tblCellMar>
                  <w:top w:w="0" w:type="dxa"/>
                  <w:left w:w="108" w:type="dxa"/>
                  <w:bottom w:w="0" w:type="dxa"/>
                  <w:right w:w="108" w:type="dxa"/>
                </w:tblCellMar>
              </w:tblPrEx>
              <w:trPr>
                <w:cantSplit/>
                <w:trHeight w:val="282" w:hRule="atLeast"/>
                <w:jc w:val="center"/>
              </w:trPr>
              <w:tc>
                <w:tcPr>
                  <w:tcW w:w="4409"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办公室</w:t>
                  </w:r>
                </w:p>
              </w:tc>
              <w:tc>
                <w:tcPr>
                  <w:tcW w:w="1538"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284.21</w:t>
                  </w:r>
                </w:p>
              </w:tc>
              <w:tc>
                <w:tcPr>
                  <w:tcW w:w="1836"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300</w:t>
                  </w:r>
                </w:p>
              </w:tc>
              <w:tc>
                <w:tcPr>
                  <w:tcW w:w="1274"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5.55</w:t>
                  </w:r>
                </w:p>
              </w:tc>
              <w:tc>
                <w:tcPr>
                  <w:tcW w:w="1161"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9.0</w:t>
                  </w:r>
                </w:p>
              </w:tc>
            </w:tr>
            <w:tr>
              <w:tblPrEx>
                <w:tblBorders>
                  <w:top w:val="single" w:color="3333FF" w:sz="6" w:space="0"/>
                  <w:left w:val="single" w:color="3333FF" w:sz="6" w:space="0"/>
                  <w:bottom w:val="single" w:color="3333FF" w:sz="6" w:space="0"/>
                  <w:right w:val="single" w:color="3333FF" w:sz="6" w:space="0"/>
                  <w:insideH w:val="single" w:color="3333FF" w:sz="6" w:space="0"/>
                  <w:insideV w:val="single" w:color="3333FF" w:sz="6" w:space="0"/>
                </w:tblBorders>
                <w:tblLayout w:type="fixed"/>
                <w:tblCellMar>
                  <w:top w:w="0" w:type="dxa"/>
                  <w:left w:w="108" w:type="dxa"/>
                  <w:bottom w:w="0" w:type="dxa"/>
                  <w:right w:w="108" w:type="dxa"/>
                </w:tblCellMar>
              </w:tblPrEx>
              <w:trPr>
                <w:cantSplit/>
                <w:trHeight w:val="282" w:hRule="atLeast"/>
                <w:jc w:val="center"/>
              </w:trPr>
              <w:tc>
                <w:tcPr>
                  <w:tcW w:w="4409"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楼梯间</w:t>
                  </w:r>
                </w:p>
              </w:tc>
              <w:tc>
                <w:tcPr>
                  <w:tcW w:w="1538"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59.13</w:t>
                  </w:r>
                </w:p>
              </w:tc>
              <w:tc>
                <w:tcPr>
                  <w:tcW w:w="1836"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50</w:t>
                  </w:r>
                </w:p>
              </w:tc>
              <w:tc>
                <w:tcPr>
                  <w:tcW w:w="1274"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1.39</w:t>
                  </w:r>
                </w:p>
              </w:tc>
              <w:tc>
                <w:tcPr>
                  <w:tcW w:w="1161" w:type="dxa"/>
                  <w:tcBorders>
                    <w:top w:val="single" w:color="3333FF" w:sz="6" w:space="0"/>
                    <w:left w:val="single" w:color="3333FF" w:sz="6" w:space="0"/>
                    <w:bottom w:val="single" w:color="3333FF" w:sz="6" w:space="0"/>
                    <w:right w:val="single" w:color="3333FF" w:sz="6" w:space="0"/>
                  </w:tcBorders>
                  <w:vAlign w:val="center"/>
                </w:tcPr>
                <w:p>
                  <w:pPr>
                    <w:jc w:val="center"/>
                    <w:rPr>
                      <w:rFonts w:hint="default" w:ascii="宋体" w:hAnsi="宋体"/>
                      <w:color w:val="0000FF"/>
                      <w:sz w:val="18"/>
                      <w:szCs w:val="18"/>
                      <w:lang w:val="en-US"/>
                    </w:rPr>
                  </w:pPr>
                  <w:r>
                    <w:rPr>
                      <w:rFonts w:hint="eastAsia" w:ascii="宋体" w:hAnsi="宋体"/>
                      <w:color w:val="0000FF"/>
                      <w:sz w:val="18"/>
                      <w:szCs w:val="18"/>
                      <w:lang w:val="en-US" w:eastAsia="zh-CN"/>
                    </w:rPr>
                    <w:t>4.0</w:t>
                  </w:r>
                </w:p>
              </w:tc>
            </w:tr>
            <w:tr>
              <w:tblPrEx>
                <w:tblBorders>
                  <w:top w:val="single" w:color="3333FF" w:sz="6" w:space="0"/>
                  <w:left w:val="single" w:color="3333FF" w:sz="6" w:space="0"/>
                  <w:bottom w:val="single" w:color="3333FF" w:sz="6" w:space="0"/>
                  <w:right w:val="single" w:color="3333FF" w:sz="6" w:space="0"/>
                  <w:insideH w:val="single" w:color="3333FF" w:sz="6" w:space="0"/>
                  <w:insideV w:val="single" w:color="3333FF" w:sz="6" w:space="0"/>
                </w:tblBorders>
                <w:tblLayout w:type="fixed"/>
                <w:tblCellMar>
                  <w:top w:w="0" w:type="dxa"/>
                  <w:left w:w="108" w:type="dxa"/>
                  <w:bottom w:w="0" w:type="dxa"/>
                  <w:right w:w="108" w:type="dxa"/>
                </w:tblCellMar>
              </w:tblPrEx>
              <w:trPr>
                <w:cantSplit/>
                <w:trHeight w:val="282" w:hRule="atLeast"/>
                <w:jc w:val="center"/>
              </w:trPr>
              <w:tc>
                <w:tcPr>
                  <w:tcW w:w="4409"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走廊</w:t>
                  </w:r>
                </w:p>
              </w:tc>
              <w:tc>
                <w:tcPr>
                  <w:tcW w:w="1538"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48.55</w:t>
                  </w:r>
                </w:p>
              </w:tc>
              <w:tc>
                <w:tcPr>
                  <w:tcW w:w="1836"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50</w:t>
                  </w:r>
                </w:p>
              </w:tc>
              <w:tc>
                <w:tcPr>
                  <w:tcW w:w="1274"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1.01</w:t>
                  </w:r>
                </w:p>
              </w:tc>
              <w:tc>
                <w:tcPr>
                  <w:tcW w:w="1161"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2.5</w:t>
                  </w:r>
                </w:p>
              </w:tc>
            </w:tr>
            <w:tr>
              <w:tblPrEx>
                <w:tblBorders>
                  <w:top w:val="single" w:color="3333FF" w:sz="6" w:space="0"/>
                  <w:left w:val="single" w:color="3333FF" w:sz="6" w:space="0"/>
                  <w:bottom w:val="single" w:color="3333FF" w:sz="6" w:space="0"/>
                  <w:right w:val="single" w:color="3333FF" w:sz="6" w:space="0"/>
                  <w:insideH w:val="single" w:color="3333FF" w:sz="6" w:space="0"/>
                  <w:insideV w:val="single" w:color="3333FF" w:sz="6" w:space="0"/>
                </w:tblBorders>
                <w:tblLayout w:type="fixed"/>
                <w:tblCellMar>
                  <w:top w:w="0" w:type="dxa"/>
                  <w:left w:w="108" w:type="dxa"/>
                  <w:bottom w:w="0" w:type="dxa"/>
                  <w:right w:w="108" w:type="dxa"/>
                </w:tblCellMar>
              </w:tblPrEx>
              <w:trPr>
                <w:cantSplit/>
                <w:trHeight w:val="282" w:hRule="atLeast"/>
                <w:jc w:val="center"/>
              </w:trPr>
              <w:tc>
                <w:tcPr>
                  <w:tcW w:w="4409"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教室</w:t>
                  </w:r>
                </w:p>
              </w:tc>
              <w:tc>
                <w:tcPr>
                  <w:tcW w:w="1538"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327.27</w:t>
                  </w:r>
                </w:p>
              </w:tc>
              <w:tc>
                <w:tcPr>
                  <w:tcW w:w="1836"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300</w:t>
                  </w:r>
                </w:p>
              </w:tc>
              <w:tc>
                <w:tcPr>
                  <w:tcW w:w="1274"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8.52</w:t>
                  </w:r>
                </w:p>
              </w:tc>
              <w:tc>
                <w:tcPr>
                  <w:tcW w:w="1161" w:type="dxa"/>
                  <w:tcBorders>
                    <w:top w:val="single" w:color="3333FF" w:sz="6" w:space="0"/>
                    <w:left w:val="single" w:color="3333FF" w:sz="6" w:space="0"/>
                    <w:bottom w:val="single" w:color="3333FF" w:sz="6" w:space="0"/>
                    <w:right w:val="single" w:color="3333FF" w:sz="6" w:space="0"/>
                  </w:tcBorders>
                  <w:vAlign w:val="center"/>
                </w:tcPr>
                <w:p>
                  <w:pPr>
                    <w:jc w:val="center"/>
                    <w:rPr>
                      <w:rFonts w:hint="eastAsia" w:ascii="宋体" w:hAnsi="宋体"/>
                      <w:color w:val="0000FF"/>
                      <w:sz w:val="18"/>
                      <w:szCs w:val="18"/>
                    </w:rPr>
                  </w:pPr>
                  <w:r>
                    <w:rPr>
                      <w:rFonts w:hint="eastAsia" w:ascii="宋体" w:hAnsi="宋体"/>
                      <w:color w:val="0000FF"/>
                      <w:sz w:val="18"/>
                      <w:szCs w:val="18"/>
                      <w:lang w:val="en-US" w:eastAsia="zh-CN"/>
                    </w:rPr>
                    <w:t>9.0</w:t>
                  </w:r>
                </w:p>
              </w:tc>
            </w:tr>
            <w:tr>
              <w:tblPrEx>
                <w:tblBorders>
                  <w:top w:val="single" w:color="3333FF" w:sz="6" w:space="0"/>
                  <w:left w:val="single" w:color="3333FF" w:sz="6" w:space="0"/>
                  <w:bottom w:val="single" w:color="3333FF" w:sz="6" w:space="0"/>
                  <w:right w:val="single" w:color="3333FF" w:sz="6" w:space="0"/>
                  <w:insideH w:val="single" w:color="3333FF" w:sz="6" w:space="0"/>
                  <w:insideV w:val="single" w:color="3333FF" w:sz="6" w:space="0"/>
                </w:tblBorders>
                <w:tblLayout w:type="fixed"/>
                <w:tblCellMar>
                  <w:top w:w="0" w:type="dxa"/>
                  <w:left w:w="108" w:type="dxa"/>
                  <w:bottom w:w="0" w:type="dxa"/>
                  <w:right w:w="108" w:type="dxa"/>
                </w:tblCellMar>
              </w:tblPrEx>
              <w:trPr>
                <w:cantSplit/>
                <w:trHeight w:val="282" w:hRule="atLeast"/>
                <w:jc w:val="center"/>
              </w:trPr>
              <w:tc>
                <w:tcPr>
                  <w:tcW w:w="4409" w:type="dxa"/>
                  <w:tcBorders>
                    <w:top w:val="single" w:color="3333FF" w:sz="6" w:space="0"/>
                    <w:left w:val="single" w:color="3333FF" w:sz="6" w:space="0"/>
                    <w:bottom w:val="single" w:color="3333FF" w:sz="6" w:space="0"/>
                    <w:right w:val="single" w:color="3333FF" w:sz="6" w:space="0"/>
                  </w:tcBorders>
                  <w:vAlign w:val="center"/>
                </w:tcPr>
                <w:p>
                  <w:pPr>
                    <w:jc w:val="center"/>
                    <w:rPr>
                      <w:rFonts w:ascii="宋体"/>
                      <w:color w:val="0000FF"/>
                      <w:sz w:val="18"/>
                      <w:szCs w:val="18"/>
                    </w:rPr>
                  </w:pPr>
                </w:p>
              </w:tc>
              <w:tc>
                <w:tcPr>
                  <w:tcW w:w="1538" w:type="dxa"/>
                  <w:tcBorders>
                    <w:top w:val="single" w:color="3333FF" w:sz="6" w:space="0"/>
                    <w:left w:val="single" w:color="3333FF" w:sz="6" w:space="0"/>
                    <w:bottom w:val="single" w:color="3333FF" w:sz="6" w:space="0"/>
                    <w:right w:val="single" w:color="3333FF" w:sz="6" w:space="0"/>
                  </w:tcBorders>
                  <w:vAlign w:val="center"/>
                </w:tcPr>
                <w:p>
                  <w:pPr>
                    <w:jc w:val="center"/>
                    <w:rPr>
                      <w:rFonts w:ascii="宋体" w:hAnsi="宋体"/>
                      <w:color w:val="0000FF"/>
                      <w:sz w:val="18"/>
                      <w:szCs w:val="18"/>
                    </w:rPr>
                  </w:pPr>
                </w:p>
              </w:tc>
              <w:tc>
                <w:tcPr>
                  <w:tcW w:w="1836" w:type="dxa"/>
                  <w:tcBorders>
                    <w:top w:val="single" w:color="3333FF" w:sz="6" w:space="0"/>
                    <w:left w:val="single" w:color="3333FF" w:sz="6" w:space="0"/>
                    <w:bottom w:val="single" w:color="3333FF" w:sz="6" w:space="0"/>
                    <w:right w:val="single" w:color="3333FF" w:sz="6" w:space="0"/>
                  </w:tcBorders>
                  <w:vAlign w:val="center"/>
                </w:tcPr>
                <w:p>
                  <w:pPr>
                    <w:jc w:val="center"/>
                    <w:rPr>
                      <w:rFonts w:ascii="黑体" w:hAnsi="宋体" w:eastAsia="黑体" w:cs="黑体"/>
                      <w:color w:val="0000FF"/>
                      <w:sz w:val="18"/>
                      <w:szCs w:val="18"/>
                    </w:rPr>
                  </w:pPr>
                </w:p>
              </w:tc>
              <w:tc>
                <w:tcPr>
                  <w:tcW w:w="1274" w:type="dxa"/>
                  <w:tcBorders>
                    <w:top w:val="single" w:color="3333FF" w:sz="6" w:space="0"/>
                    <w:left w:val="single" w:color="3333FF" w:sz="6" w:space="0"/>
                    <w:bottom w:val="single" w:color="3333FF" w:sz="6" w:space="0"/>
                    <w:right w:val="single" w:color="3333FF" w:sz="6" w:space="0"/>
                  </w:tcBorders>
                  <w:vAlign w:val="center"/>
                </w:tcPr>
                <w:p>
                  <w:pPr>
                    <w:jc w:val="center"/>
                    <w:rPr>
                      <w:rFonts w:ascii="黑体" w:hAnsi="宋体" w:eastAsia="黑体" w:cs="黑体"/>
                      <w:color w:val="0000FF"/>
                      <w:sz w:val="18"/>
                      <w:szCs w:val="18"/>
                    </w:rPr>
                  </w:pPr>
                </w:p>
              </w:tc>
              <w:tc>
                <w:tcPr>
                  <w:tcW w:w="1161" w:type="dxa"/>
                  <w:tcBorders>
                    <w:top w:val="single" w:color="3333FF" w:sz="6" w:space="0"/>
                    <w:left w:val="single" w:color="3333FF" w:sz="6" w:space="0"/>
                    <w:bottom w:val="single" w:color="3333FF" w:sz="6" w:space="0"/>
                    <w:right w:val="single" w:color="3333FF" w:sz="6" w:space="0"/>
                  </w:tcBorders>
                  <w:vAlign w:val="center"/>
                </w:tcPr>
                <w:p>
                  <w:pPr>
                    <w:jc w:val="center"/>
                    <w:rPr>
                      <w:rFonts w:ascii="黑体" w:hAnsi="宋体" w:eastAsia="黑体" w:cs="黑体"/>
                      <w:color w:val="0000FF"/>
                      <w:sz w:val="18"/>
                      <w:szCs w:val="18"/>
                    </w:rPr>
                  </w:pPr>
                </w:p>
              </w:tc>
            </w:tr>
          </w:tbl>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照明功率密度计算书；</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电施、</w:t>
            </w:r>
            <w:r>
              <w:rPr>
                <w:rFonts w:ascii="Calibri" w:hAnsi="Calibri" w:cs="Calibri"/>
                <w:color w:val="0000FF"/>
                <w:sz w:val="18"/>
                <w:szCs w:val="18"/>
              </w:rPr>
              <w:t>T-02</w:t>
            </w:r>
            <w:r>
              <w:rPr>
                <w:rFonts w:hint="eastAsia" w:ascii="宋体" w:hAnsi="宋体"/>
                <w:color w:val="0000FF"/>
                <w:sz w:val="18"/>
                <w:szCs w:val="18"/>
              </w:rPr>
              <w:t>）</w:t>
            </w:r>
          </w:p>
          <w:p>
            <w:pPr>
              <w:widowControl w:val="0"/>
              <w:spacing w:line="240" w:lineRule="exact"/>
              <w:rPr>
                <w:rFonts w:ascii="Calibri" w:eastAsia="Times New Roman" w:cs="Calibri"/>
                <w:b/>
                <w:bCs/>
                <w:color w:val="0000FF"/>
                <w:sz w:val="18"/>
                <w:szCs w:val="18"/>
              </w:rPr>
            </w:pPr>
          </w:p>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自选说明内容（评分项）</w:t>
            </w:r>
          </w:p>
          <w:p>
            <w:pPr>
              <w:widowControl w:val="0"/>
              <w:spacing w:line="240" w:lineRule="exact"/>
              <w:ind w:firstLine="3148" w:firstLineChars="1748"/>
              <w:rPr>
                <w:rFonts w:ascii="Calibri" w:eastAsia="Times New Roman" w:cs="Calibri"/>
                <w:b/>
                <w:bCs/>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建筑专业</w:t>
            </w:r>
          </w:p>
          <w:p>
            <w:pPr>
              <w:widowControl w:val="0"/>
              <w:spacing w:line="240" w:lineRule="exact"/>
              <w:rPr>
                <w:rFonts w:ascii="黑体" w:hAnsi="宋体" w:eastAsia="黑体" w:cs="黑体"/>
                <w:color w:val="8EAADB"/>
                <w:sz w:val="18"/>
                <w:szCs w:val="18"/>
              </w:rPr>
            </w:pPr>
            <w:r>
              <w:rPr>
                <w:rFonts w:ascii="Calibri" w:hAnsi="Calibri" w:cs="Calibri"/>
                <w:color w:val="0000FF"/>
                <w:sz w:val="18"/>
                <w:szCs w:val="18"/>
              </w:rPr>
              <w:sym w:font="Wingdings 2" w:char="F052"/>
            </w:r>
            <w:r>
              <w:rPr>
                <w:rFonts w:hint="eastAsia" w:ascii="黑体" w:hAnsi="Calibri" w:eastAsia="黑体" w:cs="黑体"/>
                <w:color w:val="0000FF"/>
                <w:sz w:val="18"/>
                <w:szCs w:val="18"/>
                <w:bdr w:val="single" w:color="0000FF" w:sz="4" w:space="0"/>
              </w:rPr>
              <w:t>5.2.1结合场地自然条件，对建筑的体形、朝向、楼距、窗墙比等进行优化设计。</w:t>
            </w:r>
            <w:r>
              <w:rPr>
                <w:rFonts w:hint="eastAsia" w:ascii="黑体" w:hAnsi="宋体" w:eastAsia="黑体" w:cs="黑体"/>
                <w:color w:val="0000FF"/>
                <w:sz w:val="18"/>
                <w:szCs w:val="18"/>
              </w:rPr>
              <w:t>（</w:t>
            </w:r>
            <w:r>
              <w:rPr>
                <w:rFonts w:ascii="黑体" w:hAnsi="宋体" w:eastAsia="黑体" w:cs="黑体"/>
                <w:color w:val="0000FF"/>
                <w:sz w:val="18"/>
                <w:szCs w:val="18"/>
              </w:rPr>
              <w:t>6</w:t>
            </w:r>
            <w:r>
              <w:rPr>
                <w:rFonts w:hint="eastAsia" w:ascii="黑体" w:hAnsi="宋体" w:eastAsia="黑体" w:cs="黑体"/>
                <w:color w:val="0000FF"/>
                <w:sz w:val="18"/>
                <w:szCs w:val="18"/>
              </w:rPr>
              <w:t>分）</w:t>
            </w:r>
          </w:p>
          <w:p>
            <w:pPr>
              <w:widowControl w:val="0"/>
              <w:spacing w:line="240" w:lineRule="exact"/>
              <w:rPr>
                <w:rFonts w:hint="eastAsia" w:ascii="宋体" w:hAnsi="宋体"/>
                <w:color w:val="0000FF"/>
                <w:sz w:val="18"/>
                <w:szCs w:val="18"/>
              </w:rPr>
            </w:pPr>
            <w:r>
              <w:rPr>
                <w:rFonts w:hint="eastAsia" w:ascii="宋体" w:hAnsi="宋体"/>
                <w:color w:val="0000FF"/>
                <w:sz w:val="18"/>
                <w:szCs w:val="18"/>
              </w:rPr>
              <w:t>技术措施说明：</w:t>
            </w:r>
            <w:r>
              <w:rPr>
                <w:rFonts w:hint="eastAsia" w:ascii="宋体" w:hAnsi="宋体"/>
                <w:color w:val="0000FF"/>
                <w:sz w:val="18"/>
                <w:szCs w:val="18"/>
                <w:lang w:val="en-US" w:eastAsia="zh-CN"/>
              </w:rPr>
              <w:t>项目为公共建筑，经计算各朝向窗墙比均小于0.5，其中北向窗墙比为0.22，东向窗墙比为0.18，西向窗墙比为0.27。均满足要求。</w:t>
            </w:r>
            <w:r>
              <w:rPr>
                <w:rFonts w:hint="eastAsia" w:ascii="宋体" w:hAnsi="宋体"/>
                <w:color w:val="0000FF"/>
                <w:sz w:val="18"/>
                <w:szCs w:val="18"/>
              </w:rPr>
              <w:t xml:space="preserve"> </w:t>
            </w:r>
          </w:p>
          <w:p>
            <w:pPr>
              <w:widowControl w:val="0"/>
              <w:spacing w:line="240" w:lineRule="exact"/>
              <w:rPr>
                <w:rFonts w:hint="eastAsia" w:ascii="宋体" w:hAnsi="宋体"/>
                <w:color w:val="0000FF"/>
                <w:sz w:val="18"/>
                <w:szCs w:val="18"/>
                <w:lang w:val="en-US" w:eastAsia="zh-CN"/>
              </w:rPr>
            </w:pPr>
            <w:r>
              <w:rPr>
                <w:rFonts w:hint="eastAsia" w:ascii="宋体" w:hAnsi="宋体"/>
                <w:color w:val="0000FF"/>
                <w:sz w:val="18"/>
                <w:szCs w:val="18"/>
                <w:lang w:val="en-US" w:eastAsia="zh-CN"/>
              </w:rPr>
              <w:t>证明材料：</w:t>
            </w:r>
            <w:r>
              <w:rPr>
                <w:rFonts w:hint="eastAsia" w:ascii="宋体" w:hAnsi="宋体"/>
                <w:color w:val="0000FF"/>
                <w:sz w:val="18"/>
                <w:szCs w:val="18"/>
                <w:lang w:val="en-US" w:eastAsia="zh-CN"/>
              </w:rPr>
              <w:sym w:font="Wingdings 2" w:char="F052"/>
            </w:r>
            <w:r>
              <w:rPr>
                <w:rFonts w:hint="eastAsia" w:ascii="宋体" w:hAnsi="宋体"/>
                <w:color w:val="0000FF"/>
                <w:sz w:val="18"/>
                <w:szCs w:val="18"/>
                <w:lang w:val="en-US" w:eastAsia="zh-CN"/>
              </w:rPr>
              <w:t>建筑节能设计报告书；□设计图纸（专业/图号）</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 xml:space="preserve"> 5.2.2</w:t>
            </w:r>
            <w:r>
              <w:rPr>
                <w:rFonts w:hint="eastAsia" w:ascii="黑体" w:hAnsi="Calibri" w:eastAsia="黑体" w:cs="黑体"/>
                <w:color w:val="0000FF"/>
                <w:sz w:val="18"/>
                <w:szCs w:val="18"/>
                <w:bdr w:val="single" w:color="0000FF" w:sz="4" w:space="0"/>
              </w:rPr>
              <w:t>外窗、玻璃幕墙的可开启部分能使建筑获得良好的通风。</w:t>
            </w:r>
            <w:r>
              <w:rPr>
                <w:rFonts w:hint="eastAsia" w:ascii="黑体" w:hAnsi="宋体" w:eastAsia="黑体" w:cs="黑体"/>
                <w:color w:val="0000FF"/>
                <w:sz w:val="18"/>
                <w:szCs w:val="18"/>
              </w:rPr>
              <w:t>（</w:t>
            </w:r>
            <w:r>
              <w:rPr>
                <w:rFonts w:ascii="黑体" w:hAnsi="宋体" w:eastAsia="黑体" w:cs="黑体"/>
                <w:color w:val="0000FF"/>
                <w:sz w:val="18"/>
                <w:szCs w:val="18"/>
              </w:rPr>
              <w:t>6</w:t>
            </w:r>
            <w:r>
              <w:rPr>
                <w:rFonts w:hint="eastAsia" w:ascii="黑体" w:hAnsi="宋体" w:eastAsia="黑体" w:cs="黑体"/>
                <w:color w:val="0000FF"/>
                <w:sz w:val="18"/>
                <w:szCs w:val="18"/>
              </w:rPr>
              <w:t>分）</w:t>
            </w:r>
          </w:p>
          <w:p>
            <w:pPr>
              <w:widowControl w:val="0"/>
              <w:spacing w:line="240" w:lineRule="exact"/>
              <w:rPr>
                <w:rFonts w:ascii="宋体" w:hAnsi="宋体"/>
                <w:color w:val="0000FF"/>
                <w:sz w:val="18"/>
                <w:szCs w:val="18"/>
              </w:rPr>
            </w:pPr>
            <w:r>
              <w:rPr>
                <w:rFonts w:hint="eastAsia" w:ascii="宋体" w:hAnsi="宋体"/>
                <w:color w:val="0000FF"/>
                <w:sz w:val="18"/>
                <w:szCs w:val="18"/>
              </w:rPr>
              <w:t>技术措施说明：本建筑外窗可开启面积比例</w:t>
            </w:r>
            <w:r>
              <w:rPr>
                <w:rFonts w:hint="eastAsia" w:ascii="宋体" w:hAnsi="宋体"/>
                <w:color w:val="0000FF"/>
                <w:sz w:val="18"/>
                <w:szCs w:val="18"/>
                <w:lang w:val="en-US" w:eastAsia="zh-CN"/>
              </w:rPr>
              <w:t>31.59</w:t>
            </w:r>
            <w:r>
              <w:rPr>
                <w:rFonts w:ascii="宋体" w:hAnsi="宋体"/>
                <w:color w:val="0000FF"/>
                <w:sz w:val="18"/>
                <w:szCs w:val="18"/>
              </w:rPr>
              <w:t>%</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外窗和透明幕墙可开启面积比例计算书，□节能计算书；□设计图纸（专业、图号）</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5.2.3</w:t>
            </w:r>
            <w:r>
              <w:rPr>
                <w:rFonts w:hint="eastAsia" w:ascii="黑体" w:hAnsi="宋体" w:eastAsia="黑体" w:cs="黑体"/>
                <w:color w:val="8EAADB"/>
                <w:sz w:val="18"/>
                <w:szCs w:val="18"/>
              </w:rPr>
              <w:t>围护结构热工性能指标优于国家现行有关建筑节能设计标准的规定。</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r>
              <w:rPr>
                <w:rFonts w:ascii="宋体" w:hAnsi="Calibri"/>
                <w:color w:val="8EAADB"/>
                <w:sz w:val="18"/>
                <w:szCs w:val="18"/>
              </w:rPr>
              <w:t xml:space="preserve"> </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证明材料：□围护结构节能指标计算书；□设计图纸（专业、图号）</w:t>
            </w:r>
          </w:p>
          <w:p>
            <w:pPr>
              <w:widowControl w:val="0"/>
              <w:spacing w:line="240" w:lineRule="exact"/>
              <w:rPr>
                <w:rFonts w:ascii="Calibri" w:eastAsia="Times New Roman" w:cs="Calibri"/>
                <w:b/>
                <w:bCs/>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暖通专业</w:t>
            </w:r>
          </w:p>
          <w:p>
            <w:pPr>
              <w:widowControl w:val="0"/>
              <w:spacing w:line="240" w:lineRule="exact"/>
              <w:rPr>
                <w:rFonts w:ascii="宋体" w:hAnsi="Calibri"/>
                <w:color w:val="0000FF"/>
                <w:sz w:val="18"/>
                <w:szCs w:val="18"/>
              </w:rPr>
            </w:pPr>
            <w:r>
              <w:rPr>
                <w:rFonts w:ascii="Calibri" w:hAnsi="Calibri" w:cs="Calibri"/>
                <w:color w:val="0000FF"/>
                <w:sz w:val="18"/>
                <w:szCs w:val="18"/>
              </w:rPr>
              <w:sym w:font="Wingdings 2" w:char="F052"/>
            </w:r>
            <w:r>
              <w:rPr>
                <w:rFonts w:ascii="宋体" w:hAnsi="宋体"/>
                <w:color w:val="0000FF"/>
                <w:sz w:val="18"/>
                <w:szCs w:val="18"/>
              </w:rPr>
              <w:t xml:space="preserve">  </w:t>
            </w:r>
            <w:r>
              <w:rPr>
                <w:rFonts w:ascii="黑体" w:hAnsi="Calibri" w:eastAsia="黑体" w:cs="黑体"/>
                <w:color w:val="0000FF"/>
                <w:sz w:val="18"/>
                <w:szCs w:val="18"/>
              </w:rPr>
              <w:t>5.2.4</w:t>
            </w:r>
            <w:r>
              <w:rPr>
                <w:rFonts w:hint="eastAsia" w:ascii="黑体" w:hAnsi="Calibri" w:eastAsia="黑体" w:cs="黑体"/>
                <w:color w:val="0000FF"/>
                <w:sz w:val="18"/>
                <w:szCs w:val="18"/>
              </w:rPr>
              <w:t>供暖空调系统的冷、热源机组能效均优于现行国家标准《公共建筑节能设计标准》</w:t>
            </w:r>
            <w:r>
              <w:rPr>
                <w:rFonts w:ascii="黑体" w:hAnsi="Calibri" w:eastAsia="黑体" w:cs="黑体"/>
                <w:color w:val="0000FF"/>
                <w:sz w:val="18"/>
                <w:szCs w:val="18"/>
              </w:rPr>
              <w:t>GB 50189</w:t>
            </w:r>
            <w:r>
              <w:rPr>
                <w:rFonts w:hint="eastAsia" w:ascii="黑体" w:hAnsi="Calibri" w:eastAsia="黑体" w:cs="黑体"/>
                <w:color w:val="0000FF"/>
                <w:sz w:val="18"/>
                <w:szCs w:val="18"/>
              </w:rPr>
              <w:t>的规定以及现行有关国家标准能效限定值的要求。</w:t>
            </w:r>
          </w:p>
          <w:p>
            <w:pPr>
              <w:widowControl w:val="0"/>
              <w:spacing w:line="240" w:lineRule="exact"/>
              <w:rPr>
                <w:rFonts w:ascii="宋体"/>
                <w:color w:val="0000FF"/>
                <w:sz w:val="18"/>
                <w:szCs w:val="18"/>
              </w:rPr>
            </w:pPr>
            <w:r>
              <w:rPr>
                <w:rFonts w:hint="eastAsia" w:ascii="宋体" w:hAnsi="宋体"/>
                <w:color w:val="0000FF"/>
                <w:sz w:val="18"/>
                <w:szCs w:val="18"/>
              </w:rPr>
              <w:t>技术措施说明：项目采用分体空调，预留空调机位，性能系数满足《房间空气调节器能效限定值及能效等级》</w:t>
            </w:r>
            <w:r>
              <w:rPr>
                <w:rFonts w:ascii="宋体" w:hAnsi="宋体"/>
                <w:color w:val="0000FF"/>
                <w:sz w:val="18"/>
                <w:szCs w:val="18"/>
              </w:rPr>
              <w:t>GB 12021-2010</w:t>
            </w:r>
            <w:r>
              <w:rPr>
                <w:rFonts w:hint="eastAsia" w:ascii="宋体" w:hAnsi="宋体"/>
                <w:color w:val="0000FF"/>
                <w:sz w:val="18"/>
                <w:szCs w:val="18"/>
              </w:rPr>
              <w:t>，空调器的节能评价值为能效等级的</w:t>
            </w:r>
            <w:r>
              <w:rPr>
                <w:rFonts w:ascii="宋体" w:hAnsi="宋体"/>
                <w:color w:val="0000FF"/>
                <w:sz w:val="18"/>
                <w:szCs w:val="18"/>
              </w:rPr>
              <w:t>2</w:t>
            </w:r>
            <w:r>
              <w:rPr>
                <w:rFonts w:hint="eastAsia" w:ascii="宋体" w:hAnsi="宋体"/>
                <w:color w:val="0000FF"/>
                <w:sz w:val="18"/>
                <w:szCs w:val="18"/>
              </w:rPr>
              <w:t>级。</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证明材料：□空调冷热源设备能效指标计算书；</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暖通、暖施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黑体" w:hAnsi="宋体" w:eastAsia="黑体" w:cs="黑体"/>
                <w:color w:val="0000FF"/>
                <w:sz w:val="18"/>
                <w:szCs w:val="18"/>
              </w:rPr>
              <w:t xml:space="preserve"> 5.2.5</w:t>
            </w:r>
            <w:r>
              <w:rPr>
                <w:rFonts w:hint="eastAsia" w:ascii="黑体" w:hAnsi="宋体" w:eastAsia="黑体" w:cs="黑体"/>
                <w:color w:val="0000FF"/>
                <w:sz w:val="18"/>
                <w:szCs w:val="18"/>
              </w:rPr>
              <w:t>集中供暖系统热水循环泵的耗电输热比和通风空调系统风机的单位风量耗功率符合现行国家标准《公共建筑节能设计标准》</w:t>
            </w:r>
            <w:r>
              <w:rPr>
                <w:rFonts w:ascii="黑体" w:hAnsi="宋体" w:eastAsia="黑体" w:cs="黑体"/>
                <w:color w:val="0000FF"/>
                <w:sz w:val="18"/>
                <w:szCs w:val="18"/>
              </w:rPr>
              <w:t>GB 50189</w:t>
            </w:r>
            <w:r>
              <w:rPr>
                <w:rFonts w:hint="eastAsia" w:ascii="黑体" w:hAnsi="宋体" w:eastAsia="黑体" w:cs="黑体"/>
                <w:color w:val="0000FF"/>
                <w:sz w:val="18"/>
                <w:szCs w:val="18"/>
              </w:rPr>
              <w:t>等的有关规定，且空调冷热水系统循环水泵的耗电输冷（热）比比现行国家标准《民用建筑供暖</w:t>
            </w:r>
            <w:r>
              <w:rPr>
                <w:rFonts w:ascii="黑体" w:hAnsi="宋体" w:eastAsia="黑体" w:cs="黑体"/>
                <w:color w:val="0000FF"/>
                <w:sz w:val="18"/>
                <w:szCs w:val="18"/>
              </w:rPr>
              <w:t xml:space="preserve"> </w:t>
            </w:r>
            <w:r>
              <w:rPr>
                <w:rFonts w:hint="eastAsia" w:ascii="黑体" w:hAnsi="宋体" w:eastAsia="黑体" w:cs="黑体"/>
                <w:color w:val="0000FF"/>
                <w:sz w:val="18"/>
                <w:szCs w:val="18"/>
              </w:rPr>
              <w:t>通风与空气调节设计规范》</w:t>
            </w:r>
            <w:r>
              <w:rPr>
                <w:rFonts w:ascii="黑体" w:hAnsi="宋体" w:eastAsia="黑体" w:cs="黑体"/>
                <w:color w:val="0000FF"/>
                <w:sz w:val="18"/>
                <w:szCs w:val="18"/>
              </w:rPr>
              <w:t>GB 50736</w:t>
            </w:r>
            <w:r>
              <w:rPr>
                <w:rFonts w:hint="eastAsia" w:ascii="黑体" w:hAnsi="宋体" w:eastAsia="黑体" w:cs="黑体"/>
                <w:color w:val="0000FF"/>
                <w:sz w:val="18"/>
                <w:szCs w:val="18"/>
              </w:rPr>
              <w:t>规定值低</w:t>
            </w:r>
            <w:r>
              <w:rPr>
                <w:rFonts w:ascii="黑体" w:hAnsi="宋体" w:eastAsia="黑体" w:cs="黑体"/>
                <w:color w:val="0000FF"/>
                <w:sz w:val="18"/>
                <w:szCs w:val="18"/>
              </w:rPr>
              <w:t>20%</w:t>
            </w:r>
            <w:r>
              <w:rPr>
                <w:rFonts w:hint="eastAsia" w:ascii="黑体" w:hAnsi="宋体" w:eastAsia="黑体" w:cs="黑体"/>
                <w:color w:val="0000FF"/>
                <w:sz w:val="18"/>
                <w:szCs w:val="18"/>
              </w:rPr>
              <w:t>。</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ascii="宋体" w:hAnsi="Calibri"/>
                <w:color w:val="0000FF"/>
                <w:sz w:val="18"/>
                <w:szCs w:val="18"/>
              </w:rPr>
              <w:t xml:space="preserve"> </w:t>
            </w:r>
            <w:r>
              <w:rPr>
                <w:rFonts w:hint="eastAsia" w:ascii="宋体" w:hAnsi="Calibri"/>
                <w:color w:val="0000FF"/>
                <w:sz w:val="18"/>
                <w:szCs w:val="18"/>
              </w:rPr>
              <w:t>本项目采用分体空调非集中空调或供暖的建筑。</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证明材料：□空调冷热水系统循环水泵的耗电输冷比计算书；□空调风机单位风量耗功率计算书；</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暖通、暖施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5.2.6</w:t>
            </w:r>
            <w:r>
              <w:rPr>
                <w:rFonts w:hint="eastAsia" w:ascii="黑体" w:hAnsi="宋体" w:eastAsia="黑体" w:cs="黑体"/>
                <w:color w:val="8EAADB"/>
                <w:sz w:val="18"/>
                <w:szCs w:val="18"/>
              </w:rPr>
              <w:t>合理选择和优化供暖、通风与空调系统。</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证明材料：□空调动态负荷计算；□设计图纸（专业、图号）</w:t>
            </w:r>
          </w:p>
          <w:p>
            <w:pPr>
              <w:widowControl w:val="0"/>
              <w:spacing w:line="240" w:lineRule="exact"/>
              <w:rPr>
                <w:rFonts w:ascii="黑体" w:hAnsi="宋体" w:eastAsia="黑体" w:cs="黑体"/>
                <w:color w:val="0000FF"/>
                <w:sz w:val="18"/>
                <w:szCs w:val="18"/>
              </w:rPr>
            </w:pPr>
            <w:r>
              <w:rPr>
                <w:rFonts w:hint="eastAsia" w:ascii="黑体" w:hAnsi="Wingdings 2" w:eastAsia="黑体" w:cs="黑体"/>
                <w:color w:val="0000FF"/>
                <w:sz w:val="18"/>
                <w:szCs w:val="18"/>
              </w:rPr>
              <w:sym w:font="Wingdings 2" w:char="F052"/>
            </w:r>
            <w:r>
              <w:rPr>
                <w:rFonts w:ascii="黑体" w:hAnsi="Calibri" w:eastAsia="黑体" w:cs="黑体"/>
                <w:color w:val="0000FF"/>
                <w:sz w:val="18"/>
                <w:szCs w:val="18"/>
                <w:bdr w:val="single" w:color="0000FF" w:sz="4" w:space="0"/>
              </w:rPr>
              <w:t xml:space="preserve"> 5.2.7</w:t>
            </w:r>
            <w:r>
              <w:rPr>
                <w:rFonts w:hint="eastAsia" w:ascii="黑体" w:hAnsi="Calibri" w:eastAsia="黑体" w:cs="黑体"/>
                <w:color w:val="0000FF"/>
                <w:sz w:val="18"/>
                <w:szCs w:val="18"/>
                <w:bdr w:val="single" w:color="0000FF" w:sz="4" w:space="0"/>
              </w:rPr>
              <w:t>采取措施降低过渡季节供暖、通风与空调系统能耗。</w:t>
            </w:r>
            <w:r>
              <w:rPr>
                <w:rFonts w:hint="eastAsia" w:ascii="黑体" w:hAnsi="宋体" w:eastAsia="黑体" w:cs="黑体"/>
                <w:color w:val="0000FF"/>
                <w:sz w:val="18"/>
                <w:szCs w:val="18"/>
              </w:rPr>
              <w:t>（</w:t>
            </w:r>
            <w:r>
              <w:rPr>
                <w:rFonts w:ascii="黑体" w:hAnsi="宋体" w:eastAsia="黑体" w:cs="黑体"/>
                <w:color w:val="0000FF"/>
                <w:sz w:val="18"/>
                <w:szCs w:val="18"/>
              </w:rPr>
              <w:t>6</w:t>
            </w:r>
            <w:r>
              <w:rPr>
                <w:rFonts w:hint="eastAsia" w:ascii="黑体" w:hAnsi="宋体" w:eastAsia="黑体" w:cs="黑体"/>
                <w:color w:val="0000FF"/>
                <w:sz w:val="18"/>
                <w:szCs w:val="18"/>
              </w:rPr>
              <w:t>分）</w:t>
            </w:r>
            <w:r>
              <w:rPr>
                <w:rFonts w:ascii="黑体" w:hAnsi="宋体" w:eastAsia="黑体" w:cs="黑体"/>
                <w:color w:val="0000FF"/>
                <w:sz w:val="18"/>
                <w:szCs w:val="18"/>
              </w:rPr>
              <w:t xml:space="preserve"> </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技术措施说明：本项目可随时开窗通风降低空调能耗。</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设计图纸（暖通、</w:t>
            </w:r>
            <w:r>
              <w:rPr>
                <w:rFonts w:hint="eastAsia" w:ascii="Calibri" w:hAnsi="Calibri"/>
                <w:color w:val="0000FF"/>
                <w:sz w:val="18"/>
                <w:szCs w:val="18"/>
              </w:rPr>
              <w:t>暖施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hint="eastAsia" w:ascii="黑体" w:hAnsi="Wingdings 2" w:eastAsia="黑体" w:cs="黑体"/>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5.2.8</w:t>
            </w:r>
            <w:r>
              <w:rPr>
                <w:rFonts w:hint="eastAsia" w:ascii="黑体" w:hAnsi="Calibri" w:eastAsia="黑体" w:cs="黑体"/>
                <w:color w:val="0000FF"/>
                <w:sz w:val="18"/>
                <w:szCs w:val="18"/>
                <w:bdr w:val="single" w:color="0000FF" w:sz="4" w:space="0"/>
              </w:rPr>
              <w:t>采取措施降低部分负荷、部分空间使用下的供暖、通风与空调系统能耗。</w:t>
            </w:r>
            <w:r>
              <w:rPr>
                <w:rFonts w:hint="eastAsia" w:ascii="黑体" w:hAnsi="宋体" w:eastAsia="黑体" w:cs="黑体"/>
                <w:color w:val="0000FF"/>
                <w:sz w:val="18"/>
                <w:szCs w:val="18"/>
              </w:rPr>
              <w:t>（</w:t>
            </w:r>
            <w:r>
              <w:rPr>
                <w:rFonts w:ascii="黑体" w:hAnsi="宋体" w:eastAsia="黑体" w:cs="黑体"/>
                <w:color w:val="0000FF"/>
                <w:sz w:val="18"/>
                <w:szCs w:val="18"/>
              </w:rPr>
              <w:t>6</w:t>
            </w:r>
            <w:r>
              <w:rPr>
                <w:rFonts w:hint="eastAsia" w:ascii="黑体" w:hAnsi="宋体" w:eastAsia="黑体" w:cs="黑体"/>
                <w:color w:val="0000FF"/>
                <w:sz w:val="18"/>
                <w:szCs w:val="18"/>
              </w:rPr>
              <w:t>分）</w:t>
            </w:r>
          </w:p>
          <w:p>
            <w:pPr>
              <w:widowControl w:val="0"/>
              <w:spacing w:line="240" w:lineRule="exact"/>
              <w:rPr>
                <w:rFonts w:eastAsia="Times New Roman" w:cs="Times New Roman"/>
                <w:color w:val="0000FF"/>
                <w:sz w:val="18"/>
                <w:szCs w:val="18"/>
              </w:rPr>
            </w:pPr>
            <w:r>
              <w:rPr>
                <w:rFonts w:hint="eastAsia" w:ascii="宋体" w:hAnsi="宋体"/>
                <w:color w:val="0000FF"/>
                <w:sz w:val="18"/>
                <w:szCs w:val="18"/>
              </w:rPr>
              <w:t>技术措施说明：本项目采用分体空调，第一款、第三款直接得分。</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暖通、暖施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黑体" w:hAnsi="宋体" w:eastAsia="黑体" w:cs="黑体"/>
                <w:color w:val="0000FF"/>
                <w:sz w:val="18"/>
                <w:szCs w:val="18"/>
              </w:rPr>
              <w:t xml:space="preserve"> 5.2.13</w:t>
            </w:r>
            <w:r>
              <w:rPr>
                <w:rFonts w:hint="eastAsia" w:ascii="黑体" w:hAnsi="宋体" w:eastAsia="黑体" w:cs="黑体"/>
                <w:color w:val="0000FF"/>
                <w:sz w:val="18"/>
                <w:szCs w:val="18"/>
              </w:rPr>
              <w:t>排风能量回收系统设计合理并运行可靠。</w:t>
            </w:r>
            <w:r>
              <w:rPr>
                <w:rFonts w:ascii="黑体" w:hAnsi="宋体" w:eastAsia="黑体" w:cs="黑体"/>
                <w:color w:val="0000FF"/>
                <w:sz w:val="18"/>
                <w:szCs w:val="18"/>
              </w:rPr>
              <w:t xml:space="preserve"> </w:t>
            </w:r>
          </w:p>
          <w:p>
            <w:pPr>
              <w:widowControl w:val="0"/>
              <w:rPr>
                <w:rFonts w:ascii="Calibri" w:eastAsia="Times New Roman" w:cs="Calibri"/>
                <w:color w:val="0000FF"/>
              </w:rPr>
            </w:pPr>
            <w:r>
              <w:rPr>
                <w:rFonts w:hint="eastAsia" w:ascii="宋体" w:hAnsi="宋体"/>
                <w:color w:val="0000FF"/>
                <w:sz w:val="18"/>
                <w:szCs w:val="18"/>
              </w:rPr>
              <w:t>技术措施说明：本项目</w:t>
            </w:r>
            <w:r>
              <w:rPr>
                <w:rFonts w:hint="eastAsia" w:ascii="宋体" w:hAnsi="宋体"/>
                <w:color w:val="0000FF"/>
                <w:sz w:val="18"/>
                <w:szCs w:val="18"/>
                <w:lang w:val="en-US" w:eastAsia="zh-CN"/>
              </w:rPr>
              <w:t>没有设计新风系统</w:t>
            </w:r>
            <w:r>
              <w:rPr>
                <w:rFonts w:hint="eastAsia" w:ascii="宋体" w:hAnsi="宋体"/>
                <w:color w:val="0000FF"/>
                <w:sz w:val="18"/>
                <w:szCs w:val="18"/>
              </w:rPr>
              <w:t>，此项不参评。</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暖通、暖施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黑体" w:hAnsi="宋体" w:eastAsia="黑体" w:cs="黑体"/>
                <w:color w:val="0000FF"/>
                <w:sz w:val="18"/>
                <w:szCs w:val="18"/>
              </w:rPr>
              <w:t>5.2.14</w:t>
            </w:r>
            <w:r>
              <w:rPr>
                <w:rFonts w:hint="eastAsia" w:ascii="黑体" w:hAnsi="宋体" w:eastAsia="黑体" w:cs="黑体"/>
                <w:color w:val="0000FF"/>
                <w:sz w:val="18"/>
                <w:szCs w:val="18"/>
              </w:rPr>
              <w:t>合理采用蓄冷蓄热系统。</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技术措施说明：峰谷电价差低于</w:t>
            </w:r>
            <w:r>
              <w:rPr>
                <w:rFonts w:ascii="宋体" w:hAnsi="宋体"/>
                <w:color w:val="0000FF"/>
                <w:sz w:val="18"/>
                <w:szCs w:val="18"/>
              </w:rPr>
              <w:t>2.5</w:t>
            </w:r>
            <w:r>
              <w:rPr>
                <w:rFonts w:hint="eastAsia" w:ascii="宋体" w:hAnsi="宋体"/>
                <w:color w:val="0000FF"/>
                <w:sz w:val="18"/>
                <w:szCs w:val="18"/>
              </w:rPr>
              <w:t>倍，不参评</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暖通、暖施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给排水专业</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黑体" w:hAnsi="宋体" w:eastAsia="黑体" w:cs="黑体"/>
                <w:color w:val="0000FF"/>
                <w:sz w:val="18"/>
                <w:szCs w:val="18"/>
              </w:rPr>
              <w:t>5.2.15</w:t>
            </w:r>
            <w:r>
              <w:rPr>
                <w:rFonts w:hint="eastAsia" w:ascii="黑体" w:hAnsi="宋体" w:eastAsia="黑体" w:cs="黑体"/>
                <w:color w:val="0000FF"/>
                <w:sz w:val="18"/>
                <w:szCs w:val="18"/>
              </w:rPr>
              <w:t>合理利用余热废热解决建筑的蒸汽、供暖或生活热水需求。</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技术措施说明：本项目无可用余热，此项不参评。</w:t>
            </w:r>
          </w:p>
          <w:p>
            <w:pPr>
              <w:widowControl w:val="0"/>
              <w:spacing w:line="240" w:lineRule="exact"/>
              <w:rPr>
                <w:rFonts w:ascii="宋体" w:hAnsi="Calibri"/>
                <w:color w:val="0000FF"/>
                <w:sz w:val="18"/>
                <w:szCs w:val="18"/>
              </w:rPr>
            </w:pPr>
            <w:r>
              <w:rPr>
                <w:rFonts w:hint="eastAsia" w:ascii="宋体" w:hAnsi="宋体"/>
                <w:color w:val="0000FF"/>
                <w:sz w:val="18"/>
                <w:szCs w:val="18"/>
              </w:rPr>
              <w:t>证明材料：</w:t>
            </w:r>
            <w:r>
              <w:rPr>
                <w:rFonts w:ascii="宋体" w:hAnsi="Calibri"/>
                <w:color w:val="0000FF"/>
                <w:sz w:val="18"/>
                <w:szCs w:val="18"/>
              </w:rPr>
              <w:t xml:space="preserve"> </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暖通、暖施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5.2.16</w:t>
            </w:r>
            <w:r>
              <w:rPr>
                <w:rFonts w:hint="eastAsia" w:ascii="黑体" w:hAnsi="宋体" w:eastAsia="黑体" w:cs="黑体"/>
                <w:color w:val="8EAADB"/>
                <w:sz w:val="18"/>
                <w:szCs w:val="18"/>
              </w:rPr>
              <w:t>根据当地气候和自然资源条件，合理利用可再生能源。（针对可再生能源热水部分）</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证明材料：□可再生能源比例计算书；□设计图纸（专业、图号）</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color w:val="0000FF"/>
                <w:sz w:val="18"/>
                <w:szCs w:val="18"/>
              </w:rPr>
            </w:pPr>
            <w:r>
              <w:rPr>
                <w:rFonts w:hint="eastAsia" w:ascii="Calibri" w:hAnsi="Calibri"/>
                <w:b/>
                <w:bCs/>
                <w:color w:val="0000FF"/>
                <w:sz w:val="18"/>
                <w:szCs w:val="18"/>
              </w:rPr>
              <w:t>电气专业</w:t>
            </w:r>
          </w:p>
          <w:p>
            <w:pPr>
              <w:widowControl w:val="0"/>
              <w:spacing w:line="240" w:lineRule="exact"/>
              <w:rPr>
                <w:rFonts w:ascii="黑体" w:hAnsi="宋体" w:eastAsia="黑体" w:cs="黑体"/>
                <w:color w:val="0000FF"/>
                <w:sz w:val="18"/>
                <w:szCs w:val="18"/>
              </w:rPr>
            </w:pPr>
            <w:r>
              <w:rPr>
                <w:rFonts w:hint="eastAsia" w:ascii="黑体" w:hAnsi="Wingdings 2" w:eastAsia="黑体" w:cs="黑体"/>
                <w:color w:val="0000FF"/>
                <w:sz w:val="18"/>
                <w:szCs w:val="18"/>
              </w:rPr>
              <w:sym w:font="Wingdings 2" w:char="F052"/>
            </w:r>
            <w:r>
              <w:rPr>
                <w:rFonts w:ascii="黑体" w:hAnsi="Calibri" w:eastAsia="黑体" w:cs="黑体"/>
                <w:color w:val="0000FF"/>
                <w:sz w:val="18"/>
                <w:szCs w:val="18"/>
                <w:bdr w:val="single" w:color="0000FF" w:sz="4" w:space="0"/>
              </w:rPr>
              <w:t xml:space="preserve"> 5.2.9</w:t>
            </w:r>
            <w:r>
              <w:rPr>
                <w:rFonts w:hint="eastAsia" w:ascii="黑体" w:hAnsi="Calibri" w:eastAsia="黑体" w:cs="黑体"/>
                <w:color w:val="0000FF"/>
                <w:sz w:val="18"/>
                <w:szCs w:val="18"/>
                <w:bdr w:val="single" w:color="0000FF" w:sz="4" w:space="0"/>
              </w:rPr>
              <w:t>走廊、楼梯间、门厅、大堂、大空间、地下停车场等场所的照明系统采取分区、定时、感应等节能控制措施。</w:t>
            </w:r>
            <w:r>
              <w:rPr>
                <w:rFonts w:hint="eastAsia" w:ascii="黑体" w:hAnsi="宋体" w:eastAsia="黑体" w:cs="黑体"/>
                <w:color w:val="0000FF"/>
                <w:sz w:val="18"/>
                <w:szCs w:val="18"/>
              </w:rPr>
              <w:t>（</w:t>
            </w:r>
            <w:r>
              <w:rPr>
                <w:rFonts w:ascii="黑体" w:hAnsi="宋体" w:eastAsia="黑体" w:cs="黑体"/>
                <w:color w:val="0000FF"/>
                <w:sz w:val="18"/>
                <w:szCs w:val="18"/>
              </w:rPr>
              <w:t>5</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Calibri"/>
                <w:color w:val="0000FF"/>
                <w:sz w:val="18"/>
                <w:szCs w:val="18"/>
              </w:rPr>
              <w:t>技术措施说明：</w:t>
            </w:r>
            <w:r>
              <w:rPr>
                <w:rFonts w:hint="eastAsia" w:ascii="宋体" w:hAnsi="Calibri"/>
                <w:color w:val="0000FF"/>
                <w:sz w:val="18"/>
                <w:szCs w:val="18"/>
                <w:lang w:eastAsia="zh-CN"/>
              </w:rPr>
              <w:t>本工程一般照明均采用节能型光源及灯具，</w:t>
            </w:r>
            <w:r>
              <w:rPr>
                <w:rFonts w:hint="eastAsia" w:ascii="宋体" w:hAnsi="Calibri"/>
                <w:color w:val="0000FF"/>
                <w:sz w:val="18"/>
                <w:szCs w:val="18"/>
                <w:lang w:val="en-US" w:eastAsia="zh-CN"/>
              </w:rPr>
              <w:t>照明灯具效率为：高强度气体放电灯：开敞式＞75%，栅格或透光罩＞60%，格栅＞50%。有天然采光的楼梯间，走道的照明除应急照明外，均采用节能自熄开关。荧光灯均采用功率因数大于0.9的节能荧光灯。</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电气、电施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hint="eastAsia"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hint="eastAsia" w:ascii="黑体" w:hAnsi="宋体" w:eastAsia="黑体" w:cs="黑体"/>
                <w:color w:val="8EAADB"/>
                <w:sz w:val="18"/>
                <w:szCs w:val="18"/>
              </w:rPr>
              <w:t>5.2.10照明功率密度值达到现行国家标准《建筑照明设计标准》GB 50034中的目标值规定。</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技术措施说明： 本项目各房间或场所照明功率密度值不超过目标值要求，如5.1.4。</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证明材料：</w:t>
            </w:r>
            <w:r>
              <w:rPr>
                <w:rFonts w:hint="eastAsia" w:ascii="宋体" w:hAnsi="宋体"/>
                <w:color w:val="8EAADB"/>
                <w:sz w:val="18"/>
                <w:szCs w:val="18"/>
              </w:rPr>
              <w:sym w:font="Wingdings 2" w:char="F052"/>
            </w:r>
            <w:r>
              <w:rPr>
                <w:rFonts w:hint="eastAsia" w:ascii="宋体" w:hAnsi="宋体"/>
                <w:color w:val="8EAADB"/>
                <w:sz w:val="18"/>
                <w:szCs w:val="18"/>
              </w:rPr>
              <w:t xml:space="preserve">设计图纸（电气、电施-01） </w:t>
            </w:r>
            <w:r>
              <w:rPr>
                <w:rFonts w:hint="eastAsia" w:ascii="宋体" w:hAnsi="宋体"/>
                <w:color w:val="8EAADB"/>
                <w:sz w:val="18"/>
                <w:szCs w:val="18"/>
              </w:rPr>
              <w:sym w:font="Wingdings 2" w:char="F052"/>
            </w:r>
            <w:r>
              <w:rPr>
                <w:rFonts w:hint="eastAsia" w:ascii="宋体" w:hAnsi="宋体"/>
                <w:color w:val="8EAADB"/>
                <w:sz w:val="18"/>
                <w:szCs w:val="18"/>
              </w:rPr>
              <w:t>照度计算书</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hint="eastAsia" w:ascii="黑体" w:hAnsi="宋体" w:eastAsia="黑体" w:cs="黑体"/>
                <w:color w:val="0000FF"/>
                <w:sz w:val="18"/>
                <w:szCs w:val="18"/>
              </w:rPr>
              <w:t xml:space="preserve"> 5.2.11合理选用电梯和自动扶梯，并采取电梯群控、扶梯自动启停等节能控制措施。</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hint="eastAsia" w:ascii="宋体" w:hAnsi="Calibri"/>
                <w:color w:val="0000FF"/>
                <w:sz w:val="18"/>
                <w:szCs w:val="18"/>
                <w:lang w:val="en-US" w:eastAsia="zh-CN"/>
              </w:rPr>
              <w:t>项目不设计电梯，本条不参评</w:t>
            </w:r>
            <w:r>
              <w:rPr>
                <w:rFonts w:hint="eastAsia" w:ascii="宋体" w:hAnsi="Calibri"/>
                <w:color w:val="0000FF"/>
                <w:sz w:val="18"/>
                <w:szCs w:val="18"/>
              </w:rPr>
              <w:t>。</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建筑</w:t>
            </w:r>
            <w:r>
              <w:rPr>
                <w:rFonts w:hint="eastAsia" w:ascii="Calibri" w:hAnsi="Calibri" w:cs="Calibri"/>
                <w:color w:val="0000FF"/>
                <w:sz w:val="18"/>
                <w:szCs w:val="18"/>
              </w:rPr>
              <w:t>、建施</w:t>
            </w:r>
            <w:r>
              <w:rPr>
                <w:rFonts w:ascii="Calibri" w:hAnsi="Calibri" w:cs="Calibri"/>
                <w:color w:val="0000FF"/>
                <w:sz w:val="18"/>
                <w:szCs w:val="18"/>
              </w:rPr>
              <w:t>01~03</w:t>
            </w:r>
            <w:r>
              <w:rPr>
                <w:rFonts w:hint="eastAsia" w:ascii="宋体" w:hAnsi="宋体"/>
                <w:color w:val="0000FF"/>
                <w:sz w:val="18"/>
                <w:szCs w:val="18"/>
              </w:rPr>
              <w:t>）</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5.2.12</w:t>
            </w:r>
            <w:r>
              <w:rPr>
                <w:rFonts w:hint="eastAsia" w:ascii="黑体" w:hAnsi="宋体" w:eastAsia="黑体" w:cs="黑体"/>
                <w:color w:val="8EAADB"/>
                <w:sz w:val="18"/>
                <w:szCs w:val="18"/>
              </w:rPr>
              <w:t>合理选用节能型电气设备。</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r>
              <w:rPr>
                <w:rFonts w:ascii="宋体" w:hAnsi="Calibri"/>
                <w:color w:val="8EAADB"/>
                <w:sz w:val="18"/>
                <w:szCs w:val="18"/>
              </w:rPr>
              <w:t xml:space="preserve"> </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w:t>
            </w:r>
            <w:r>
              <w:rPr>
                <w:rFonts w:hint="eastAsia" w:ascii="黑体" w:hAnsi="Wingdings 2" w:eastAsia="黑体" w:cs="黑体"/>
                <w:color w:val="8EAADB"/>
                <w:sz w:val="18"/>
                <w:szCs w:val="18"/>
              </w:rPr>
              <w:sym w:font="Wingdings 2" w:char="F052"/>
            </w:r>
            <w:r>
              <w:rPr>
                <w:rFonts w:hint="eastAsia" w:ascii="宋体" w:hAnsi="宋体"/>
                <w:color w:val="8EAADB"/>
                <w:sz w:val="18"/>
                <w:szCs w:val="18"/>
              </w:rPr>
              <w:t>设计图纸（</w:t>
            </w:r>
            <w:r>
              <w:rPr>
                <w:rFonts w:hint="eastAsia" w:ascii="Calibri" w:hAnsi="Calibri"/>
                <w:color w:val="8EAADB"/>
                <w:sz w:val="18"/>
                <w:szCs w:val="18"/>
              </w:rPr>
              <w:t>电气</w:t>
            </w:r>
            <w:r>
              <w:rPr>
                <w:rFonts w:ascii="Calibri" w:hAnsi="Calibri" w:cs="Calibri"/>
                <w:color w:val="8EAADB"/>
                <w:sz w:val="18"/>
                <w:szCs w:val="18"/>
              </w:rPr>
              <w:t>/</w:t>
            </w:r>
            <w:r>
              <w:rPr>
                <w:rFonts w:hint="eastAsia" w:ascii="宋体" w:hAnsi="宋体"/>
                <w:color w:val="8EAADB"/>
                <w:sz w:val="18"/>
                <w:szCs w:val="18"/>
              </w:rPr>
              <w:t>图号）</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Calibri" w:eastAsia="黑体" w:cs="黑体"/>
                <w:color w:val="8EAADB"/>
                <w:sz w:val="18"/>
                <w:szCs w:val="18"/>
              </w:rPr>
              <w:t>5.2.16</w:t>
            </w:r>
            <w:r>
              <w:rPr>
                <w:rFonts w:hint="eastAsia" w:ascii="黑体" w:hAnsi="Calibri" w:eastAsia="黑体" w:cs="黑体"/>
                <w:color w:val="8EAADB"/>
                <w:sz w:val="18"/>
                <w:szCs w:val="18"/>
              </w:rPr>
              <w:t>根据当地气候和自然资源条件，合理利用可再生能源。（针对可再生能源发电部分）</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r>
              <w:rPr>
                <w:rFonts w:ascii="宋体" w:hAnsi="Calibri"/>
                <w:color w:val="8EAADB"/>
                <w:sz w:val="18"/>
                <w:szCs w:val="18"/>
              </w:rPr>
              <w:t xml:space="preserve"> </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证明材料：□可再生能源比例计算书；□设计图纸（专业、图号）</w:t>
            </w:r>
          </w:p>
          <w:p>
            <w:pPr>
              <w:widowControl w:val="0"/>
              <w:spacing w:line="240" w:lineRule="exact"/>
              <w:rPr>
                <w:rFonts w:ascii="Calibri" w:hAnsi="黑体" w:eastAsia="黑体" w:cs="Calibri"/>
                <w:b/>
                <w:bCs/>
                <w:color w:val="0000FF"/>
                <w:kern w:val="0"/>
                <w:sz w:val="18"/>
                <w:szCs w:val="18"/>
              </w:rPr>
            </w:pPr>
          </w:p>
        </w:tc>
      </w:tr>
      <w:tr>
        <w:tblPrEx>
          <w:tblBorders>
            <w:top w:val="single" w:color="0000FF" w:sz="6" w:space="0"/>
            <w:left w:val="single" w:color="0000FF" w:sz="6" w:space="0"/>
            <w:bottom w:val="single" w:color="0000FF" w:sz="6" w:space="0"/>
            <w:right w:val="single" w:color="0000FF" w:sz="6" w:space="0"/>
            <w:insideH w:val="none" w:color="auto" w:sz="0" w:space="0"/>
            <w:insideV w:val="none" w:color="auto" w:sz="0" w:space="0"/>
          </w:tblBorders>
          <w:tblLayout w:type="fixed"/>
          <w:tblCellMar>
            <w:top w:w="0" w:type="dxa"/>
            <w:left w:w="108" w:type="dxa"/>
            <w:bottom w:w="0" w:type="dxa"/>
            <w:right w:w="108" w:type="dxa"/>
          </w:tblCellMar>
        </w:tblPrEx>
        <w:trPr>
          <w:trHeight w:val="378" w:hRule="atLeast"/>
          <w:jc w:val="center"/>
        </w:trPr>
        <w:tc>
          <w:tcPr>
            <w:tcW w:w="10539" w:type="dxa"/>
            <w:gridSpan w:val="2"/>
          </w:tcPr>
          <w:p>
            <w:pPr>
              <w:widowControl w:val="0"/>
              <w:spacing w:line="240" w:lineRule="exact"/>
              <w:ind w:firstLine="2300" w:firstLineChars="1273"/>
              <w:rPr>
                <w:rFonts w:ascii="Calibri" w:hAnsi="黑体" w:eastAsia="黑体" w:cs="Calibri"/>
                <w:b/>
                <w:bCs/>
                <w:color w:val="0000FF"/>
                <w:kern w:val="0"/>
                <w:sz w:val="18"/>
                <w:szCs w:val="18"/>
              </w:rPr>
            </w:pPr>
          </w:p>
          <w:p>
            <w:pPr>
              <w:widowControl w:val="0"/>
              <w:spacing w:line="300" w:lineRule="exact"/>
              <w:jc w:val="center"/>
              <w:rPr>
                <w:rFonts w:ascii="Calibri" w:hAnsi="黑体" w:eastAsia="黑体" w:cs="Calibri"/>
                <w:b/>
                <w:bCs/>
                <w:color w:val="0000FF"/>
                <w:kern w:val="0"/>
                <w:sz w:val="24"/>
                <w:szCs w:val="24"/>
              </w:rPr>
            </w:pPr>
            <w:r>
              <w:rPr>
                <w:rFonts w:hint="eastAsia" w:ascii="Calibri" w:hAnsi="黑体" w:eastAsia="黑体" w:cs="黑体"/>
                <w:b/>
                <w:bCs/>
                <w:color w:val="0000FF"/>
                <w:kern w:val="0"/>
                <w:sz w:val="24"/>
                <w:szCs w:val="24"/>
              </w:rPr>
              <w:t>三、节水与水资源利用技术措施</w:t>
            </w:r>
          </w:p>
          <w:p>
            <w:pPr>
              <w:widowControl w:val="0"/>
              <w:spacing w:line="240" w:lineRule="exact"/>
              <w:ind w:firstLine="3242" w:firstLineChars="1800"/>
              <w:rPr>
                <w:rFonts w:ascii="Calibri" w:eastAsia="Times New Roman" w:cs="Calibri"/>
                <w:b/>
                <w:bCs/>
                <w:color w:val="0000FF"/>
                <w:sz w:val="18"/>
                <w:szCs w:val="18"/>
              </w:rPr>
            </w:pPr>
          </w:p>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必须说明内容（控制项）</w:t>
            </w: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给排水专业</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 xml:space="preserve"> 6.1.1</w:t>
            </w:r>
            <w:r>
              <w:rPr>
                <w:rFonts w:hint="eastAsia" w:ascii="黑体" w:hAnsi="Calibri" w:eastAsia="黑体" w:cs="黑体"/>
                <w:color w:val="0000FF"/>
                <w:sz w:val="18"/>
                <w:szCs w:val="18"/>
                <w:bdr w:val="single" w:color="0000FF" w:sz="4" w:space="0"/>
              </w:rPr>
              <w:t>制定水资源利用方案，统筹利用各种水资源情况。</w:t>
            </w:r>
          </w:p>
          <w:p>
            <w:pPr>
              <w:widowControl w:val="0"/>
              <w:spacing w:line="240" w:lineRule="exact"/>
              <w:rPr>
                <w:rFonts w:hint="default" w:ascii="Calibri" w:hAnsi="Calibri"/>
                <w:color w:val="0000FF"/>
                <w:sz w:val="18"/>
                <w:szCs w:val="18"/>
                <w:lang w:val="en-US" w:eastAsia="zh-CN"/>
              </w:rPr>
            </w:pPr>
            <w:r>
              <w:rPr>
                <w:rFonts w:hint="eastAsia" w:ascii="Calibri" w:hAnsi="Calibri"/>
                <w:color w:val="0000FF"/>
                <w:sz w:val="18"/>
                <w:szCs w:val="18"/>
              </w:rPr>
              <w:t>技术措施说明：</w:t>
            </w:r>
            <w:bookmarkStart w:id="0" w:name="_Toc326829203"/>
            <w:r>
              <w:rPr>
                <w:rFonts w:hint="eastAsia" w:ascii="Calibri" w:hAnsi="Calibri"/>
                <w:color w:val="0000FF"/>
                <w:sz w:val="18"/>
                <w:szCs w:val="18"/>
                <w:lang w:val="en-US" w:eastAsia="zh-CN"/>
              </w:rPr>
              <w:t>生活排水：本工程水源由校区已有给水管网供给，本建筑天面设20立方米水箱，供水方式为上行下给。</w:t>
            </w:r>
          </w:p>
          <w:p>
            <w:pPr>
              <w:widowControl w:val="0"/>
              <w:spacing w:line="240" w:lineRule="exact"/>
              <w:rPr>
                <w:rFonts w:ascii="宋体" w:hAnsi="Calibri"/>
                <w:color w:val="0000FF"/>
                <w:sz w:val="18"/>
                <w:szCs w:val="18"/>
              </w:rPr>
            </w:pPr>
            <w:r>
              <w:rPr>
                <w:rFonts w:hint="eastAsia" w:ascii="Calibri" w:hAnsi="Calibri"/>
                <w:color w:val="0000FF"/>
                <w:sz w:val="18"/>
                <w:szCs w:val="18"/>
                <w:lang w:val="en-US" w:eastAsia="zh-CN"/>
              </w:rPr>
              <w:t>生活排水：本工程采用雨污分流制,粪便经三级化粪池后排污水道.排水采用污废合流制，污水量：按总水量的100％计，每日15.84立方米。</w:t>
            </w:r>
            <w:bookmarkEnd w:id="0"/>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水系统规划方案；</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给排水、水施</w:t>
            </w:r>
            <w:r>
              <w:rPr>
                <w:rFonts w:ascii="Calibri" w:eastAsia="Times New Roman" w:cs="Calibri"/>
                <w:color w:val="0000FF"/>
                <w:sz w:val="18"/>
                <w:szCs w:val="18"/>
              </w:rPr>
              <w:t>-0</w:t>
            </w:r>
            <w:r>
              <w:rPr>
                <w:rFonts w:ascii="Calibri" w:hAnsi="Calibri" w:cs="Calibri"/>
                <w:color w:val="0000FF"/>
                <w:sz w:val="18"/>
                <w:szCs w:val="18"/>
              </w:rPr>
              <w:t>2</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bdr w:val="single" w:color="auto" w:sz="4" w:space="0"/>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6.1.2</w:t>
            </w:r>
            <w:r>
              <w:rPr>
                <w:rFonts w:hint="eastAsia" w:ascii="黑体" w:hAnsi="Calibri" w:eastAsia="黑体" w:cs="黑体"/>
                <w:color w:val="0000FF"/>
                <w:sz w:val="18"/>
                <w:szCs w:val="18"/>
                <w:bdr w:val="single" w:color="0000FF" w:sz="4" w:space="0"/>
              </w:rPr>
              <w:t>给排水系统设置应合理、完善、安全。</w:t>
            </w:r>
          </w:p>
          <w:p>
            <w:pPr>
              <w:widowControl w:val="0"/>
              <w:spacing w:line="240" w:lineRule="exact"/>
              <w:rPr>
                <w:rFonts w:hint="eastAsia" w:ascii="Calibri" w:eastAsia="宋体" w:cs="Calibri"/>
                <w:color w:val="0000FF"/>
                <w:sz w:val="18"/>
                <w:szCs w:val="18"/>
                <w:lang w:eastAsia="zh-CN"/>
              </w:rPr>
            </w:pPr>
            <w:r>
              <w:rPr>
                <w:rFonts w:hint="eastAsia" w:ascii="Calibri" w:hAnsi="Calibri"/>
                <w:color w:val="0000FF"/>
                <w:sz w:val="18"/>
                <w:szCs w:val="18"/>
              </w:rPr>
              <w:t>技术措施说明：</w:t>
            </w:r>
            <w:r>
              <w:rPr>
                <w:rFonts w:hint="eastAsia" w:ascii="Calibri" w:hAnsi="Calibri"/>
                <w:color w:val="0000FF"/>
                <w:sz w:val="18"/>
                <w:szCs w:val="18"/>
                <w:lang w:val="en-US" w:eastAsia="zh-CN"/>
              </w:rPr>
              <w:t>本工程水源由校区已有给水管网供给，本建筑天面设20立方米水箱，供水方式为上行下给。</w:t>
            </w:r>
            <w:r>
              <w:rPr>
                <w:rFonts w:hint="eastAsia" w:ascii="Calibri" w:hAnsi="Calibri"/>
                <w:color w:val="0000FF"/>
                <w:sz w:val="18"/>
                <w:szCs w:val="18"/>
              </w:rPr>
              <w:t>水量及水压满足本工程使用要求，供水水质满足《</w:t>
            </w:r>
            <w:bookmarkStart w:id="1" w:name="_GoBack"/>
            <w:bookmarkEnd w:id="1"/>
            <w:r>
              <w:rPr>
                <w:rFonts w:hint="eastAsia" w:ascii="Calibri" w:hAnsi="Calibri"/>
                <w:color w:val="0000FF"/>
                <w:sz w:val="18"/>
                <w:szCs w:val="18"/>
              </w:rPr>
              <w:t>生活饮用水卫生标准》</w:t>
            </w:r>
            <w:r>
              <w:rPr>
                <w:rFonts w:ascii="Calibri" w:hAnsi="Calibri" w:cs="Calibri"/>
                <w:color w:val="0000FF"/>
                <w:sz w:val="18"/>
                <w:szCs w:val="18"/>
              </w:rPr>
              <w:t>GB 5749</w:t>
            </w:r>
            <w:r>
              <w:rPr>
                <w:rFonts w:hint="eastAsia" w:ascii="Calibri" w:hAnsi="Calibri"/>
                <w:color w:val="0000FF"/>
                <w:sz w:val="18"/>
                <w:szCs w:val="18"/>
              </w:rPr>
              <w:t>要求，</w:t>
            </w:r>
            <w:r>
              <w:rPr>
                <w:rFonts w:hint="eastAsia" w:ascii="Calibri" w:hAnsi="Calibri"/>
                <w:color w:val="0000FF"/>
                <w:sz w:val="18"/>
                <w:szCs w:val="18"/>
                <w:lang w:val="en-US" w:eastAsia="zh-CN"/>
              </w:rPr>
              <w:t>供水阀后</w:t>
            </w:r>
            <w:r>
              <w:rPr>
                <w:rFonts w:hint="eastAsia" w:ascii="Calibri" w:hAnsi="Calibri"/>
                <w:color w:val="0000FF"/>
                <w:sz w:val="18"/>
                <w:szCs w:val="18"/>
              </w:rPr>
              <w:t>压力</w:t>
            </w:r>
            <w:r>
              <w:rPr>
                <w:rFonts w:hint="eastAsia" w:ascii="Calibri" w:hAnsi="Calibri"/>
                <w:color w:val="0000FF"/>
                <w:sz w:val="18"/>
                <w:szCs w:val="18"/>
                <w:lang w:val="en-US" w:eastAsia="zh-CN"/>
              </w:rPr>
              <w:t>小于</w:t>
            </w:r>
            <w:r>
              <w:rPr>
                <w:rFonts w:ascii="Calibri" w:hAnsi="Calibri" w:cs="Calibri"/>
                <w:color w:val="0000FF"/>
                <w:sz w:val="18"/>
                <w:szCs w:val="18"/>
              </w:rPr>
              <w:t>0.20MPa</w:t>
            </w:r>
            <w:r>
              <w:rPr>
                <w:rFonts w:hint="eastAsia" w:ascii="Calibri" w:hAnsi="Calibri" w:cs="Calibri"/>
                <w:color w:val="0000FF"/>
                <w:sz w:val="18"/>
                <w:szCs w:val="18"/>
                <w:lang w:eastAsia="zh-CN"/>
              </w:rPr>
              <w:t>。</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给排水、水施</w:t>
            </w:r>
            <w:r>
              <w:rPr>
                <w:rFonts w:ascii="Calibri" w:eastAsia="Times New Roman" w:cs="Calibri"/>
                <w:color w:val="0000FF"/>
                <w:sz w:val="18"/>
                <w:szCs w:val="18"/>
              </w:rPr>
              <w:t>-0</w:t>
            </w:r>
            <w:r>
              <w:rPr>
                <w:rFonts w:ascii="Calibri" w:hAnsi="Calibri" w:cs="Calibri"/>
                <w:color w:val="0000FF"/>
                <w:sz w:val="18"/>
                <w:szCs w:val="18"/>
              </w:rPr>
              <w:t>2</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 xml:space="preserve"> 6.1.3</w:t>
            </w:r>
            <w:r>
              <w:rPr>
                <w:rFonts w:hint="eastAsia" w:ascii="黑体" w:hAnsi="Calibri" w:eastAsia="黑体" w:cs="黑体"/>
                <w:color w:val="0000FF"/>
                <w:sz w:val="18"/>
                <w:szCs w:val="18"/>
                <w:bdr w:val="single" w:color="0000FF" w:sz="4" w:space="0"/>
              </w:rPr>
              <w:t>采用节水器具情况。</w:t>
            </w:r>
          </w:p>
          <w:p>
            <w:pPr>
              <w:widowControl w:val="0"/>
              <w:spacing w:line="240" w:lineRule="exact"/>
              <w:rPr>
                <w:rFonts w:hint="eastAsia" w:ascii="Calibri" w:hAnsi="Calibri"/>
                <w:color w:val="0000FF"/>
                <w:sz w:val="18"/>
                <w:szCs w:val="18"/>
              </w:rPr>
            </w:pPr>
            <w:r>
              <w:rPr>
                <w:rFonts w:hint="eastAsia" w:ascii="Calibri" w:hAnsi="Calibri"/>
                <w:color w:val="0000FF"/>
                <w:sz w:val="18"/>
                <w:szCs w:val="18"/>
              </w:rPr>
              <w:t>技术措施说明：项目采用节水型洁具，用水效率等级</w:t>
            </w:r>
            <w:r>
              <w:rPr>
                <w:rFonts w:hint="eastAsia" w:ascii="Calibri" w:hAnsi="Calibri"/>
                <w:color w:val="0000FF"/>
                <w:sz w:val="18"/>
                <w:szCs w:val="18"/>
                <w:lang w:val="en-US" w:eastAsia="zh-CN"/>
              </w:rPr>
              <w:t>为</w:t>
            </w:r>
            <w:r>
              <w:rPr>
                <w:rFonts w:hint="eastAsia" w:ascii="Calibri" w:hAnsi="Calibri"/>
                <w:color w:val="0000FF"/>
                <w:sz w:val="18"/>
                <w:szCs w:val="18"/>
              </w:rPr>
              <w:t>二级，</w:t>
            </w:r>
            <w:r>
              <w:rPr>
                <w:rFonts w:hint="eastAsia" w:ascii="Calibri" w:hAnsi="Calibri"/>
                <w:color w:val="0000FF"/>
                <w:sz w:val="18"/>
                <w:szCs w:val="18"/>
                <w:lang w:val="en-US" w:eastAsia="zh-CN"/>
              </w:rPr>
              <w:t>节水龙头采用加气节水龙头，流速不大于0.125L/s，座便器为3.5L/5L(高低档) ，大便器冲洗阀冲水量不大于5L每次，小便器冲洗阀冲水量不大于3L每次</w:t>
            </w:r>
            <w:r>
              <w:rPr>
                <w:rFonts w:hint="eastAsia" w:ascii="Calibri" w:hAnsi="Calibri"/>
                <w:color w:val="0000FF"/>
                <w:sz w:val="18"/>
                <w:szCs w:val="18"/>
              </w:rPr>
              <w:t>。</w:t>
            </w:r>
          </w:p>
          <w:p>
            <w:pPr>
              <w:widowControl w:val="0"/>
              <w:spacing w:line="240" w:lineRule="exact"/>
              <w:rPr>
                <w:rFonts w:ascii="Calibri" w:eastAsia="Times New Roman" w:cs="Calibri"/>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给排水、水施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Calibri" w:eastAsia="Times New Roman" w:cs="Calibri"/>
                <w:color w:val="0000FF"/>
                <w:sz w:val="18"/>
                <w:szCs w:val="18"/>
              </w:rPr>
            </w:pPr>
          </w:p>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自选说明内容（评分项）</w:t>
            </w: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给排水专业</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6.2.2</w:t>
            </w:r>
            <w:r>
              <w:rPr>
                <w:rFonts w:hint="eastAsia" w:ascii="黑体" w:hAnsi="Calibri" w:eastAsia="黑体" w:cs="黑体"/>
                <w:color w:val="0000FF"/>
                <w:sz w:val="18"/>
                <w:szCs w:val="18"/>
                <w:bdr w:val="single" w:color="0000FF" w:sz="4" w:space="0"/>
              </w:rPr>
              <w:t>采取有效措施避免管网漏损。</w:t>
            </w:r>
            <w:r>
              <w:rPr>
                <w:rFonts w:hint="eastAsia" w:ascii="黑体" w:hAnsi="宋体" w:eastAsia="黑体" w:cs="黑体"/>
                <w:color w:val="0000FF"/>
                <w:sz w:val="18"/>
                <w:szCs w:val="18"/>
              </w:rPr>
              <w:t>（</w:t>
            </w:r>
            <w:r>
              <w:rPr>
                <w:rFonts w:ascii="黑体" w:hAnsi="宋体" w:eastAsia="黑体" w:cs="黑体"/>
                <w:color w:val="0000FF"/>
                <w:sz w:val="18"/>
                <w:szCs w:val="18"/>
              </w:rPr>
              <w:t>7</w:t>
            </w:r>
            <w:r>
              <w:rPr>
                <w:rFonts w:hint="eastAsia" w:ascii="黑体" w:hAnsi="宋体" w:eastAsia="黑体" w:cs="黑体"/>
                <w:color w:val="0000FF"/>
                <w:sz w:val="18"/>
                <w:szCs w:val="18"/>
              </w:rPr>
              <w:t>分）</w:t>
            </w:r>
          </w:p>
          <w:p>
            <w:pPr>
              <w:widowControl w:val="0"/>
              <w:spacing w:line="240" w:lineRule="exact"/>
              <w:rPr>
                <w:rFonts w:hint="eastAsia" w:ascii="Calibri" w:hAnsi="Calibri"/>
                <w:color w:val="0000FF"/>
                <w:sz w:val="18"/>
                <w:szCs w:val="18"/>
              </w:rPr>
            </w:pPr>
            <w:r>
              <w:rPr>
                <w:rFonts w:hint="eastAsia" w:ascii="宋体" w:hAnsi="宋体"/>
                <w:color w:val="0000FF"/>
                <w:sz w:val="18"/>
                <w:szCs w:val="18"/>
              </w:rPr>
              <w:t>技术措施说明</w:t>
            </w:r>
            <w:r>
              <w:rPr>
                <w:rFonts w:hint="eastAsia" w:ascii="Calibri" w:hAnsi="Calibri"/>
                <w:color w:val="0000FF"/>
                <w:sz w:val="18"/>
                <w:szCs w:val="18"/>
              </w:rPr>
              <w:t>：</w:t>
            </w:r>
            <w:r>
              <w:rPr>
                <w:rFonts w:hint="eastAsia" w:ascii="Calibri" w:hAnsi="Calibri"/>
                <w:color w:val="0000FF"/>
                <w:sz w:val="18"/>
                <w:szCs w:val="18"/>
                <w:lang w:val="en-US" w:eastAsia="zh-CN"/>
              </w:rPr>
              <w:t>本工程水源由校区已有给水管网供给，本建筑天面设有20m³生活水箱，供水方式为上行下给。生活 给水管道上阀门：DN＜50时采用截止阀、DN＞50时采用闸阀。室外埋地给水管道DN＜100采用pp-r给水管，DN＜100采用HDPE给水管，热熔连接。本项目按照用水要去分别对各级进行用水分区。</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给排水、水施</w:t>
            </w:r>
            <w:r>
              <w:rPr>
                <w:rFonts w:ascii="Calibri" w:eastAsia="Times New Roman" w:cs="Calibri"/>
                <w:color w:val="0000FF"/>
                <w:sz w:val="18"/>
                <w:szCs w:val="18"/>
              </w:rPr>
              <w:t>-0</w:t>
            </w:r>
            <w:r>
              <w:rPr>
                <w:rFonts w:ascii="Calibri" w:hAnsi="Calibri" w:cs="Calibri"/>
                <w:color w:val="0000FF"/>
                <w:sz w:val="18"/>
                <w:szCs w:val="18"/>
              </w:rPr>
              <w:t>2</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 xml:space="preserve"> 6.2.3</w:t>
            </w:r>
            <w:r>
              <w:rPr>
                <w:rFonts w:hint="eastAsia" w:ascii="黑体" w:hAnsi="Calibri" w:eastAsia="黑体" w:cs="黑体"/>
                <w:color w:val="0000FF"/>
                <w:sz w:val="18"/>
                <w:szCs w:val="18"/>
                <w:bdr w:val="single" w:color="0000FF" w:sz="4" w:space="0"/>
              </w:rPr>
              <w:t>给水系统无超压出流现象。</w:t>
            </w:r>
            <w:r>
              <w:rPr>
                <w:rFonts w:hint="eastAsia" w:ascii="黑体" w:hAnsi="宋体" w:eastAsia="黑体" w:cs="黑体"/>
                <w:color w:val="0000FF"/>
                <w:sz w:val="18"/>
                <w:szCs w:val="18"/>
              </w:rPr>
              <w:t>（</w:t>
            </w:r>
            <w:r>
              <w:rPr>
                <w:rFonts w:ascii="黑体" w:hAnsi="宋体" w:eastAsia="黑体" w:cs="黑体"/>
                <w:color w:val="0000FF"/>
                <w:sz w:val="18"/>
                <w:szCs w:val="18"/>
              </w:rPr>
              <w:t>8</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hint="eastAsia" w:ascii="Calibri" w:hAnsi="Calibri"/>
                <w:color w:val="0000FF"/>
                <w:sz w:val="18"/>
                <w:szCs w:val="18"/>
              </w:rPr>
              <w:t>本项目当给水支管压力超过</w:t>
            </w:r>
            <w:r>
              <w:rPr>
                <w:rFonts w:ascii="Calibri" w:hAnsi="Calibri" w:cs="Calibri"/>
                <w:color w:val="0000FF"/>
                <w:sz w:val="18"/>
                <w:szCs w:val="18"/>
              </w:rPr>
              <w:t>0.20MPa</w:t>
            </w:r>
            <w:r>
              <w:rPr>
                <w:rFonts w:hint="eastAsia" w:ascii="Calibri" w:hAnsi="Calibri"/>
                <w:color w:val="0000FF"/>
                <w:sz w:val="18"/>
                <w:szCs w:val="18"/>
              </w:rPr>
              <w:t>时利用减压阀支管减压，保证给水压力不大于</w:t>
            </w:r>
            <w:r>
              <w:rPr>
                <w:rFonts w:ascii="Calibri" w:hAnsi="Calibri" w:cs="Calibri"/>
                <w:color w:val="0000FF"/>
                <w:sz w:val="18"/>
                <w:szCs w:val="18"/>
              </w:rPr>
              <w:t>0.2MPa</w:t>
            </w:r>
            <w:r>
              <w:rPr>
                <w:rFonts w:hint="eastAsia" w:ascii="Calibri" w:hAnsi="Calibri"/>
                <w:color w:val="0000FF"/>
                <w:sz w:val="18"/>
                <w:szCs w:val="18"/>
              </w:rPr>
              <w:t>。</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给排水、水施</w:t>
            </w:r>
            <w:r>
              <w:rPr>
                <w:rFonts w:ascii="Calibri" w:eastAsia="Times New Roman" w:cs="Calibri"/>
                <w:color w:val="0000FF"/>
                <w:sz w:val="18"/>
                <w:szCs w:val="18"/>
              </w:rPr>
              <w:t>-0</w:t>
            </w:r>
            <w:r>
              <w:rPr>
                <w:rFonts w:ascii="Calibri" w:hAnsi="Calibri" w:cs="Calibri"/>
                <w:color w:val="0000FF"/>
                <w:sz w:val="18"/>
                <w:szCs w:val="18"/>
              </w:rPr>
              <w:t>2</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6.2.4</w:t>
            </w:r>
            <w:r>
              <w:rPr>
                <w:rFonts w:hint="eastAsia" w:ascii="黑体" w:hAnsi="Calibri" w:eastAsia="黑体" w:cs="黑体"/>
                <w:color w:val="0000FF"/>
                <w:sz w:val="18"/>
                <w:szCs w:val="18"/>
                <w:bdr w:val="single" w:color="0000FF" w:sz="4" w:space="0"/>
              </w:rPr>
              <w:t>设置用水计量装置。</w:t>
            </w:r>
            <w:r>
              <w:rPr>
                <w:rFonts w:hint="eastAsia" w:ascii="黑体" w:hAnsi="宋体" w:eastAsia="黑体" w:cs="黑体"/>
                <w:color w:val="0000FF"/>
                <w:sz w:val="18"/>
                <w:szCs w:val="18"/>
              </w:rPr>
              <w:t>（</w:t>
            </w:r>
            <w:r>
              <w:rPr>
                <w:rFonts w:ascii="黑体" w:hAnsi="宋体" w:eastAsia="黑体" w:cs="黑体"/>
                <w:color w:val="0000FF"/>
                <w:sz w:val="18"/>
                <w:szCs w:val="18"/>
              </w:rPr>
              <w:t>6</w:t>
            </w:r>
            <w:r>
              <w:rPr>
                <w:rFonts w:hint="eastAsia" w:ascii="黑体" w:hAnsi="宋体" w:eastAsia="黑体" w:cs="黑体"/>
                <w:color w:val="0000FF"/>
                <w:sz w:val="18"/>
                <w:szCs w:val="18"/>
              </w:rPr>
              <w:t>分）</w:t>
            </w:r>
          </w:p>
          <w:p>
            <w:pPr>
              <w:widowControl w:val="0"/>
              <w:spacing w:line="240" w:lineRule="exact"/>
              <w:rPr>
                <w:rFonts w:ascii="Calibri" w:eastAsia="Times New Roman" w:cs="Calibri"/>
                <w:color w:val="0000FF"/>
                <w:sz w:val="18"/>
                <w:szCs w:val="18"/>
              </w:rPr>
            </w:pPr>
            <w:r>
              <w:rPr>
                <w:rFonts w:hint="eastAsia" w:ascii="宋体" w:hAnsi="宋体"/>
                <w:color w:val="0000FF"/>
                <w:sz w:val="18"/>
                <w:szCs w:val="18"/>
              </w:rPr>
              <w:t>技术措施说明：本项目按使用用途，分消防用水、生活用水，按付费或管理单元，</w:t>
            </w:r>
            <w:r>
              <w:rPr>
                <w:rFonts w:hint="eastAsia" w:ascii="宋体" w:hAnsi="宋体"/>
                <w:color w:val="0000FF"/>
                <w:sz w:val="18"/>
                <w:szCs w:val="18"/>
                <w:lang w:val="en-US" w:eastAsia="zh-CN"/>
              </w:rPr>
              <w:t>对每层进行计量</w:t>
            </w:r>
            <w:r>
              <w:rPr>
                <w:rFonts w:hint="eastAsia" w:ascii="宋体" w:hAnsi="宋体"/>
                <w:color w:val="0000FF"/>
                <w:sz w:val="18"/>
                <w:szCs w:val="18"/>
              </w:rPr>
              <w:t>，分别设置用水计量装置、统计用水量。</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给排水、水施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8EAADB"/>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hint="eastAsia" w:ascii="黑体" w:hAnsi="宋体" w:eastAsia="黑体" w:cs="黑体"/>
                <w:color w:val="0000FF"/>
                <w:sz w:val="18"/>
                <w:szCs w:val="18"/>
              </w:rPr>
              <w:t xml:space="preserve"> 6.2.5公用浴室采取节水措施。</w:t>
            </w:r>
          </w:p>
          <w:p>
            <w:pPr>
              <w:widowControl w:val="0"/>
              <w:spacing w:line="240" w:lineRule="exact"/>
              <w:rPr>
                <w:rFonts w:hint="default" w:ascii="宋体" w:hAnsi="宋体" w:eastAsia="宋体"/>
                <w:color w:val="0000FF"/>
                <w:sz w:val="18"/>
                <w:szCs w:val="18"/>
                <w:lang w:val="en-US" w:eastAsia="zh-CN"/>
              </w:rPr>
            </w:pPr>
            <w:r>
              <w:rPr>
                <w:rFonts w:hint="eastAsia" w:ascii="宋体" w:hAnsi="宋体"/>
                <w:color w:val="0000FF"/>
                <w:sz w:val="18"/>
                <w:szCs w:val="18"/>
              </w:rPr>
              <w:t>技术措施说明：</w:t>
            </w:r>
            <w:r>
              <w:rPr>
                <w:rFonts w:hint="eastAsia" w:ascii="宋体" w:hAnsi="宋体"/>
                <w:color w:val="0000FF"/>
                <w:sz w:val="18"/>
                <w:szCs w:val="18"/>
                <w:lang w:val="en-US" w:eastAsia="zh-CN"/>
              </w:rPr>
              <w:t>项目无公共浴室。</w:t>
            </w:r>
          </w:p>
          <w:p>
            <w:pPr>
              <w:widowControl w:val="0"/>
              <w:spacing w:line="240" w:lineRule="exact"/>
              <w:rPr>
                <w:rFonts w:hint="eastAsia" w:ascii="宋体" w:hAnsi="宋体"/>
                <w:color w:val="0000FF"/>
                <w:sz w:val="18"/>
                <w:szCs w:val="18"/>
              </w:rPr>
            </w:pPr>
            <w:r>
              <w:rPr>
                <w:rFonts w:hint="eastAsia" w:ascii="宋体" w:hAnsi="宋体"/>
                <w:color w:val="0000FF"/>
                <w:sz w:val="18"/>
                <w:szCs w:val="18"/>
              </w:rPr>
              <w:t>证明材料：</w:t>
            </w:r>
            <w:r>
              <w:rPr>
                <w:rFonts w:hint="eastAsia" w:ascii="宋体" w:hAnsi="宋体"/>
                <w:color w:val="0000FF"/>
                <w:sz w:val="18"/>
                <w:szCs w:val="18"/>
              </w:rPr>
              <w:sym w:font="Wingdings 2" w:char="F052"/>
            </w:r>
            <w:r>
              <w:rPr>
                <w:rFonts w:hint="eastAsia" w:ascii="宋体" w:hAnsi="宋体"/>
                <w:color w:val="0000FF"/>
                <w:sz w:val="18"/>
                <w:szCs w:val="18"/>
              </w:rPr>
              <w:t>设计图纸（专业、图号）</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6.2.6</w:t>
            </w:r>
            <w:r>
              <w:rPr>
                <w:rFonts w:hint="eastAsia" w:ascii="黑体" w:hAnsi="Calibri" w:eastAsia="黑体" w:cs="黑体"/>
                <w:color w:val="0000FF"/>
                <w:sz w:val="18"/>
                <w:szCs w:val="18"/>
                <w:bdr w:val="single" w:color="0000FF" w:sz="4" w:space="0"/>
              </w:rPr>
              <w:t>使用较高用水效率等级的卫生器具。</w:t>
            </w:r>
            <w:r>
              <w:rPr>
                <w:rFonts w:hint="eastAsia" w:ascii="黑体" w:hAnsi="宋体" w:eastAsia="黑体" w:cs="黑体"/>
                <w:color w:val="0000FF"/>
                <w:sz w:val="18"/>
                <w:szCs w:val="18"/>
              </w:rPr>
              <w:t>（</w:t>
            </w:r>
            <w:r>
              <w:rPr>
                <w:rFonts w:ascii="黑体" w:hAnsi="宋体" w:eastAsia="黑体" w:cs="黑体"/>
                <w:color w:val="0000FF"/>
                <w:sz w:val="18"/>
                <w:szCs w:val="18"/>
              </w:rPr>
              <w:t>10</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highlight w:val="yellow"/>
              </w:rPr>
            </w:pPr>
            <w:r>
              <w:rPr>
                <w:rFonts w:hint="eastAsia" w:ascii="宋体" w:hAnsi="宋体"/>
                <w:color w:val="0000FF"/>
                <w:sz w:val="18"/>
                <w:szCs w:val="18"/>
              </w:rPr>
              <w:t>技术措施说明：</w:t>
            </w:r>
            <w:r>
              <w:rPr>
                <w:rFonts w:hint="eastAsia" w:ascii="Calibri" w:hAnsi="Calibri"/>
                <w:color w:val="0000FF"/>
                <w:sz w:val="18"/>
                <w:szCs w:val="18"/>
              </w:rPr>
              <w:t>项目采用节水型洁具，用水效率等级</w:t>
            </w:r>
            <w:r>
              <w:rPr>
                <w:rFonts w:hint="eastAsia" w:ascii="Calibri" w:hAnsi="Calibri"/>
                <w:color w:val="0000FF"/>
                <w:sz w:val="18"/>
                <w:szCs w:val="18"/>
                <w:lang w:val="en-US" w:eastAsia="zh-CN"/>
              </w:rPr>
              <w:t>为</w:t>
            </w:r>
            <w:r>
              <w:rPr>
                <w:rFonts w:hint="eastAsia" w:ascii="Calibri" w:hAnsi="Calibri"/>
                <w:color w:val="0000FF"/>
                <w:sz w:val="18"/>
                <w:szCs w:val="18"/>
              </w:rPr>
              <w:t>二级，</w:t>
            </w:r>
            <w:r>
              <w:rPr>
                <w:rFonts w:hint="eastAsia" w:ascii="Calibri" w:hAnsi="Calibri"/>
                <w:color w:val="0000FF"/>
                <w:sz w:val="18"/>
                <w:szCs w:val="18"/>
                <w:lang w:val="en-US" w:eastAsia="zh-CN"/>
              </w:rPr>
              <w:t>节水龙头采用加气节水龙头，流速不大于0.125L/s，座便器为3.5L/5L(高低档) ，大便器冲洗阀冲水量不大于5L每次，小便器冲洗阀冲水量不大于3L每次</w:t>
            </w:r>
            <w:r>
              <w:rPr>
                <w:rFonts w:hint="eastAsia" w:ascii="Calibri" w:hAnsi="Calibri"/>
                <w:color w:val="0000FF"/>
                <w:sz w:val="18"/>
                <w:szCs w:val="18"/>
              </w:rPr>
              <w:t>。</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给排水、水施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宋体" w:hAnsi="Calibri"/>
                <w:color w:val="0000FF"/>
                <w:sz w:val="18"/>
                <w:szCs w:val="18"/>
              </w:rPr>
            </w:pPr>
            <w:r>
              <w:rPr>
                <w:rFonts w:ascii="Calibri" w:hAnsi="Calibri" w:cs="Calibri"/>
                <w:color w:val="0000FF"/>
                <w:sz w:val="18"/>
                <w:szCs w:val="18"/>
              </w:rPr>
              <w:sym w:font="Wingdings 2" w:char="F052"/>
            </w:r>
            <w:r>
              <w:rPr>
                <w:rFonts w:ascii="宋体" w:hAnsi="Calibri"/>
                <w:color w:val="0000FF"/>
                <w:sz w:val="18"/>
                <w:szCs w:val="18"/>
              </w:rPr>
              <w:t xml:space="preserve"> </w:t>
            </w:r>
            <w:r>
              <w:rPr>
                <w:rFonts w:ascii="黑体" w:hAnsi="Calibri" w:eastAsia="黑体" w:cs="黑体"/>
                <w:color w:val="0000FF"/>
                <w:sz w:val="18"/>
                <w:szCs w:val="18"/>
                <w:bdr w:val="single" w:color="0000FF" w:sz="4" w:space="0"/>
              </w:rPr>
              <w:t>6.2.9</w:t>
            </w:r>
            <w:r>
              <w:rPr>
                <w:rFonts w:hint="eastAsia" w:ascii="黑体" w:hAnsi="Calibri" w:eastAsia="黑体" w:cs="黑体"/>
                <w:color w:val="0000FF"/>
                <w:sz w:val="18"/>
                <w:szCs w:val="18"/>
                <w:bdr w:val="single" w:color="0000FF" w:sz="4" w:space="0"/>
              </w:rPr>
              <w:t>除卫生器具、绿化灌溉和冷却塔外的其他用水采用了节水技术或措施。</w:t>
            </w:r>
            <w:r>
              <w:rPr>
                <w:rFonts w:hint="eastAsia" w:ascii="黑体" w:hAnsi="宋体" w:eastAsia="黑体" w:cs="黑体"/>
                <w:color w:val="0000FF"/>
                <w:sz w:val="18"/>
                <w:szCs w:val="18"/>
              </w:rPr>
              <w:t>（</w:t>
            </w:r>
            <w:r>
              <w:rPr>
                <w:rFonts w:ascii="黑体" w:hAnsi="宋体" w:eastAsia="黑体" w:cs="黑体"/>
                <w:color w:val="0000FF"/>
                <w:sz w:val="18"/>
                <w:szCs w:val="18"/>
              </w:rPr>
              <w:t>5</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Calibri"/>
                <w:color w:val="0000FF"/>
                <w:sz w:val="18"/>
                <w:szCs w:val="18"/>
              </w:rPr>
              <w:t>技术措施说明：项目采用高压水枪</w:t>
            </w:r>
            <w:r>
              <w:rPr>
                <w:rFonts w:hint="eastAsia" w:ascii="宋体" w:hAnsi="Calibri"/>
                <w:color w:val="0000FF"/>
                <w:sz w:val="18"/>
                <w:szCs w:val="18"/>
                <w:lang w:val="en-US" w:eastAsia="zh-CN"/>
              </w:rPr>
              <w:t>对</w:t>
            </w:r>
            <w:r>
              <w:rPr>
                <w:rFonts w:hint="eastAsia" w:ascii="宋体" w:hAnsi="Calibri"/>
                <w:color w:val="0000FF"/>
                <w:sz w:val="18"/>
                <w:szCs w:val="18"/>
              </w:rPr>
              <w:t>道路冲洗。</w:t>
            </w:r>
          </w:p>
          <w:p>
            <w:pPr>
              <w:widowControl w:val="0"/>
              <w:spacing w:line="240" w:lineRule="exact"/>
              <w:rPr>
                <w:rFonts w:ascii="宋体" w:hAnsi="Calibri"/>
                <w:color w:val="0000FF"/>
                <w:sz w:val="18"/>
                <w:szCs w:val="18"/>
              </w:rPr>
            </w:pPr>
            <w:r>
              <w:rPr>
                <w:rFonts w:hint="eastAsia" w:ascii="宋体" w:hAnsi="Calibri"/>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Calibri"/>
                <w:color w:val="0000FF"/>
                <w:sz w:val="18"/>
                <w:szCs w:val="18"/>
              </w:rPr>
              <w:t>设计图纸（给排水、</w:t>
            </w:r>
            <w:r>
              <w:rPr>
                <w:rFonts w:hint="eastAsia" w:ascii="Calibri" w:hAnsi="Calibri"/>
                <w:color w:val="0000FF"/>
                <w:sz w:val="18"/>
                <w:szCs w:val="18"/>
              </w:rPr>
              <w:t>水施</w:t>
            </w:r>
            <w:r>
              <w:rPr>
                <w:rFonts w:ascii="Calibri" w:hAnsi="Calibri" w:cs="Calibri"/>
                <w:color w:val="0000FF"/>
                <w:sz w:val="18"/>
                <w:szCs w:val="18"/>
              </w:rPr>
              <w:t>-01</w:t>
            </w:r>
            <w:r>
              <w:rPr>
                <w:rFonts w:hint="eastAsia" w:ascii="宋体" w:hAnsi="Calibri"/>
                <w:color w:val="0000FF"/>
                <w:sz w:val="18"/>
                <w:szCs w:val="18"/>
              </w:rPr>
              <w:t>）</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6.2.10</w:t>
            </w:r>
            <w:r>
              <w:rPr>
                <w:rFonts w:hint="eastAsia" w:ascii="黑体" w:hAnsi="宋体" w:eastAsia="黑体" w:cs="黑体"/>
                <w:color w:val="8EAADB"/>
                <w:sz w:val="18"/>
                <w:szCs w:val="18"/>
              </w:rPr>
              <w:t>合理使用非传统水源。</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r>
              <w:rPr>
                <w:rFonts w:ascii="宋体" w:hAnsi="Calibri"/>
                <w:color w:val="8EAADB"/>
                <w:sz w:val="18"/>
                <w:szCs w:val="18"/>
              </w:rPr>
              <w:t xml:space="preserve"> </w:t>
            </w:r>
          </w:p>
          <w:p>
            <w:pPr>
              <w:widowControl w:val="0"/>
              <w:spacing w:line="240" w:lineRule="exact"/>
              <w:rPr>
                <w:rFonts w:ascii="宋体" w:hAnsi="Calibri"/>
                <w:color w:val="8EAADB"/>
                <w:sz w:val="18"/>
                <w:szCs w:val="18"/>
              </w:rPr>
            </w:pPr>
            <w:r>
              <w:rPr>
                <w:rFonts w:hint="eastAsia" w:ascii="宋体" w:hAnsi="宋体"/>
                <w:color w:val="8EAADB"/>
                <w:sz w:val="18"/>
                <w:szCs w:val="18"/>
              </w:rPr>
              <w:t>证明材料：□非传统水源利用率计算书；□设计图纸（</w:t>
            </w:r>
            <w:r>
              <w:rPr>
                <w:rFonts w:hint="eastAsia" w:ascii="Calibri" w:hAnsi="Calibri"/>
                <w:color w:val="8EAADB"/>
                <w:sz w:val="18"/>
                <w:szCs w:val="18"/>
              </w:rPr>
              <w:t>给排水</w:t>
            </w:r>
            <w:r>
              <w:rPr>
                <w:rFonts w:hint="eastAsia" w:ascii="宋体" w:hAnsi="宋体"/>
                <w:color w:val="8EAADB"/>
                <w:sz w:val="18"/>
                <w:szCs w:val="18"/>
              </w:rPr>
              <w:t>、图号）</w:t>
            </w:r>
          </w:p>
          <w:p>
            <w:pPr>
              <w:widowControl w:val="0"/>
              <w:spacing w:line="240" w:lineRule="exact"/>
              <w:rPr>
                <w:rFonts w:ascii="宋体" w:hAnsi="Calibri"/>
                <w:color w:val="0000FF"/>
                <w:sz w:val="18"/>
                <w:szCs w:val="18"/>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6.2.11</w:t>
            </w:r>
            <w:r>
              <w:rPr>
                <w:rFonts w:hint="eastAsia" w:ascii="黑体" w:hAnsi="Calibri" w:eastAsia="黑体" w:cs="黑体"/>
                <w:color w:val="0000FF"/>
                <w:sz w:val="18"/>
                <w:szCs w:val="18"/>
                <w:bdr w:val="single" w:color="0000FF" w:sz="4" w:space="0"/>
              </w:rPr>
              <w:t>冷却水补水使用非传统水源。</w:t>
            </w:r>
            <w:r>
              <w:rPr>
                <w:rFonts w:hint="eastAsia" w:ascii="黑体" w:hAnsi="宋体" w:eastAsia="黑体" w:cs="黑体"/>
                <w:color w:val="0000FF"/>
                <w:sz w:val="18"/>
                <w:szCs w:val="18"/>
              </w:rPr>
              <w:t>（</w:t>
            </w:r>
            <w:r>
              <w:rPr>
                <w:rFonts w:ascii="黑体" w:hAnsi="宋体" w:eastAsia="黑体" w:cs="黑体"/>
                <w:color w:val="0000FF"/>
                <w:sz w:val="18"/>
                <w:szCs w:val="18"/>
              </w:rPr>
              <w:t>8</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技术措施说明：本项目采用分体空调，无冷却水补水系统的建筑认为本条满足。</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证明材料：□非传统水源利用率计算书；</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给排水、水施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景观专业</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w:t>
            </w:r>
            <w:r>
              <w:rPr>
                <w:rFonts w:ascii="黑体" w:hAnsi="Calibri" w:eastAsia="黑体" w:cs="黑体"/>
                <w:color w:val="8EAADB"/>
                <w:sz w:val="18"/>
                <w:szCs w:val="18"/>
              </w:rPr>
              <w:t>6.2.7</w:t>
            </w:r>
            <w:r>
              <w:rPr>
                <w:rFonts w:hint="eastAsia" w:ascii="黑体" w:hAnsi="Calibri" w:eastAsia="黑体" w:cs="黑体"/>
                <w:color w:val="8EAADB"/>
                <w:sz w:val="18"/>
                <w:szCs w:val="18"/>
              </w:rPr>
              <w:t>绿化灌溉采用节水灌溉方式。</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r>
              <w:rPr>
                <w:rFonts w:ascii="宋体" w:hAnsi="Calibri"/>
                <w:color w:val="8EAADB"/>
                <w:sz w:val="18"/>
                <w:szCs w:val="18"/>
              </w:rPr>
              <w:t xml:space="preserve"> </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证明材料：□设计图纸（</w:t>
            </w:r>
            <w:r>
              <w:rPr>
                <w:rFonts w:hint="eastAsia" w:ascii="Calibri" w:hAnsi="Calibri"/>
                <w:color w:val="8EAADB"/>
                <w:sz w:val="18"/>
                <w:szCs w:val="18"/>
              </w:rPr>
              <w:t>给排水</w:t>
            </w:r>
            <w:r>
              <w:rPr>
                <w:rFonts w:hint="eastAsia" w:ascii="宋体" w:hAnsi="宋体"/>
                <w:color w:val="8EAADB"/>
                <w:sz w:val="18"/>
                <w:szCs w:val="18"/>
              </w:rPr>
              <w:t>、水施</w:t>
            </w:r>
            <w:r>
              <w:rPr>
                <w:rFonts w:ascii="宋体" w:hAnsi="Calibri"/>
                <w:color w:val="8EAADB"/>
                <w:sz w:val="18"/>
                <w:szCs w:val="18"/>
              </w:rPr>
              <w:t>-</w:t>
            </w:r>
            <w:r>
              <w:rPr>
                <w:rFonts w:ascii="宋体"/>
                <w:color w:val="8EAADB"/>
                <w:sz w:val="18"/>
                <w:szCs w:val="18"/>
              </w:rPr>
              <w:t>0</w:t>
            </w:r>
            <w:r>
              <w:rPr>
                <w:rFonts w:ascii="宋体" w:hAnsi="宋体"/>
                <w:color w:val="8EAADB"/>
                <w:sz w:val="18"/>
                <w:szCs w:val="18"/>
              </w:rPr>
              <w:t>1</w:t>
            </w:r>
            <w:r>
              <w:rPr>
                <w:rFonts w:hint="eastAsia" w:ascii="宋体" w:hAnsi="宋体"/>
                <w:color w:val="8EAADB"/>
                <w:sz w:val="18"/>
                <w:szCs w:val="18"/>
              </w:rPr>
              <w:t>）</w:t>
            </w:r>
          </w:p>
          <w:p>
            <w:pPr>
              <w:widowControl w:val="0"/>
              <w:spacing w:line="240" w:lineRule="exact"/>
              <w:rPr>
                <w:rFonts w:ascii="黑体" w:hAnsi="宋体" w:eastAsia="黑体" w:cs="黑体"/>
                <w:color w:val="0000FF"/>
                <w:sz w:val="18"/>
                <w:szCs w:val="18"/>
                <w:bdr w:val="single" w:color="auto" w:sz="4" w:space="0"/>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 xml:space="preserve"> 6.2.12</w:t>
            </w:r>
            <w:r>
              <w:rPr>
                <w:rFonts w:hint="eastAsia" w:ascii="黑体" w:hAnsi="Calibri" w:eastAsia="黑体" w:cs="黑体"/>
                <w:color w:val="0000FF"/>
                <w:sz w:val="18"/>
                <w:szCs w:val="18"/>
                <w:bdr w:val="single" w:color="0000FF" w:sz="4" w:space="0"/>
              </w:rPr>
              <w:t>结合雨水利用设施进行景观水体设计，景观水体利用雨水的补水量大于其水体蒸发量的</w:t>
            </w:r>
            <w:r>
              <w:rPr>
                <w:rFonts w:ascii="黑体" w:hAnsi="Calibri" w:eastAsia="黑体" w:cs="黑体"/>
                <w:color w:val="0000FF"/>
                <w:sz w:val="18"/>
                <w:szCs w:val="18"/>
                <w:bdr w:val="single" w:color="0000FF" w:sz="4" w:space="0"/>
              </w:rPr>
              <w:t>60%</w:t>
            </w:r>
            <w:r>
              <w:rPr>
                <w:rFonts w:hint="eastAsia" w:ascii="黑体" w:hAnsi="Calibri" w:eastAsia="黑体" w:cs="黑体"/>
                <w:color w:val="0000FF"/>
                <w:sz w:val="18"/>
                <w:szCs w:val="18"/>
                <w:bdr w:val="single" w:color="0000FF" w:sz="4" w:space="0"/>
              </w:rPr>
              <w:t>，且采用生态水处理技术保障水体水质（给排水专业辅助）</w:t>
            </w:r>
            <w:r>
              <w:rPr>
                <w:rFonts w:hint="eastAsia" w:ascii="黑体" w:hAnsi="宋体" w:eastAsia="黑体" w:cs="黑体"/>
                <w:color w:val="0000FF"/>
                <w:sz w:val="18"/>
                <w:szCs w:val="18"/>
              </w:rPr>
              <w:t>（</w:t>
            </w:r>
            <w:r>
              <w:rPr>
                <w:rFonts w:ascii="黑体" w:hAnsi="宋体" w:eastAsia="黑体" w:cs="黑体"/>
                <w:color w:val="0000FF"/>
                <w:sz w:val="18"/>
                <w:szCs w:val="18"/>
              </w:rPr>
              <w:t>7</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技术措施说明：本项目未采用景观水体，直接得</w:t>
            </w:r>
            <w:r>
              <w:rPr>
                <w:rFonts w:ascii="宋体" w:hAnsi="宋体"/>
                <w:color w:val="0000FF"/>
                <w:sz w:val="18"/>
                <w:szCs w:val="18"/>
              </w:rPr>
              <w:t>7</w:t>
            </w:r>
            <w:r>
              <w:rPr>
                <w:rFonts w:hint="eastAsia" w:ascii="宋体" w:hAnsi="宋体"/>
                <w:color w:val="0000FF"/>
                <w:sz w:val="18"/>
                <w:szCs w:val="18"/>
              </w:rPr>
              <w:t>分</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证明材料：□非传统水源利用率计算书；</w:t>
            </w:r>
            <w:r>
              <w:rPr>
                <w:rFonts w:ascii="Calibri" w:hAnsi="Calibri" w:cs="Calibri"/>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建筑</w:t>
            </w:r>
            <w:r>
              <w:rPr>
                <w:rFonts w:ascii="Calibri" w:hAnsi="Calibri" w:cs="Calibri"/>
                <w:color w:val="0000FF"/>
                <w:sz w:val="18"/>
                <w:szCs w:val="18"/>
              </w:rPr>
              <w:t>/</w:t>
            </w:r>
            <w:r>
              <w:rPr>
                <w:rFonts w:hint="eastAsia" w:ascii="宋体" w:hAnsi="宋体"/>
                <w:color w:val="0000FF"/>
                <w:sz w:val="18"/>
                <w:szCs w:val="18"/>
              </w:rPr>
              <w:t>总平面图）</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暖通专业</w:t>
            </w:r>
          </w:p>
          <w:p>
            <w:pPr>
              <w:widowControl w:val="0"/>
              <w:spacing w:line="240" w:lineRule="exact"/>
              <w:rPr>
                <w:rFonts w:ascii="黑体" w:hAnsi="宋体" w:eastAsia="黑体" w:cs="黑体"/>
                <w:color w:val="0000FF"/>
                <w:sz w:val="18"/>
                <w:szCs w:val="18"/>
                <w:bdr w:val="single" w:color="auto" w:sz="4" w:space="0"/>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 xml:space="preserve"> 6.2.8</w:t>
            </w:r>
            <w:r>
              <w:rPr>
                <w:rFonts w:hint="eastAsia" w:ascii="黑体" w:hAnsi="Calibri" w:eastAsia="黑体" w:cs="黑体"/>
                <w:color w:val="0000FF"/>
                <w:sz w:val="18"/>
                <w:szCs w:val="18"/>
                <w:bdr w:val="single" w:color="0000FF" w:sz="4" w:space="0"/>
              </w:rPr>
              <w:t>空调设备或系统采用节水冷却技术。</w:t>
            </w:r>
            <w:r>
              <w:rPr>
                <w:rFonts w:hint="eastAsia" w:ascii="黑体" w:hAnsi="宋体" w:eastAsia="黑体" w:cs="黑体"/>
                <w:color w:val="0000FF"/>
                <w:sz w:val="18"/>
                <w:szCs w:val="18"/>
              </w:rPr>
              <w:t>（</w:t>
            </w:r>
            <w:r>
              <w:rPr>
                <w:rFonts w:ascii="黑体" w:hAnsi="宋体" w:eastAsia="黑体" w:cs="黑体"/>
                <w:color w:val="0000FF"/>
                <w:sz w:val="18"/>
                <w:szCs w:val="18"/>
              </w:rPr>
              <w:t>10</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技术措施说明：本项目采用分体式空调，无蒸发耗水量，直接得分。</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暖通</w:t>
            </w:r>
            <w:r>
              <w:rPr>
                <w:rFonts w:ascii="Calibri" w:hAnsi="Calibri" w:cs="Calibri"/>
                <w:color w:val="0000FF"/>
                <w:sz w:val="18"/>
                <w:szCs w:val="18"/>
              </w:rPr>
              <w:t>/</w:t>
            </w:r>
            <w:r>
              <w:rPr>
                <w:rFonts w:hint="eastAsia" w:ascii="宋体" w:hAnsi="宋体"/>
                <w:color w:val="0000FF"/>
                <w:sz w:val="18"/>
                <w:szCs w:val="18"/>
              </w:rPr>
              <w:t>暖施</w:t>
            </w:r>
            <w:r>
              <w:rPr>
                <w:rFonts w:ascii="宋体"/>
                <w:color w:val="0000FF"/>
                <w:sz w:val="18"/>
                <w:szCs w:val="18"/>
              </w:rPr>
              <w:t>-0</w:t>
            </w:r>
            <w:r>
              <w:rPr>
                <w:rFonts w:ascii="宋体" w:hAnsi="宋体"/>
                <w:color w:val="0000FF"/>
                <w:sz w:val="18"/>
                <w:szCs w:val="18"/>
              </w:rPr>
              <w:t>1</w:t>
            </w:r>
            <w:r>
              <w:rPr>
                <w:rFonts w:hint="eastAsia" w:ascii="宋体" w:hAnsi="宋体"/>
                <w:color w:val="0000FF"/>
                <w:sz w:val="18"/>
                <w:szCs w:val="18"/>
              </w:rPr>
              <w:t>）</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color w:val="0000FF"/>
                <w:sz w:val="18"/>
                <w:szCs w:val="18"/>
              </w:rPr>
            </w:pPr>
          </w:p>
        </w:tc>
      </w:tr>
      <w:tr>
        <w:tblPrEx>
          <w:tblBorders>
            <w:top w:val="single" w:color="0000FF" w:sz="6" w:space="0"/>
            <w:left w:val="single" w:color="0000FF" w:sz="6" w:space="0"/>
            <w:bottom w:val="single" w:color="0000FF" w:sz="6" w:space="0"/>
            <w:right w:val="single" w:color="0000FF" w:sz="6" w:space="0"/>
            <w:insideH w:val="none" w:color="auto" w:sz="0" w:space="0"/>
            <w:insideV w:val="none" w:color="auto" w:sz="0" w:space="0"/>
          </w:tblBorders>
          <w:tblLayout w:type="fixed"/>
          <w:tblCellMar>
            <w:top w:w="0" w:type="dxa"/>
            <w:left w:w="108" w:type="dxa"/>
            <w:bottom w:w="0" w:type="dxa"/>
            <w:right w:w="108" w:type="dxa"/>
          </w:tblCellMar>
        </w:tblPrEx>
        <w:trPr>
          <w:trHeight w:val="434" w:hRule="atLeast"/>
          <w:jc w:val="center"/>
        </w:trPr>
        <w:tc>
          <w:tcPr>
            <w:tcW w:w="10539" w:type="dxa"/>
            <w:gridSpan w:val="2"/>
            <w:tcBorders>
              <w:bottom w:val="single" w:color="3333FF" w:sz="6" w:space="0"/>
            </w:tcBorders>
          </w:tcPr>
          <w:p>
            <w:pPr>
              <w:widowControl w:val="0"/>
              <w:spacing w:line="300" w:lineRule="exact"/>
              <w:jc w:val="center"/>
              <w:rPr>
                <w:rFonts w:ascii="Calibri" w:hAnsi="黑体" w:eastAsia="黑体" w:cs="Calibri"/>
                <w:b/>
                <w:bCs/>
                <w:color w:val="0000FF"/>
                <w:kern w:val="0"/>
              </w:rPr>
            </w:pPr>
          </w:p>
          <w:p>
            <w:pPr>
              <w:widowControl w:val="0"/>
              <w:spacing w:line="300" w:lineRule="exact"/>
              <w:jc w:val="center"/>
              <w:rPr>
                <w:rFonts w:ascii="Calibri" w:hAnsi="黑体" w:eastAsia="黑体" w:cs="Calibri"/>
                <w:b/>
                <w:bCs/>
                <w:color w:val="0000FF"/>
                <w:kern w:val="0"/>
                <w:sz w:val="24"/>
                <w:szCs w:val="24"/>
              </w:rPr>
            </w:pPr>
            <w:r>
              <w:rPr>
                <w:rFonts w:hint="eastAsia" w:ascii="Calibri" w:hAnsi="黑体" w:eastAsia="黑体" w:cs="黑体"/>
                <w:b/>
                <w:bCs/>
                <w:color w:val="0000FF"/>
                <w:kern w:val="0"/>
                <w:sz w:val="24"/>
                <w:szCs w:val="24"/>
              </w:rPr>
              <w:t>四、节材与材料资源利用技术措施</w:t>
            </w:r>
          </w:p>
          <w:p>
            <w:pPr>
              <w:widowControl w:val="0"/>
              <w:spacing w:line="240" w:lineRule="exact"/>
              <w:ind w:firstLine="3242" w:firstLineChars="1800"/>
              <w:rPr>
                <w:rFonts w:ascii="Calibri" w:eastAsia="Times New Roman" w:cs="Calibri"/>
                <w:b/>
                <w:bCs/>
                <w:color w:val="0000FF"/>
                <w:sz w:val="18"/>
                <w:szCs w:val="18"/>
              </w:rPr>
            </w:pPr>
          </w:p>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必须说明内容（控制项）</w:t>
            </w:r>
          </w:p>
          <w:p>
            <w:pPr>
              <w:widowControl w:val="0"/>
              <w:spacing w:line="240" w:lineRule="exact"/>
              <w:rPr>
                <w:rFonts w:ascii="Calibri" w:hAnsi="黑体" w:eastAsia="黑体" w:cs="Calibri"/>
                <w:b/>
                <w:bCs/>
                <w:color w:val="0000FF"/>
                <w:kern w:val="0"/>
                <w:sz w:val="18"/>
                <w:szCs w:val="18"/>
              </w:rPr>
            </w:pPr>
          </w:p>
          <w:p>
            <w:pPr>
              <w:widowControl w:val="0"/>
              <w:spacing w:line="240" w:lineRule="exact"/>
              <w:rPr>
                <w:rFonts w:ascii="Calibri" w:hAnsi="黑体" w:eastAsia="黑体" w:cs="Calibri"/>
                <w:b/>
                <w:bCs/>
                <w:color w:val="0000FF"/>
                <w:kern w:val="0"/>
                <w:sz w:val="18"/>
                <w:szCs w:val="18"/>
              </w:rPr>
            </w:pPr>
            <w:r>
              <w:rPr>
                <w:rFonts w:hint="eastAsia" w:ascii="Calibri" w:hAnsi="黑体" w:eastAsia="黑体" w:cs="黑体"/>
                <w:b/>
                <w:bCs/>
                <w:color w:val="0000FF"/>
                <w:kern w:val="0"/>
                <w:sz w:val="18"/>
                <w:szCs w:val="18"/>
              </w:rPr>
              <w:t>建筑专业</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 xml:space="preserve"> 7.1.1</w:t>
            </w:r>
            <w:r>
              <w:rPr>
                <w:rFonts w:hint="eastAsia" w:ascii="黑体" w:hAnsi="Calibri" w:eastAsia="黑体" w:cs="黑体"/>
                <w:color w:val="0000FF"/>
                <w:sz w:val="18"/>
                <w:szCs w:val="18"/>
                <w:bdr w:val="single" w:color="0000FF" w:sz="4" w:space="0"/>
              </w:rPr>
              <w:t>不得采用国家和地方禁止和限制使用的建筑材料及制品。</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技术措施说明：本项目未采用国家和地方禁止和限制使用的建筑材料及制品，项目主要采用的建筑材料：</w:t>
            </w:r>
            <w:r>
              <w:rPr>
                <w:rFonts w:ascii="宋体" w:hAnsi="宋体"/>
                <w:color w:val="0000FF"/>
                <w:sz w:val="18"/>
                <w:szCs w:val="18"/>
              </w:rPr>
              <w:t xml:space="preserve">  </w:t>
            </w:r>
            <w:r>
              <w:rPr>
                <w:rFonts w:hint="eastAsia" w:ascii="宋体" w:hAnsi="宋体"/>
                <w:color w:val="0000FF"/>
                <w:sz w:val="18"/>
                <w:szCs w:val="18"/>
              </w:rPr>
              <w:t>加气混凝土砌块、</w:t>
            </w:r>
            <w:r>
              <w:rPr>
                <w:rFonts w:hint="eastAsia" w:ascii="宋体" w:hAnsi="宋体"/>
                <w:color w:val="0000FF"/>
                <w:sz w:val="18"/>
                <w:szCs w:val="18"/>
                <w:lang w:val="en-US" w:eastAsia="zh-CN"/>
              </w:rPr>
              <w:t>钢筋混凝土</w:t>
            </w:r>
            <w:r>
              <w:rPr>
                <w:rFonts w:hint="eastAsia" w:ascii="宋体" w:hAnsi="宋体"/>
                <w:color w:val="0000FF"/>
                <w:sz w:val="18"/>
                <w:szCs w:val="18"/>
              </w:rPr>
              <w:t>等。</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hint="eastAsia" w:ascii="宋体" w:hAnsi="宋体"/>
                <w:color w:val="0000FF"/>
                <w:sz w:val="18"/>
                <w:szCs w:val="18"/>
              </w:rPr>
              <w:t>设计图纸（建筑、建施</w:t>
            </w:r>
            <w:r>
              <w:rPr>
                <w:rFonts w:ascii="宋体" w:hAnsi="Calibri"/>
                <w:color w:val="0000FF"/>
                <w:sz w:val="18"/>
                <w:szCs w:val="18"/>
              </w:rPr>
              <w:t>-</w:t>
            </w:r>
            <w:r>
              <w:rPr>
                <w:rFonts w:ascii="宋体"/>
                <w:color w:val="0000FF"/>
                <w:sz w:val="18"/>
                <w:szCs w:val="18"/>
              </w:rPr>
              <w:t>0</w:t>
            </w:r>
            <w:r>
              <w:rPr>
                <w:rFonts w:ascii="宋体" w:hAnsi="宋体"/>
                <w:color w:val="0000FF"/>
                <w:sz w:val="18"/>
                <w:szCs w:val="18"/>
              </w:rPr>
              <w:t>1</w:t>
            </w:r>
            <w:r>
              <w:rPr>
                <w:rFonts w:hint="eastAsia" w:ascii="宋体" w:hAnsi="宋体"/>
                <w:color w:val="0000FF"/>
                <w:sz w:val="18"/>
                <w:szCs w:val="18"/>
              </w:rPr>
              <w:t>）</w:t>
            </w:r>
          </w:p>
          <w:p>
            <w:pPr>
              <w:widowControl w:val="0"/>
              <w:spacing w:line="240" w:lineRule="exact"/>
              <w:rPr>
                <w:rFonts w:ascii="黑体" w:hAnsi="Calibri" w:eastAsia="黑体" w:cs="黑体"/>
                <w:color w:val="0000FF"/>
                <w:sz w:val="18"/>
                <w:szCs w:val="18"/>
                <w:bdr w:val="single" w:color="0000FF" w:sz="4" w:space="0"/>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7.1.3</w:t>
            </w:r>
            <w:r>
              <w:rPr>
                <w:rFonts w:hint="eastAsia" w:ascii="黑体" w:hAnsi="Calibri" w:eastAsia="黑体" w:cs="黑体"/>
                <w:color w:val="0000FF"/>
                <w:sz w:val="18"/>
                <w:szCs w:val="18"/>
                <w:bdr w:val="single" w:color="0000FF" w:sz="4" w:space="0"/>
              </w:rPr>
              <w:t>建筑造型要素应简约，且无大量装饰性构件。</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技术措施说明：本建筑造型要素简约</w:t>
            </w:r>
            <w:r>
              <w:rPr>
                <w:rFonts w:ascii="宋体" w:hAnsi="Calibri"/>
                <w:color w:val="0000FF"/>
                <w:sz w:val="18"/>
                <w:szCs w:val="18"/>
              </w:rPr>
              <w:t>,</w:t>
            </w:r>
            <w:r>
              <w:rPr>
                <w:rFonts w:hint="eastAsia" w:ascii="宋体" w:hAnsi="宋体"/>
                <w:color w:val="0000FF"/>
                <w:sz w:val="18"/>
                <w:szCs w:val="18"/>
              </w:rPr>
              <w:t>无装饰性构件。</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证明材料：□装饰性构件工程造价比例计算书；</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设计图纸（建筑、建施</w:t>
            </w:r>
            <w:r>
              <w:rPr>
                <w:rFonts w:ascii="宋体" w:hAnsi="Calibri"/>
                <w:color w:val="0000FF"/>
                <w:sz w:val="18"/>
                <w:szCs w:val="18"/>
              </w:rPr>
              <w:t>-</w:t>
            </w:r>
            <w:r>
              <w:rPr>
                <w:rFonts w:ascii="宋体" w:hAnsi="宋体"/>
                <w:color w:val="0000FF"/>
                <w:sz w:val="18"/>
                <w:szCs w:val="18"/>
              </w:rPr>
              <w:t>01</w:t>
            </w:r>
            <w:r>
              <w:rPr>
                <w:rFonts w:hint="eastAsia" w:ascii="宋体" w:hAnsi="宋体"/>
                <w:color w:val="0000FF"/>
                <w:sz w:val="18"/>
                <w:szCs w:val="18"/>
              </w:rPr>
              <w:t>）</w:t>
            </w:r>
          </w:p>
          <w:p>
            <w:pPr>
              <w:widowControl w:val="0"/>
              <w:spacing w:line="240" w:lineRule="exact"/>
              <w:rPr>
                <w:rFonts w:ascii="Calibri" w:eastAsia="Times New Roman" w:cs="Calibri"/>
                <w:color w:val="0000FF"/>
                <w:sz w:val="18"/>
                <w:szCs w:val="18"/>
              </w:rPr>
            </w:pPr>
          </w:p>
          <w:p>
            <w:pPr>
              <w:widowControl w:val="0"/>
              <w:spacing w:line="240" w:lineRule="exact"/>
              <w:rPr>
                <w:rFonts w:ascii="Calibri" w:hAnsi="黑体" w:eastAsia="黑体" w:cs="Calibri"/>
                <w:b/>
                <w:bCs/>
                <w:color w:val="0000FF"/>
                <w:kern w:val="0"/>
                <w:sz w:val="18"/>
                <w:szCs w:val="18"/>
              </w:rPr>
            </w:pPr>
            <w:r>
              <w:rPr>
                <w:rFonts w:hint="eastAsia" w:ascii="Calibri" w:hAnsi="黑体" w:eastAsia="黑体" w:cs="黑体"/>
                <w:b/>
                <w:bCs/>
                <w:color w:val="0000FF"/>
                <w:kern w:val="0"/>
                <w:sz w:val="18"/>
                <w:szCs w:val="18"/>
              </w:rPr>
              <w:t>结构专业</w:t>
            </w:r>
          </w:p>
          <w:p>
            <w:pPr>
              <w:widowControl w:val="0"/>
              <w:spacing w:line="240" w:lineRule="exact"/>
              <w:rPr>
                <w:rFonts w:ascii="黑体" w:hAnsi="Calibri" w:eastAsia="黑体" w:cs="黑体"/>
                <w:color w:val="0000FF"/>
                <w:sz w:val="18"/>
                <w:szCs w:val="18"/>
                <w:bdr w:val="single" w:color="0000FF" w:sz="4" w:space="0"/>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7.1.2</w:t>
            </w:r>
            <w:r>
              <w:rPr>
                <w:rFonts w:hint="eastAsia" w:ascii="黑体" w:hAnsi="Calibri" w:eastAsia="黑体" w:cs="黑体"/>
                <w:color w:val="0000FF"/>
                <w:sz w:val="18"/>
                <w:szCs w:val="18"/>
                <w:bdr w:val="single" w:color="0000FF" w:sz="4" w:space="0"/>
              </w:rPr>
              <w:t>混凝土结构中梁、柱纵向受力普通钢筋应采用不低于</w:t>
            </w:r>
            <w:r>
              <w:rPr>
                <w:rFonts w:ascii="黑体" w:hAnsi="Calibri" w:eastAsia="黑体" w:cs="黑体"/>
                <w:color w:val="0000FF"/>
                <w:sz w:val="18"/>
                <w:szCs w:val="18"/>
                <w:bdr w:val="single" w:color="0000FF" w:sz="4" w:space="0"/>
              </w:rPr>
              <w:t>400MPa</w:t>
            </w:r>
            <w:r>
              <w:rPr>
                <w:rFonts w:hint="eastAsia" w:ascii="黑体" w:hAnsi="Calibri" w:eastAsia="黑体" w:cs="黑体"/>
                <w:color w:val="0000FF"/>
                <w:sz w:val="18"/>
                <w:szCs w:val="18"/>
                <w:bdr w:val="single" w:color="0000FF" w:sz="4" w:space="0"/>
              </w:rPr>
              <w:t>级的热轧带肋钢筋。</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技术措施说明：按《混凝土结构设计规范》</w:t>
            </w:r>
            <w:r>
              <w:rPr>
                <w:rFonts w:ascii="宋体" w:hAnsi="宋体"/>
                <w:color w:val="0000FF"/>
                <w:sz w:val="18"/>
                <w:szCs w:val="18"/>
              </w:rPr>
              <w:t>GB50010-2010</w:t>
            </w:r>
            <w:r>
              <w:rPr>
                <w:rFonts w:hint="eastAsia" w:ascii="宋体" w:hAnsi="宋体"/>
                <w:color w:val="0000FF"/>
                <w:sz w:val="18"/>
                <w:szCs w:val="18"/>
              </w:rPr>
              <w:t>，本项目梁、柱、纵向受力钢筋</w:t>
            </w:r>
            <w:r>
              <w:rPr>
                <w:rFonts w:hint="eastAsia" w:ascii="宋体" w:hAnsi="宋体"/>
                <w:color w:val="0000FF"/>
                <w:sz w:val="18"/>
                <w:szCs w:val="18"/>
                <w:lang w:val="en-US" w:eastAsia="zh-CN"/>
              </w:rPr>
              <w:t>100</w:t>
            </w:r>
            <w:r>
              <w:rPr>
                <w:rFonts w:ascii="宋体" w:hAnsi="宋体"/>
                <w:color w:val="0000FF"/>
                <w:sz w:val="18"/>
                <w:szCs w:val="18"/>
              </w:rPr>
              <w:t>%</w:t>
            </w:r>
            <w:r>
              <w:rPr>
                <w:rFonts w:hint="eastAsia" w:ascii="宋体" w:hAnsi="宋体"/>
                <w:color w:val="0000FF"/>
                <w:sz w:val="18"/>
                <w:szCs w:val="18"/>
              </w:rPr>
              <w:t>采用</w:t>
            </w:r>
            <w:r>
              <w:rPr>
                <w:rFonts w:hint="eastAsia" w:ascii="宋体" w:hAnsi="宋体"/>
                <w:color w:val="0000FF"/>
                <w:sz w:val="18"/>
                <w:szCs w:val="18"/>
                <w:lang w:val="en-US" w:eastAsia="zh-CN"/>
              </w:rPr>
              <w:t>高强度钢筋</w:t>
            </w:r>
            <w:r>
              <w:rPr>
                <w:rFonts w:hint="eastAsia" w:ascii="宋体" w:hAnsi="宋体"/>
                <w:color w:val="0000FF"/>
                <w:sz w:val="18"/>
                <w:szCs w:val="18"/>
              </w:rPr>
              <w:t>。</w:t>
            </w:r>
            <w:r>
              <w:rPr>
                <w:rFonts w:ascii="宋体" w:hAnsi="Calibri"/>
                <w:color w:val="0000FF"/>
                <w:sz w:val="18"/>
                <w:szCs w:val="18"/>
              </w:rPr>
              <w:t xml:space="preserve"> </w:t>
            </w:r>
          </w:p>
          <w:p>
            <w:pPr>
              <w:widowControl w:val="0"/>
              <w:spacing w:line="240" w:lineRule="exact"/>
              <w:rPr>
                <w:rFonts w:ascii="Calibri" w:eastAsia="Times New Roman" w:cs="Calibri"/>
                <w:color w:val="0000FF"/>
                <w:sz w:val="18"/>
                <w:szCs w:val="18"/>
              </w:rPr>
            </w:pPr>
            <w:r>
              <w:rPr>
                <w:rFonts w:hint="eastAsia" w:ascii="宋体" w:hAnsi="宋体"/>
                <w:color w:val="0000FF"/>
                <w:sz w:val="18"/>
                <w:szCs w:val="18"/>
              </w:rPr>
              <w:t>证明材料：□设计图纸（结构、结施</w:t>
            </w:r>
            <w:r>
              <w:rPr>
                <w:rFonts w:ascii="宋体" w:hAnsi="宋体"/>
                <w:color w:val="0000FF"/>
                <w:sz w:val="18"/>
                <w:szCs w:val="18"/>
              </w:rPr>
              <w:t>01</w:t>
            </w:r>
            <w:r>
              <w:rPr>
                <w:rFonts w:hint="eastAsia" w:ascii="宋体" w:hAnsi="宋体"/>
                <w:color w:val="0000FF"/>
                <w:sz w:val="18"/>
                <w:szCs w:val="18"/>
              </w:rPr>
              <w:t>）</w:t>
            </w:r>
            <w:r>
              <w:rPr>
                <w:rFonts w:ascii="Calibri" w:hAnsi="Calibri" w:cs="Calibri"/>
                <w:color w:val="0000FF"/>
                <w:sz w:val="18"/>
                <w:szCs w:val="18"/>
              </w:rPr>
              <w:sym w:font="Wingdings 2" w:char="F052"/>
            </w:r>
            <w:r>
              <w:rPr>
                <w:rFonts w:hint="eastAsia" w:ascii="宋体" w:hAnsi="宋体"/>
                <w:color w:val="0000FF"/>
                <w:sz w:val="18"/>
                <w:szCs w:val="18"/>
              </w:rPr>
              <w:t>高强度钢比例计算书</w:t>
            </w:r>
          </w:p>
          <w:p>
            <w:pPr>
              <w:widowControl w:val="0"/>
              <w:spacing w:line="240" w:lineRule="exact"/>
              <w:rPr>
                <w:rFonts w:ascii="Calibri" w:eastAsia="Times New Roman" w:cs="Calibri"/>
                <w:color w:val="0000FF"/>
                <w:sz w:val="18"/>
                <w:szCs w:val="18"/>
              </w:rPr>
            </w:pPr>
          </w:p>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自选说明内容（评分项）</w:t>
            </w:r>
          </w:p>
          <w:p>
            <w:pPr>
              <w:widowControl w:val="0"/>
              <w:spacing w:line="240" w:lineRule="exact"/>
              <w:rPr>
                <w:rFonts w:ascii="Calibri" w:hAnsi="黑体" w:eastAsia="黑体" w:cs="Calibri"/>
                <w:b/>
                <w:bCs/>
                <w:color w:val="0000FF"/>
                <w:kern w:val="0"/>
                <w:sz w:val="18"/>
                <w:szCs w:val="18"/>
              </w:rPr>
            </w:pPr>
            <w:r>
              <w:rPr>
                <w:rFonts w:hint="eastAsia" w:ascii="Calibri" w:hAnsi="黑体" w:eastAsia="黑体" w:cs="黑体"/>
                <w:b/>
                <w:bCs/>
                <w:color w:val="0000FF"/>
                <w:kern w:val="0"/>
                <w:sz w:val="18"/>
                <w:szCs w:val="18"/>
              </w:rPr>
              <w:t>建筑专业</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7.2.1</w:t>
            </w:r>
            <w:r>
              <w:rPr>
                <w:rFonts w:hint="eastAsia" w:ascii="黑体" w:hAnsi="Calibri" w:eastAsia="黑体" w:cs="黑体"/>
                <w:color w:val="0000FF"/>
                <w:sz w:val="18"/>
                <w:szCs w:val="18"/>
                <w:bdr w:val="single" w:color="0000FF" w:sz="4" w:space="0"/>
              </w:rPr>
              <w:t>择优选用建筑形体。</w:t>
            </w:r>
            <w:r>
              <w:rPr>
                <w:rFonts w:hint="eastAsia" w:ascii="黑体" w:hAnsi="宋体" w:eastAsia="黑体" w:cs="黑体"/>
                <w:color w:val="0000FF"/>
                <w:sz w:val="18"/>
                <w:szCs w:val="18"/>
              </w:rPr>
              <w:t>（</w:t>
            </w:r>
            <w:r>
              <w:rPr>
                <w:rFonts w:ascii="黑体" w:hAnsi="宋体" w:eastAsia="黑体" w:cs="黑体"/>
                <w:color w:val="0000FF"/>
                <w:sz w:val="18"/>
                <w:szCs w:val="18"/>
              </w:rPr>
              <w:t>3</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技术措施说明：经判定，本项目建筑属于国家标准《建筑抗震设计规范</w:t>
            </w:r>
            <w:r>
              <w:rPr>
                <w:rFonts w:ascii="宋体" w:hAnsi="宋体"/>
                <w:color w:val="0000FF"/>
                <w:sz w:val="18"/>
                <w:szCs w:val="18"/>
              </w:rPr>
              <w:t>GB50011-2010</w:t>
            </w:r>
            <w:r>
              <w:rPr>
                <w:rFonts w:hint="eastAsia" w:ascii="宋体" w:hAnsi="宋体"/>
                <w:color w:val="0000FF"/>
                <w:sz w:val="18"/>
                <w:szCs w:val="18"/>
              </w:rPr>
              <w:t>》规定的建筑形体不规则。</w:t>
            </w:r>
          </w:p>
          <w:p>
            <w:pPr>
              <w:widowControl w:val="0"/>
              <w:spacing w:line="240" w:lineRule="exact"/>
              <w:rPr>
                <w:rFonts w:ascii="Calibri" w:eastAsia="Times New Roman" w:cs="Calibri"/>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建筑形体报告</w:t>
            </w:r>
            <w:r>
              <w:rPr>
                <w:rFonts w:ascii="宋体" w:hAnsi="宋体"/>
                <w:color w:val="0000FF"/>
                <w:sz w:val="18"/>
                <w:szCs w:val="18"/>
              </w:rPr>
              <w:t xml:space="preserve"> </w:t>
            </w:r>
            <w:r>
              <w:rPr>
                <w:rFonts w:hint="eastAsia" w:ascii="宋体" w:hAnsi="宋体"/>
                <w:color w:val="0000FF"/>
                <w:sz w:val="18"/>
                <w:szCs w:val="18"/>
              </w:rPr>
              <w:t>□设计图纸（结构</w:t>
            </w:r>
            <w:r>
              <w:rPr>
                <w:rFonts w:ascii="宋体" w:hAnsi="宋体"/>
                <w:color w:val="0000FF"/>
                <w:sz w:val="18"/>
                <w:szCs w:val="18"/>
              </w:rPr>
              <w:t>/</w:t>
            </w:r>
            <w:r>
              <w:rPr>
                <w:rFonts w:hint="eastAsia" w:ascii="宋体" w:hAnsi="宋体"/>
                <w:color w:val="0000FF"/>
                <w:sz w:val="18"/>
                <w:szCs w:val="18"/>
              </w:rPr>
              <w:t>图号）</w:t>
            </w:r>
          </w:p>
          <w:p>
            <w:pPr>
              <w:widowControl w:val="0"/>
              <w:spacing w:line="240" w:lineRule="exact"/>
              <w:rPr>
                <w:rFonts w:ascii="黑体" w:hAnsi="宋体" w:eastAsia="黑体" w:cs="黑体"/>
                <w:color w:val="8EAADB"/>
                <w:sz w:val="18"/>
                <w:szCs w:val="18"/>
              </w:rPr>
            </w:pPr>
            <w:r>
              <w:rPr>
                <w:rFonts w:ascii="Calibri" w:hAnsi="Calibri" w:cs="Calibri"/>
                <w:color w:val="0000FF"/>
                <w:sz w:val="18"/>
                <w:szCs w:val="18"/>
              </w:rPr>
              <w:sym w:font="Wingdings 2" w:char="F052"/>
            </w:r>
            <w:r>
              <w:rPr>
                <w:rFonts w:ascii="黑体" w:hAnsi="宋体" w:eastAsia="黑体" w:cs="黑体"/>
                <w:color w:val="8EAADB"/>
                <w:sz w:val="18"/>
                <w:szCs w:val="18"/>
              </w:rPr>
              <w:t xml:space="preserve"> </w:t>
            </w:r>
            <w:r>
              <w:rPr>
                <w:rFonts w:hint="eastAsia" w:ascii="黑体" w:hAnsi="Calibri" w:eastAsia="黑体" w:cs="黑体"/>
                <w:color w:val="0000FF"/>
                <w:sz w:val="18"/>
                <w:szCs w:val="18"/>
                <w:bdr w:val="single" w:color="0000FF" w:sz="4" w:space="0"/>
              </w:rPr>
              <w:t>7.2.3土建工程与装修工程一体化设计。</w:t>
            </w:r>
            <w:r>
              <w:rPr>
                <w:rFonts w:hint="eastAsia" w:ascii="黑体" w:hAnsi="宋体" w:eastAsia="黑体" w:cs="黑体"/>
                <w:color w:val="0000FF"/>
                <w:sz w:val="18"/>
                <w:szCs w:val="18"/>
              </w:rPr>
              <w:t>（</w:t>
            </w:r>
            <w:r>
              <w:rPr>
                <w:rFonts w:hint="eastAsia" w:ascii="黑体" w:hAnsi="宋体" w:eastAsia="黑体" w:cs="黑体"/>
                <w:color w:val="0000FF"/>
                <w:sz w:val="18"/>
                <w:szCs w:val="18"/>
                <w:lang w:val="en-US" w:eastAsia="zh-CN"/>
              </w:rPr>
              <w:t>10</w:t>
            </w:r>
            <w:r>
              <w:rPr>
                <w:rFonts w:hint="eastAsia" w:ascii="黑体" w:hAnsi="宋体" w:eastAsia="黑体" w:cs="黑体"/>
                <w:color w:val="0000FF"/>
                <w:sz w:val="18"/>
                <w:szCs w:val="18"/>
              </w:rPr>
              <w:t>分）</w:t>
            </w:r>
          </w:p>
          <w:p>
            <w:pPr>
              <w:widowControl w:val="0"/>
              <w:spacing w:line="240" w:lineRule="exact"/>
              <w:rPr>
                <w:rFonts w:hint="default" w:ascii="宋体" w:hAnsi="宋体"/>
                <w:color w:val="0000FF"/>
                <w:sz w:val="18"/>
                <w:szCs w:val="18"/>
                <w:lang w:val="en-US" w:eastAsia="zh-CN"/>
              </w:rPr>
            </w:pPr>
            <w:r>
              <w:rPr>
                <w:rFonts w:hint="eastAsia" w:ascii="宋体" w:hAnsi="宋体"/>
                <w:color w:val="0000FF"/>
                <w:sz w:val="18"/>
                <w:szCs w:val="18"/>
              </w:rPr>
              <w:t xml:space="preserve">技术措施说明: </w:t>
            </w:r>
            <w:r>
              <w:rPr>
                <w:rFonts w:hint="eastAsia" w:ascii="宋体" w:hAnsi="宋体"/>
                <w:color w:val="0000FF"/>
                <w:sz w:val="18"/>
                <w:szCs w:val="18"/>
                <w:lang w:val="en-US" w:eastAsia="zh-CN"/>
              </w:rPr>
              <w:t>项目为学校建筑，所有部位进行土建装修一体化设计。</w:t>
            </w:r>
          </w:p>
          <w:p>
            <w:pPr>
              <w:widowControl w:val="0"/>
              <w:spacing w:line="240" w:lineRule="exact"/>
              <w:rPr>
                <w:rFonts w:hint="eastAsia" w:ascii="宋体" w:hAnsi="宋体"/>
                <w:color w:val="0000FF"/>
                <w:sz w:val="18"/>
                <w:szCs w:val="18"/>
              </w:rPr>
            </w:pPr>
            <w:r>
              <w:rPr>
                <w:rFonts w:hint="eastAsia" w:ascii="宋体" w:hAnsi="宋体"/>
                <w:color w:val="0000FF"/>
                <w:sz w:val="18"/>
                <w:szCs w:val="18"/>
              </w:rPr>
              <w:t>证明材料：</w:t>
            </w:r>
            <w:r>
              <w:rPr>
                <w:rFonts w:hint="eastAsia" w:ascii="宋体" w:hAnsi="宋体"/>
                <w:color w:val="0000FF"/>
                <w:sz w:val="18"/>
                <w:szCs w:val="18"/>
              </w:rPr>
              <w:sym w:font="Wingdings 2" w:char="F052"/>
            </w:r>
            <w:r>
              <w:rPr>
                <w:rFonts w:hint="eastAsia" w:ascii="宋体" w:hAnsi="宋体"/>
                <w:color w:val="0000FF"/>
                <w:sz w:val="18"/>
                <w:szCs w:val="18"/>
              </w:rPr>
              <w:t>设计图纸（建筑、建施-01）</w:t>
            </w:r>
          </w:p>
          <w:p>
            <w:pPr>
              <w:widowControl w:val="0"/>
              <w:spacing w:line="240" w:lineRule="exact"/>
              <w:rPr>
                <w:rFonts w:hint="eastAsia"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黑体" w:hAnsi="宋体" w:eastAsia="黑体" w:cs="黑体"/>
                <w:color w:val="8EAADB"/>
                <w:sz w:val="18"/>
                <w:szCs w:val="18"/>
              </w:rPr>
              <w:t xml:space="preserve"> </w:t>
            </w:r>
            <w:r>
              <w:rPr>
                <w:rFonts w:hint="eastAsia" w:ascii="黑体" w:hAnsi="宋体" w:eastAsia="黑体" w:cs="黑体"/>
                <w:color w:val="0000FF"/>
                <w:sz w:val="18"/>
                <w:szCs w:val="18"/>
              </w:rPr>
              <w:t>7.2.4公共建筑中可变换功能的室内空间采用可重复使用的隔断（墙）。</w:t>
            </w:r>
          </w:p>
          <w:p>
            <w:pPr>
              <w:widowControl w:val="0"/>
              <w:spacing w:line="240" w:lineRule="exact"/>
              <w:rPr>
                <w:rFonts w:hint="eastAsia" w:ascii="宋体" w:hAnsi="宋体"/>
                <w:color w:val="0000FF"/>
                <w:sz w:val="18"/>
                <w:szCs w:val="18"/>
                <w:lang w:val="en-US" w:eastAsia="zh-CN"/>
              </w:rPr>
            </w:pPr>
            <w:r>
              <w:rPr>
                <w:rFonts w:hint="eastAsia" w:ascii="宋体" w:hAnsi="宋体"/>
                <w:color w:val="0000FF"/>
                <w:sz w:val="18"/>
                <w:szCs w:val="18"/>
                <w:lang w:val="en-US" w:eastAsia="zh-CN"/>
              </w:rPr>
              <w:t xml:space="preserve">技术措施说明：本项目无可变换功能的空间，可不参评。 </w:t>
            </w:r>
          </w:p>
          <w:p>
            <w:pPr>
              <w:widowControl w:val="0"/>
              <w:spacing w:line="240" w:lineRule="exact"/>
              <w:rPr>
                <w:rFonts w:hint="eastAsia" w:ascii="宋体" w:hAnsi="宋体"/>
                <w:color w:val="0000FF"/>
                <w:sz w:val="18"/>
                <w:szCs w:val="18"/>
                <w:lang w:val="en-US" w:eastAsia="zh-CN"/>
              </w:rPr>
            </w:pPr>
            <w:r>
              <w:rPr>
                <w:rFonts w:hint="eastAsia" w:ascii="宋体" w:hAnsi="宋体"/>
                <w:color w:val="0000FF"/>
                <w:sz w:val="18"/>
                <w:szCs w:val="18"/>
                <w:lang w:val="en-US" w:eastAsia="zh-CN"/>
              </w:rPr>
              <w:t>证明材料：□可重复使用隔断（墙）面积比例计算书；□设计图纸（专业、图号）</w:t>
            </w:r>
          </w:p>
          <w:p>
            <w:pPr>
              <w:widowControl w:val="0"/>
              <w:spacing w:line="240" w:lineRule="exact"/>
              <w:rPr>
                <w:rFonts w:ascii="宋体" w:hAnsi="Calibri"/>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7.2.5</w:t>
            </w:r>
            <w:r>
              <w:rPr>
                <w:rFonts w:hint="eastAsia" w:ascii="黑体" w:hAnsi="宋体" w:eastAsia="黑体" w:cs="黑体"/>
                <w:color w:val="8EAADB"/>
                <w:sz w:val="18"/>
                <w:szCs w:val="18"/>
              </w:rPr>
              <w:t>采用工业化生产的预制构件。（结构专业辅助）</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证明材料：□预制构件用量比例计算书；□设计图纸（专业、图号）</w:t>
            </w:r>
          </w:p>
          <w:p>
            <w:pPr>
              <w:widowControl w:val="0"/>
              <w:spacing w:line="240" w:lineRule="exact"/>
              <w:rPr>
                <w:rFonts w:ascii="黑体" w:hAnsi="宋体" w:eastAsia="黑体" w:cs="黑体"/>
                <w:color w:val="8EAADB"/>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hint="eastAsia" w:ascii="黑体" w:hAnsi="宋体" w:eastAsia="黑体" w:cs="黑体"/>
                <w:color w:val="0000FF"/>
                <w:sz w:val="18"/>
                <w:szCs w:val="18"/>
              </w:rPr>
              <w:t>7.2.6采用整体化定型设计的厨房、卫浴间。（装修辅助）</w:t>
            </w:r>
          </w:p>
          <w:p>
            <w:pPr>
              <w:widowControl w:val="0"/>
              <w:spacing w:line="240" w:lineRule="exact"/>
              <w:rPr>
                <w:rFonts w:hint="eastAsia" w:ascii="宋体" w:hAnsi="宋体"/>
                <w:color w:val="0000FF"/>
                <w:sz w:val="18"/>
                <w:szCs w:val="18"/>
                <w:lang w:val="en-US" w:eastAsia="zh-CN"/>
              </w:rPr>
            </w:pPr>
            <w:r>
              <w:rPr>
                <w:rFonts w:hint="eastAsia" w:ascii="宋体" w:hAnsi="宋体"/>
                <w:color w:val="0000FF"/>
                <w:sz w:val="18"/>
                <w:szCs w:val="18"/>
                <w:lang w:val="en-US" w:eastAsia="zh-CN"/>
              </w:rPr>
              <w:t>技术措施说明：公共建筑不参评。</w:t>
            </w:r>
          </w:p>
          <w:p>
            <w:pPr>
              <w:widowControl w:val="0"/>
              <w:spacing w:line="240" w:lineRule="exact"/>
              <w:rPr>
                <w:rFonts w:hint="eastAsia" w:ascii="宋体" w:hAnsi="宋体"/>
                <w:color w:val="0000FF"/>
                <w:sz w:val="18"/>
                <w:szCs w:val="18"/>
                <w:lang w:val="en-US" w:eastAsia="zh-CN"/>
              </w:rPr>
            </w:pPr>
            <w:r>
              <w:rPr>
                <w:rFonts w:hint="eastAsia" w:ascii="宋体" w:hAnsi="宋体"/>
                <w:color w:val="0000FF"/>
                <w:sz w:val="18"/>
                <w:szCs w:val="18"/>
                <w:lang w:val="en-US" w:eastAsia="zh-CN"/>
              </w:rPr>
              <w:t>证明材料：□设计图纸（专业、图号）</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Calibri" w:hAnsi="Calibri" w:cs="Calibri"/>
                <w:color w:val="0000FF"/>
                <w:sz w:val="18"/>
                <w:szCs w:val="18"/>
              </w:rPr>
              <w:t xml:space="preserve"> </w:t>
            </w:r>
            <w:r>
              <w:rPr>
                <w:rFonts w:ascii="黑体" w:hAnsi="Calibri" w:eastAsia="黑体" w:cs="黑体"/>
                <w:color w:val="0000FF"/>
                <w:sz w:val="18"/>
                <w:szCs w:val="18"/>
                <w:bdr w:val="single" w:color="0000FF" w:sz="4" w:space="0"/>
              </w:rPr>
              <w:t>7.2.12</w:t>
            </w:r>
            <w:r>
              <w:rPr>
                <w:rFonts w:hint="eastAsia" w:ascii="黑体" w:hAnsi="Calibri" w:eastAsia="黑体" w:cs="黑体"/>
                <w:color w:val="0000FF"/>
                <w:sz w:val="18"/>
                <w:szCs w:val="18"/>
                <w:bdr w:val="single" w:color="0000FF" w:sz="4" w:space="0"/>
              </w:rPr>
              <w:t>采用可再利用材料和可再循环材料。</w:t>
            </w:r>
            <w:r>
              <w:rPr>
                <w:rFonts w:hint="eastAsia" w:ascii="黑体" w:hAnsi="宋体" w:eastAsia="黑体" w:cs="黑体"/>
                <w:color w:val="0000FF"/>
                <w:sz w:val="18"/>
                <w:szCs w:val="18"/>
              </w:rPr>
              <w:t>（</w:t>
            </w:r>
            <w:r>
              <w:rPr>
                <w:rFonts w:ascii="黑体" w:hAnsi="宋体" w:eastAsia="黑体" w:cs="黑体"/>
                <w:color w:val="0000FF"/>
                <w:sz w:val="18"/>
                <w:szCs w:val="18"/>
              </w:rPr>
              <w:t>8</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hint="eastAsia" w:ascii="宋体" w:hAnsi="Calibri"/>
                <w:color w:val="0000FF"/>
                <w:sz w:val="18"/>
                <w:szCs w:val="18"/>
              </w:rPr>
              <w:t>建筑可再循环材料使用重量：</w:t>
            </w:r>
            <w:r>
              <w:rPr>
                <w:rFonts w:hint="eastAsia" w:ascii="宋体" w:hAnsi="Calibri"/>
                <w:color w:val="0000FF"/>
                <w:sz w:val="18"/>
                <w:szCs w:val="18"/>
                <w:lang w:val="en-US" w:eastAsia="zh-CN"/>
              </w:rPr>
              <w:t>187.59</w:t>
            </w:r>
            <w:r>
              <w:rPr>
                <w:rFonts w:ascii="宋体" w:hAnsi="Calibri"/>
                <w:color w:val="0000FF"/>
                <w:sz w:val="18"/>
                <w:szCs w:val="18"/>
              </w:rPr>
              <w:t xml:space="preserve"> </w:t>
            </w:r>
            <w:r>
              <w:rPr>
                <w:rFonts w:hint="eastAsia" w:ascii="宋体" w:hAnsi="Calibri"/>
                <w:color w:val="0000FF"/>
                <w:sz w:val="18"/>
                <w:szCs w:val="18"/>
              </w:rPr>
              <w:t>吨；所有建筑材料总重量：</w:t>
            </w:r>
            <w:r>
              <w:rPr>
                <w:rFonts w:hint="eastAsia" w:ascii="宋体" w:hAnsi="Calibri"/>
                <w:color w:val="0000FF"/>
                <w:sz w:val="18"/>
                <w:szCs w:val="18"/>
                <w:lang w:val="en-US" w:eastAsia="zh-CN"/>
              </w:rPr>
              <w:t>1744.17</w:t>
            </w:r>
            <w:r>
              <w:rPr>
                <w:rFonts w:hint="eastAsia" w:ascii="宋体" w:hAnsi="Calibri"/>
                <w:color w:val="0000FF"/>
                <w:sz w:val="18"/>
                <w:szCs w:val="18"/>
              </w:rPr>
              <w:t>吨；公建+居建可再循环材料</w:t>
            </w:r>
            <w:r>
              <w:rPr>
                <w:rFonts w:hint="eastAsia" w:ascii="宋体" w:hAnsi="宋体"/>
                <w:color w:val="0000FF"/>
                <w:sz w:val="18"/>
                <w:szCs w:val="18"/>
              </w:rPr>
              <w:t>比例达</w:t>
            </w:r>
            <w:r>
              <w:rPr>
                <w:rFonts w:hint="eastAsia" w:ascii="宋体" w:hAnsi="Calibri"/>
                <w:color w:val="0000FF"/>
                <w:sz w:val="18"/>
                <w:szCs w:val="18"/>
                <w:lang w:val="en-US" w:eastAsia="zh-CN"/>
              </w:rPr>
              <w:t>10.75</w:t>
            </w:r>
            <w:r>
              <w:rPr>
                <w:rFonts w:ascii="宋体" w:hAnsi="Calibri"/>
                <w:color w:val="0000FF"/>
                <w:sz w:val="18"/>
                <w:szCs w:val="18"/>
              </w:rPr>
              <w:t>%</w:t>
            </w:r>
            <w:r>
              <w:rPr>
                <w:rFonts w:hint="eastAsia" w:ascii="宋体" w:hAnsi="Calibri"/>
                <w:color w:val="0000FF"/>
                <w:sz w:val="18"/>
                <w:szCs w:val="18"/>
              </w:rPr>
              <w:t>。</w:t>
            </w:r>
          </w:p>
          <w:p>
            <w:pPr>
              <w:widowControl w:val="0"/>
              <w:spacing w:line="240" w:lineRule="exact"/>
              <w:rPr>
                <w:rFonts w:ascii="Calibri" w:hAnsi="黑体" w:eastAsia="黑体" w:cs="Calibri"/>
                <w:b/>
                <w:bCs/>
                <w:color w:val="0000FF"/>
                <w:kern w:val="0"/>
                <w:sz w:val="18"/>
                <w:szCs w:val="18"/>
              </w:rPr>
            </w:pPr>
            <w:r>
              <w:rPr>
                <w:rFonts w:hint="eastAsia" w:ascii="宋体" w:hAnsi="宋体"/>
                <w:color w:val="0000FF"/>
                <w:sz w:val="18"/>
                <w:szCs w:val="18"/>
              </w:rPr>
              <w:t>证明材料：</w:t>
            </w:r>
            <w:r>
              <w:rPr>
                <w:rFonts w:ascii="Calibri" w:hAnsi="Calibri" w:cs="Calibri"/>
                <w:color w:val="0000FF"/>
                <w:sz w:val="18"/>
                <w:szCs w:val="18"/>
              </w:rPr>
              <w:sym w:font="Wingdings 2" w:char="F052"/>
            </w:r>
            <w:r>
              <w:rPr>
                <w:rFonts w:hint="eastAsia" w:ascii="宋体" w:hAnsi="宋体"/>
                <w:color w:val="0000FF"/>
                <w:sz w:val="18"/>
                <w:szCs w:val="18"/>
              </w:rPr>
              <w:t>可再循环材料比例计算书；□设计图纸（专业、图号）</w:t>
            </w:r>
          </w:p>
          <w:p>
            <w:pPr>
              <w:widowControl w:val="0"/>
              <w:spacing w:line="240" w:lineRule="exact"/>
              <w:rPr>
                <w:rFonts w:ascii="Calibri" w:hAnsi="黑体" w:eastAsia="黑体" w:cs="Calibri"/>
                <w:b/>
                <w:bCs/>
                <w:color w:val="0000FF"/>
                <w:kern w:val="0"/>
                <w:sz w:val="18"/>
                <w:szCs w:val="18"/>
              </w:rPr>
            </w:pPr>
          </w:p>
          <w:p>
            <w:pPr>
              <w:widowControl w:val="0"/>
              <w:spacing w:line="240" w:lineRule="exact"/>
              <w:rPr>
                <w:rFonts w:ascii="Calibri" w:hAnsi="黑体" w:eastAsia="黑体" w:cs="Calibri"/>
                <w:b/>
                <w:bCs/>
                <w:color w:val="0000FF"/>
                <w:kern w:val="0"/>
                <w:sz w:val="18"/>
                <w:szCs w:val="18"/>
              </w:rPr>
            </w:pPr>
            <w:r>
              <w:rPr>
                <w:rFonts w:hint="eastAsia" w:ascii="Calibri" w:hAnsi="黑体" w:eastAsia="黑体" w:cs="黑体"/>
                <w:b/>
                <w:bCs/>
                <w:color w:val="0000FF"/>
                <w:kern w:val="0"/>
                <w:sz w:val="18"/>
                <w:szCs w:val="18"/>
              </w:rPr>
              <w:t>结构专业</w:t>
            </w:r>
          </w:p>
          <w:p>
            <w:pPr>
              <w:widowControl w:val="0"/>
              <w:spacing w:line="240" w:lineRule="exact"/>
              <w:rPr>
                <w:rFonts w:ascii="黑体" w:hAnsi="Calibri" w:eastAsia="黑体" w:cs="黑体"/>
                <w:color w:val="8EAADB"/>
                <w:sz w:val="18"/>
                <w:szCs w:val="18"/>
              </w:rPr>
            </w:pPr>
            <w:r>
              <w:rPr>
                <w:rFonts w:ascii="黑体" w:hAnsi="Calibri" w:eastAsia="黑体" w:cs="黑体"/>
                <w:color w:val="8EAADB"/>
                <w:sz w:val="18"/>
                <w:szCs w:val="18"/>
              </w:rPr>
              <w:fldChar w:fldCharType="begin"/>
            </w:r>
            <w:r>
              <w:rPr>
                <w:rFonts w:ascii="黑体" w:hAnsi="Calibri" w:eastAsia="黑体" w:cs="黑体"/>
                <w:color w:val="8EAADB"/>
                <w:sz w:val="18"/>
                <w:szCs w:val="18"/>
              </w:rPr>
              <w:instrText xml:space="preserve"> eq \o\ac(</w:instrText>
            </w:r>
            <w:r>
              <w:rPr>
                <w:rFonts w:hint="eastAsia" w:ascii="黑体" w:hAnsi="Calibri" w:eastAsia="黑体" w:cs="黑体"/>
                <w:color w:val="8EAADB"/>
                <w:sz w:val="18"/>
                <w:szCs w:val="18"/>
              </w:rPr>
              <w:instrText xml:space="preserve">□</w:instrText>
            </w:r>
            <w:r>
              <w:rPr>
                <w:rFonts w:ascii="黑体" w:hAnsi="Calibri" w:eastAsia="黑体" w:cs="黑体"/>
                <w:color w:val="8EAADB"/>
                <w:sz w:val="18"/>
                <w:szCs w:val="18"/>
              </w:rPr>
              <w:instrText xml:space="preserve">,</w:instrText>
            </w:r>
            <w:r>
              <w:rPr>
                <w:rFonts w:hint="eastAsia" w:ascii="黑体" w:hAnsi="Calibri" w:eastAsia="黑体" w:cs="黑体"/>
                <w:color w:val="8EAADB"/>
                <w:sz w:val="18"/>
                <w:szCs w:val="18"/>
              </w:rPr>
              <w:instrText xml:space="preserve">×</w:instrText>
            </w:r>
            <w:r>
              <w:rPr>
                <w:rFonts w:ascii="黑体" w:hAnsi="Calibri" w:eastAsia="黑体" w:cs="黑体"/>
                <w:color w:val="8EAADB"/>
                <w:sz w:val="18"/>
                <w:szCs w:val="18"/>
              </w:rPr>
              <w:instrText xml:space="preserve">)</w:instrText>
            </w:r>
            <w:r>
              <w:rPr>
                <w:rFonts w:ascii="黑体" w:hAnsi="Calibri" w:eastAsia="黑体" w:cs="黑体"/>
                <w:color w:val="8EAADB"/>
                <w:sz w:val="18"/>
                <w:szCs w:val="18"/>
              </w:rPr>
              <w:fldChar w:fldCharType="end"/>
            </w:r>
            <w:r>
              <w:rPr>
                <w:rFonts w:ascii="黑体" w:hAnsi="Calibri" w:eastAsia="黑体" w:cs="黑体"/>
                <w:color w:val="8EAADB"/>
                <w:sz w:val="18"/>
                <w:szCs w:val="18"/>
              </w:rPr>
              <w:t>7.2.2</w:t>
            </w:r>
            <w:r>
              <w:rPr>
                <w:rFonts w:hint="eastAsia" w:ascii="黑体" w:hAnsi="Calibri" w:eastAsia="黑体" w:cs="黑体"/>
                <w:color w:val="8EAADB"/>
                <w:sz w:val="18"/>
                <w:szCs w:val="18"/>
              </w:rPr>
              <w:t>对地基基础、结构体系、结构构件进行优化设计。</w:t>
            </w:r>
          </w:p>
          <w:p>
            <w:pPr>
              <w:widowControl w:val="0"/>
              <w:spacing w:line="240" w:lineRule="exact"/>
              <w:rPr>
                <w:rFonts w:ascii="黑体" w:hAnsi="Calibri" w:eastAsia="黑体" w:cs="黑体"/>
                <w:color w:val="8EAADB"/>
                <w:sz w:val="18"/>
                <w:szCs w:val="18"/>
              </w:rPr>
            </w:pPr>
            <w:r>
              <w:rPr>
                <w:rFonts w:hint="eastAsia" w:ascii="黑体" w:hAnsi="Calibri" w:eastAsia="黑体" w:cs="黑体"/>
                <w:color w:val="8EAADB"/>
                <w:sz w:val="18"/>
                <w:szCs w:val="18"/>
              </w:rPr>
              <w:t>技术措施说明：</w:t>
            </w:r>
          </w:p>
          <w:p>
            <w:pPr>
              <w:widowControl w:val="0"/>
              <w:spacing w:line="240" w:lineRule="exact"/>
              <w:rPr>
                <w:rFonts w:ascii="黑体" w:hAnsi="Calibri" w:eastAsia="黑体" w:cs="黑体"/>
                <w:color w:val="8EAADB"/>
                <w:sz w:val="18"/>
                <w:szCs w:val="18"/>
              </w:rPr>
            </w:pPr>
            <w:r>
              <w:rPr>
                <w:rFonts w:hint="eastAsia" w:ascii="黑体" w:hAnsi="Calibri" w:eastAsia="黑体" w:cs="黑体"/>
                <w:color w:val="8EAADB"/>
                <w:sz w:val="18"/>
                <w:szCs w:val="18"/>
              </w:rPr>
              <w:t>证明材料：□结构优化分析报告；□设计图纸（专业、图号）</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7.2.8</w:t>
            </w:r>
            <w:r>
              <w:rPr>
                <w:rFonts w:hint="eastAsia" w:ascii="黑体" w:hAnsi="Calibri" w:eastAsia="黑体" w:cs="黑体"/>
                <w:color w:val="0000FF"/>
                <w:sz w:val="18"/>
                <w:szCs w:val="18"/>
                <w:bdr w:val="single" w:color="0000FF" w:sz="4" w:space="0"/>
              </w:rPr>
              <w:t>现浇混凝土采用预拌混凝土。</w:t>
            </w:r>
            <w:r>
              <w:rPr>
                <w:rFonts w:hint="eastAsia" w:ascii="黑体" w:hAnsi="宋体" w:eastAsia="黑体" w:cs="黑体"/>
                <w:color w:val="0000FF"/>
                <w:sz w:val="18"/>
                <w:szCs w:val="18"/>
              </w:rPr>
              <w:t>（</w:t>
            </w:r>
            <w:r>
              <w:rPr>
                <w:rFonts w:ascii="黑体" w:hAnsi="宋体" w:eastAsia="黑体" w:cs="黑体"/>
                <w:color w:val="0000FF"/>
                <w:sz w:val="18"/>
                <w:szCs w:val="18"/>
              </w:rPr>
              <w:t>10</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hint="eastAsia" w:ascii="Calibri" w:hAnsi="Calibri"/>
                <w:color w:val="0000FF"/>
                <w:sz w:val="18"/>
                <w:szCs w:val="18"/>
              </w:rPr>
              <w:t>混凝土全部</w:t>
            </w:r>
            <w:r>
              <w:rPr>
                <w:rFonts w:hint="eastAsia" w:ascii="Calibri" w:hAnsi="Calibri"/>
                <w:color w:val="0000FF"/>
                <w:sz w:val="18"/>
                <w:szCs w:val="18"/>
                <w:lang w:val="zh-CN"/>
              </w:rPr>
              <w:t>采用</w:t>
            </w:r>
            <w:r>
              <w:rPr>
                <w:rFonts w:hint="eastAsia" w:ascii="Calibri" w:hAnsi="Calibri"/>
                <w:color w:val="0000FF"/>
                <w:sz w:val="18"/>
                <w:szCs w:val="18"/>
              </w:rPr>
              <w:t>预拌混凝土。</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设计图纸（结构、结施</w:t>
            </w:r>
            <w:r>
              <w:rPr>
                <w:rFonts w:ascii="宋体" w:hAnsi="Calibri"/>
                <w:color w:val="0000FF"/>
                <w:sz w:val="18"/>
                <w:szCs w:val="18"/>
              </w:rPr>
              <w:t>-</w:t>
            </w:r>
            <w:r>
              <w:rPr>
                <w:rFonts w:ascii="宋体" w:hAnsi="宋体"/>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7.2.9</w:t>
            </w:r>
            <w:r>
              <w:rPr>
                <w:rFonts w:hint="eastAsia" w:ascii="黑体" w:hAnsi="Calibri" w:eastAsia="黑体" w:cs="黑体"/>
                <w:color w:val="0000FF"/>
                <w:sz w:val="18"/>
                <w:szCs w:val="18"/>
                <w:bdr w:val="single" w:color="0000FF" w:sz="4" w:space="0"/>
              </w:rPr>
              <w:t>建筑砂浆采用预拌砂浆。</w:t>
            </w:r>
            <w:r>
              <w:rPr>
                <w:rFonts w:hint="eastAsia" w:ascii="黑体" w:hAnsi="宋体" w:eastAsia="黑体" w:cs="黑体"/>
                <w:color w:val="0000FF"/>
                <w:sz w:val="18"/>
                <w:szCs w:val="18"/>
              </w:rPr>
              <w:t>（</w:t>
            </w:r>
            <w:r>
              <w:rPr>
                <w:rFonts w:ascii="黑体" w:hAnsi="宋体" w:eastAsia="黑体" w:cs="黑体"/>
                <w:color w:val="0000FF"/>
                <w:sz w:val="18"/>
                <w:szCs w:val="18"/>
              </w:rPr>
              <w:t>5</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技术措施说明：建筑砂浆全部采用预拌砂浆。</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设计图纸（结构、结施</w:t>
            </w:r>
            <w:r>
              <w:rPr>
                <w:rFonts w:ascii="宋体" w:hAnsi="Calibri"/>
                <w:color w:val="0000FF"/>
                <w:sz w:val="18"/>
                <w:szCs w:val="18"/>
              </w:rPr>
              <w:t>-</w:t>
            </w:r>
            <w:r>
              <w:rPr>
                <w:rFonts w:ascii="宋体" w:hAnsi="宋体"/>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7.2.10</w:t>
            </w:r>
            <w:r>
              <w:rPr>
                <w:rFonts w:hint="eastAsia" w:ascii="黑体" w:hAnsi="Calibri" w:eastAsia="黑体" w:cs="黑体"/>
                <w:color w:val="0000FF"/>
                <w:sz w:val="18"/>
                <w:szCs w:val="18"/>
                <w:bdr w:val="single" w:color="0000FF" w:sz="4" w:space="0"/>
              </w:rPr>
              <w:t>合理采用高强建筑结构材料。</w:t>
            </w:r>
            <w:r>
              <w:rPr>
                <w:rFonts w:hint="eastAsia" w:ascii="黑体" w:hAnsi="宋体" w:eastAsia="黑体" w:cs="黑体"/>
                <w:color w:val="0000FF"/>
                <w:sz w:val="18"/>
                <w:szCs w:val="18"/>
              </w:rPr>
              <w:t>（</w:t>
            </w:r>
            <w:r>
              <w:rPr>
                <w:rFonts w:ascii="黑体" w:hAnsi="宋体" w:eastAsia="黑体" w:cs="黑体"/>
                <w:color w:val="0000FF"/>
                <w:sz w:val="18"/>
                <w:szCs w:val="18"/>
              </w:rPr>
              <w:t>10</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hint="eastAsia" w:ascii="宋体" w:hAnsi="宋体"/>
                <w:color w:val="0000FF"/>
                <w:sz w:val="18"/>
                <w:szCs w:val="18"/>
                <w:lang w:val="en-US" w:eastAsia="zh-CN"/>
              </w:rPr>
              <w:t>项目所有钢筋全部采用高强度钢筋</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高强建筑结构材料比例计算书；</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设计图纸（结构、结施</w:t>
            </w:r>
            <w:r>
              <w:rPr>
                <w:rFonts w:ascii="宋体" w:hAnsi="Calibri"/>
                <w:color w:val="0000FF"/>
                <w:sz w:val="18"/>
                <w:szCs w:val="18"/>
              </w:rPr>
              <w:t>-</w:t>
            </w:r>
            <w:r>
              <w:rPr>
                <w:rFonts w:ascii="宋体" w:hAnsi="宋体"/>
                <w:color w:val="0000FF"/>
                <w:sz w:val="18"/>
                <w:szCs w:val="18"/>
              </w:rPr>
              <w:t>01</w:t>
            </w:r>
            <w:r>
              <w:rPr>
                <w:rFonts w:hint="eastAsia" w:ascii="宋体" w:hAnsi="宋体"/>
                <w:color w:val="0000FF"/>
                <w:sz w:val="18"/>
                <w:szCs w:val="18"/>
              </w:rPr>
              <w:t>、</w:t>
            </w:r>
            <w:r>
              <w:rPr>
                <w:rFonts w:ascii="宋体" w:hAnsi="宋体"/>
                <w:color w:val="0000FF"/>
                <w:sz w:val="18"/>
                <w:szCs w:val="18"/>
              </w:rPr>
              <w:t>02</w:t>
            </w:r>
            <w:r>
              <w:rPr>
                <w:rFonts w:hint="eastAsia" w:ascii="宋体" w:hAnsi="宋体"/>
                <w:color w:val="0000FF"/>
                <w:sz w:val="18"/>
                <w:szCs w:val="18"/>
              </w:rPr>
              <w:t>）</w:t>
            </w:r>
          </w:p>
          <w:p>
            <w:pPr>
              <w:widowControl w:val="0"/>
              <w:spacing w:line="240" w:lineRule="exact"/>
              <w:rPr>
                <w:rFonts w:ascii="黑体" w:hAnsi="Calibri" w:eastAsia="黑体" w:cs="黑体"/>
                <w:color w:val="8EAADB"/>
                <w:sz w:val="18"/>
                <w:szCs w:val="18"/>
              </w:rPr>
            </w:pPr>
            <w:r>
              <w:rPr>
                <w:rFonts w:ascii="黑体" w:hAnsi="Calibri" w:eastAsia="黑体" w:cs="黑体"/>
                <w:color w:val="8EAADB"/>
                <w:sz w:val="18"/>
                <w:szCs w:val="18"/>
              </w:rPr>
              <w:fldChar w:fldCharType="begin"/>
            </w:r>
            <w:r>
              <w:rPr>
                <w:rFonts w:ascii="黑体" w:hAnsi="Calibri" w:eastAsia="黑体" w:cs="黑体"/>
                <w:color w:val="8EAADB"/>
                <w:sz w:val="18"/>
                <w:szCs w:val="18"/>
              </w:rPr>
              <w:instrText xml:space="preserve"> eq \o\ac(</w:instrText>
            </w:r>
            <w:r>
              <w:rPr>
                <w:rFonts w:hint="eastAsia" w:ascii="黑体" w:hAnsi="Calibri" w:eastAsia="黑体" w:cs="黑体"/>
                <w:color w:val="8EAADB"/>
                <w:sz w:val="18"/>
                <w:szCs w:val="18"/>
              </w:rPr>
              <w:instrText xml:space="preserve">□</w:instrText>
            </w:r>
            <w:r>
              <w:rPr>
                <w:rFonts w:ascii="黑体" w:hAnsi="Calibri" w:eastAsia="黑体" w:cs="黑体"/>
                <w:color w:val="8EAADB"/>
                <w:sz w:val="18"/>
                <w:szCs w:val="18"/>
              </w:rPr>
              <w:instrText xml:space="preserve">,</w:instrText>
            </w:r>
            <w:r>
              <w:rPr>
                <w:rFonts w:hint="eastAsia" w:ascii="黑体" w:hAnsi="Calibri" w:eastAsia="黑体" w:cs="黑体"/>
                <w:color w:val="8EAADB"/>
                <w:sz w:val="18"/>
                <w:szCs w:val="18"/>
              </w:rPr>
              <w:instrText xml:space="preserve">×</w:instrText>
            </w:r>
            <w:r>
              <w:rPr>
                <w:rFonts w:ascii="黑体" w:hAnsi="Calibri" w:eastAsia="黑体" w:cs="黑体"/>
                <w:color w:val="8EAADB"/>
                <w:sz w:val="18"/>
                <w:szCs w:val="18"/>
              </w:rPr>
              <w:instrText xml:space="preserve">)</w:instrText>
            </w:r>
            <w:r>
              <w:rPr>
                <w:rFonts w:ascii="黑体" w:hAnsi="Calibri" w:eastAsia="黑体" w:cs="黑体"/>
                <w:color w:val="8EAADB"/>
                <w:sz w:val="18"/>
                <w:szCs w:val="18"/>
              </w:rPr>
              <w:fldChar w:fldCharType="end"/>
            </w:r>
            <w:r>
              <w:rPr>
                <w:rFonts w:ascii="黑体" w:hAnsi="Calibri" w:eastAsia="黑体" w:cs="黑体"/>
                <w:color w:val="8EAADB"/>
                <w:sz w:val="18"/>
                <w:szCs w:val="18"/>
              </w:rPr>
              <w:t xml:space="preserve"> 7.2.11</w:t>
            </w:r>
            <w:r>
              <w:rPr>
                <w:rFonts w:hint="eastAsia" w:ascii="黑体" w:hAnsi="Calibri" w:eastAsia="黑体" w:cs="黑体"/>
                <w:color w:val="8EAADB"/>
                <w:sz w:val="18"/>
                <w:szCs w:val="18"/>
              </w:rPr>
              <w:t>合理采用高耐久性建筑结构材料。</w:t>
            </w:r>
          </w:p>
          <w:p>
            <w:pPr>
              <w:widowControl w:val="0"/>
              <w:spacing w:line="240" w:lineRule="exact"/>
              <w:rPr>
                <w:rFonts w:ascii="黑体" w:hAnsi="Calibri" w:eastAsia="黑体" w:cs="黑体"/>
                <w:color w:val="8EAADB"/>
                <w:sz w:val="18"/>
                <w:szCs w:val="18"/>
              </w:rPr>
            </w:pPr>
            <w:r>
              <w:rPr>
                <w:rFonts w:hint="eastAsia" w:ascii="黑体" w:hAnsi="Calibri" w:eastAsia="黑体" w:cs="黑体"/>
                <w:color w:val="8EAADB"/>
                <w:sz w:val="18"/>
                <w:szCs w:val="18"/>
              </w:rPr>
              <w:t>技术措施说明：</w:t>
            </w:r>
          </w:p>
          <w:p>
            <w:pPr>
              <w:widowControl w:val="0"/>
              <w:spacing w:line="240" w:lineRule="exact"/>
              <w:rPr>
                <w:rFonts w:ascii="黑体" w:hAnsi="宋体" w:eastAsia="黑体" w:cs="黑体"/>
                <w:color w:val="0000FF"/>
                <w:sz w:val="18"/>
                <w:szCs w:val="18"/>
              </w:rPr>
            </w:pPr>
            <w:r>
              <w:rPr>
                <w:rFonts w:hint="eastAsia" w:ascii="黑体" w:hAnsi="Calibri" w:eastAsia="黑体" w:cs="黑体"/>
                <w:color w:val="8EAADB"/>
                <w:sz w:val="18"/>
                <w:szCs w:val="18"/>
              </w:rPr>
              <w:t>证明材料：□高耐久性混凝土比例计算书；□设计图纸（专业、图号）</w:t>
            </w:r>
          </w:p>
        </w:tc>
      </w:tr>
      <w:tr>
        <w:tblPrEx>
          <w:tblBorders>
            <w:top w:val="single" w:color="0000FF" w:sz="6" w:space="0"/>
            <w:left w:val="single" w:color="0000FF" w:sz="6" w:space="0"/>
            <w:bottom w:val="single" w:color="0000FF" w:sz="6" w:space="0"/>
            <w:right w:val="single" w:color="0000FF" w:sz="6"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10539" w:type="dxa"/>
            <w:gridSpan w:val="2"/>
            <w:tcBorders>
              <w:top w:val="single" w:color="3333FF" w:sz="6" w:space="0"/>
              <w:left w:val="single" w:color="3333FF" w:sz="6" w:space="0"/>
              <w:bottom w:val="single" w:color="3333FF" w:sz="6" w:space="0"/>
              <w:right w:val="single" w:color="3333FF" w:sz="6" w:space="0"/>
            </w:tcBorders>
          </w:tcPr>
          <w:p>
            <w:pPr>
              <w:widowControl w:val="0"/>
              <w:spacing w:line="240" w:lineRule="exact"/>
              <w:ind w:firstLine="2300" w:firstLineChars="1273"/>
              <w:rPr>
                <w:rFonts w:ascii="Calibri" w:hAnsi="黑体" w:eastAsia="黑体" w:cs="Calibri"/>
                <w:b/>
                <w:bCs/>
                <w:color w:val="0000FF"/>
                <w:kern w:val="0"/>
                <w:sz w:val="18"/>
                <w:szCs w:val="18"/>
              </w:rPr>
            </w:pPr>
          </w:p>
          <w:p>
            <w:pPr>
              <w:widowControl w:val="0"/>
              <w:spacing w:line="300" w:lineRule="exact"/>
              <w:jc w:val="center"/>
              <w:rPr>
                <w:rFonts w:ascii="Calibri" w:hAnsi="黑体" w:eastAsia="黑体" w:cs="Calibri"/>
                <w:b/>
                <w:bCs/>
                <w:color w:val="0000FF"/>
                <w:kern w:val="0"/>
                <w:sz w:val="24"/>
                <w:szCs w:val="24"/>
              </w:rPr>
            </w:pPr>
            <w:r>
              <w:rPr>
                <w:rFonts w:hint="eastAsia" w:ascii="Calibri" w:hAnsi="黑体" w:eastAsia="黑体" w:cs="黑体"/>
                <w:b/>
                <w:bCs/>
                <w:color w:val="0000FF"/>
                <w:kern w:val="0"/>
                <w:sz w:val="24"/>
                <w:szCs w:val="24"/>
              </w:rPr>
              <w:t>五、室内环境质量技术措施</w:t>
            </w:r>
          </w:p>
          <w:p>
            <w:pPr>
              <w:widowControl w:val="0"/>
              <w:spacing w:line="240" w:lineRule="exact"/>
              <w:jc w:val="center"/>
              <w:rPr>
                <w:rFonts w:ascii="Calibri" w:eastAsia="Times New Roman" w:cs="Calibri"/>
                <w:b/>
                <w:bCs/>
                <w:color w:val="0000FF"/>
                <w:sz w:val="18"/>
                <w:szCs w:val="18"/>
              </w:rPr>
            </w:pPr>
          </w:p>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必须说明内容（控制项）</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建筑专业</w:t>
            </w:r>
          </w:p>
          <w:p>
            <w:pPr>
              <w:widowControl w:val="0"/>
              <w:spacing w:line="240" w:lineRule="exact"/>
              <w:rPr>
                <w:rFonts w:ascii="黑体" w:hAnsi="Calibri" w:eastAsia="黑体" w:cs="黑体"/>
                <w:color w:val="0000FF"/>
                <w:sz w:val="18"/>
                <w:szCs w:val="18"/>
                <w:bdr w:val="single" w:color="0000FF" w:sz="4" w:space="0"/>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 xml:space="preserve"> 8.1.2</w:t>
            </w:r>
            <w:r>
              <w:rPr>
                <w:rFonts w:hint="eastAsia" w:ascii="黑体" w:hAnsi="Calibri" w:eastAsia="黑体" w:cs="黑体"/>
                <w:color w:val="0000FF"/>
                <w:sz w:val="18"/>
                <w:szCs w:val="18"/>
                <w:bdr w:val="single" w:color="0000FF" w:sz="4" w:space="0"/>
              </w:rPr>
              <w:t>主要功能房间的外墙、隔墙、楼板和门窗的隔声性能应满足现行国家标准</w:t>
            </w:r>
            <w:r>
              <w:rPr>
                <w:rFonts w:ascii="黑体" w:hAnsi="Calibri" w:eastAsia="黑体" w:cs="黑体"/>
                <w:color w:val="0000FF"/>
                <w:sz w:val="18"/>
                <w:szCs w:val="18"/>
                <w:bdr w:val="single" w:color="0000FF" w:sz="4" w:space="0"/>
              </w:rPr>
              <w:t xml:space="preserve"> </w:t>
            </w:r>
            <w:r>
              <w:rPr>
                <w:rFonts w:hint="eastAsia" w:ascii="黑体" w:hAnsi="Calibri" w:eastAsia="黑体" w:cs="黑体"/>
                <w:color w:val="0000FF"/>
                <w:sz w:val="18"/>
                <w:szCs w:val="18"/>
                <w:bdr w:val="single" w:color="0000FF" w:sz="4" w:space="0"/>
              </w:rPr>
              <w:t>《民用建筑隔声设计规范》</w:t>
            </w:r>
            <w:r>
              <w:rPr>
                <w:rFonts w:ascii="黑体" w:hAnsi="Calibri" w:eastAsia="黑体" w:cs="黑体"/>
                <w:color w:val="0000FF"/>
                <w:sz w:val="18"/>
                <w:szCs w:val="18"/>
                <w:bdr w:val="single" w:color="0000FF" w:sz="4" w:space="0"/>
              </w:rPr>
              <w:t>GB 50118</w:t>
            </w:r>
            <w:r>
              <w:rPr>
                <w:rFonts w:hint="eastAsia" w:ascii="黑体" w:hAnsi="Calibri" w:eastAsia="黑体" w:cs="黑体"/>
                <w:color w:val="0000FF"/>
                <w:sz w:val="18"/>
                <w:szCs w:val="18"/>
                <w:bdr w:val="single" w:color="0000FF" w:sz="4" w:space="0"/>
              </w:rPr>
              <w:t>中的低限要求。</w:t>
            </w:r>
          </w:p>
          <w:p>
            <w:pPr>
              <w:widowControl w:val="0"/>
              <w:spacing w:line="240" w:lineRule="exact"/>
              <w:rPr>
                <w:rFonts w:hint="eastAsia" w:ascii="宋体" w:hAnsi="Calibri"/>
                <w:color w:val="0000FF"/>
                <w:sz w:val="18"/>
                <w:szCs w:val="18"/>
              </w:rPr>
            </w:pPr>
            <w:r>
              <w:rPr>
                <w:rFonts w:hint="eastAsia" w:ascii="宋体" w:hAnsi="Calibri"/>
                <w:color w:val="0000FF"/>
                <w:sz w:val="18"/>
                <w:szCs w:val="18"/>
              </w:rPr>
              <w:t>技术措施说明：根据</w:t>
            </w:r>
            <w:r>
              <w:rPr>
                <w:rFonts w:hint="eastAsia" w:ascii="宋体" w:hAnsi="Calibri"/>
                <w:color w:val="0000FF"/>
                <w:sz w:val="18"/>
                <w:szCs w:val="18"/>
                <w:lang w:val="en-US" w:eastAsia="zh-CN"/>
              </w:rPr>
              <w:t>项目施工图设计</w:t>
            </w:r>
            <w:r>
              <w:rPr>
                <w:rFonts w:hint="eastAsia" w:ascii="宋体" w:hAnsi="Calibri"/>
                <w:color w:val="0000FF"/>
                <w:sz w:val="18"/>
                <w:szCs w:val="18"/>
              </w:rPr>
              <w:t>可知，本项目外墙</w:t>
            </w:r>
            <w:r>
              <w:rPr>
                <w:rFonts w:hint="eastAsia" w:ascii="宋体" w:hAnsi="Calibri"/>
                <w:color w:val="0000FF"/>
                <w:sz w:val="18"/>
                <w:szCs w:val="18"/>
                <w:lang w:val="en-US" w:eastAsia="zh-CN"/>
              </w:rPr>
              <w:t>采用钢筋混凝土及加气混凝土。</w:t>
            </w:r>
            <w:r>
              <w:rPr>
                <w:rFonts w:hint="eastAsia" w:ascii="宋体" w:hAnsi="Calibri"/>
                <w:color w:val="0000FF"/>
                <w:sz w:val="18"/>
                <w:szCs w:val="18"/>
              </w:rPr>
              <w:t>外窗</w:t>
            </w:r>
            <w:r>
              <w:rPr>
                <w:rFonts w:hint="eastAsia" w:ascii="宋体" w:hAnsi="Calibri"/>
                <w:color w:val="0000FF"/>
                <w:sz w:val="18"/>
                <w:szCs w:val="18"/>
                <w:lang w:val="en-US" w:eastAsia="zh-CN"/>
              </w:rPr>
              <w:t>采用</w:t>
            </w:r>
            <w:r>
              <w:rPr>
                <w:rFonts w:hint="eastAsia" w:ascii="宋体" w:hAnsi="Calibri"/>
                <w:color w:val="0000FF"/>
                <w:sz w:val="18"/>
                <w:szCs w:val="18"/>
                <w:lang w:val="en-US"/>
              </w:rPr>
              <w:t>普通铝合金窗+6mm高透光Low-E玻璃</w:t>
            </w:r>
            <w:r>
              <w:rPr>
                <w:rFonts w:hint="eastAsia" w:ascii="宋体" w:hAnsi="Calibri"/>
                <w:color w:val="0000FF"/>
                <w:sz w:val="18"/>
                <w:szCs w:val="18"/>
                <w:lang w:val="en-US" w:eastAsia="zh-CN"/>
              </w:rPr>
              <w:t>，</w:t>
            </w:r>
            <w:r>
              <w:rPr>
                <w:rFonts w:hint="eastAsia" w:ascii="宋体" w:hAnsi="Calibri"/>
                <w:color w:val="0000FF"/>
                <w:sz w:val="18"/>
                <w:szCs w:val="18"/>
              </w:rPr>
              <w:t>楼板</w:t>
            </w:r>
            <w:r>
              <w:rPr>
                <w:rFonts w:hint="eastAsia" w:ascii="宋体" w:hAnsi="Calibri"/>
                <w:color w:val="0000FF"/>
                <w:sz w:val="18"/>
                <w:szCs w:val="18"/>
                <w:lang w:val="en-US" w:eastAsia="zh-CN"/>
              </w:rPr>
              <w:t>采用隔音砂浆进行隔音。外墙隔声量为46dB，隔墙隔声量为48dB，楼板隔声量为48.68dB，</w:t>
            </w:r>
            <w:r>
              <w:rPr>
                <w:rFonts w:hint="eastAsia" w:ascii="宋体" w:hAnsi="Calibri"/>
                <w:color w:val="0000FF"/>
                <w:sz w:val="18"/>
                <w:szCs w:val="18"/>
              </w:rPr>
              <w:t>外窗和户门的隔声量大于25dB， 楼板的计权标准撞击声级达到6</w:t>
            </w:r>
            <w:r>
              <w:rPr>
                <w:rFonts w:hint="eastAsia" w:ascii="宋体" w:hAnsi="Calibri"/>
                <w:color w:val="0000FF"/>
                <w:sz w:val="18"/>
                <w:szCs w:val="18"/>
                <w:lang w:val="en-US" w:eastAsia="zh-CN"/>
              </w:rPr>
              <w:t>7</w:t>
            </w:r>
            <w:r>
              <w:rPr>
                <w:rFonts w:hint="eastAsia" w:ascii="宋体" w:hAnsi="Calibri"/>
                <w:color w:val="0000FF"/>
                <w:sz w:val="18"/>
                <w:szCs w:val="18"/>
              </w:rPr>
              <w:t>dB，</w:t>
            </w:r>
            <w:r>
              <w:rPr>
                <w:rFonts w:hint="eastAsia" w:ascii="宋体" w:hAnsi="Calibri"/>
                <w:color w:val="0000FF"/>
                <w:sz w:val="18"/>
                <w:szCs w:val="18"/>
                <w:lang w:val="en-US" w:eastAsia="zh-CN"/>
              </w:rPr>
              <w:t>满足标准要求</w:t>
            </w:r>
            <w:r>
              <w:rPr>
                <w:rFonts w:hint="eastAsia" w:ascii="宋体" w:hAnsi="Calibri"/>
                <w:color w:val="0000FF"/>
                <w:sz w:val="18"/>
                <w:szCs w:val="18"/>
              </w:rPr>
              <w:t>。</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围护结构隔音量计算书；</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设计图纸（建筑、建施</w:t>
            </w:r>
            <w:r>
              <w:rPr>
                <w:rFonts w:ascii="宋体" w:hAnsi="Calibri"/>
                <w:color w:val="0000FF"/>
                <w:sz w:val="18"/>
                <w:szCs w:val="18"/>
              </w:rPr>
              <w:t>-</w:t>
            </w:r>
            <w:r>
              <w:rPr>
                <w:rFonts w:ascii="宋体" w:hAnsi="宋体"/>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黑体" w:hAnsi="宋体" w:eastAsia="黑体" w:cs="黑体"/>
                <w:color w:val="0000FF"/>
                <w:sz w:val="18"/>
                <w:szCs w:val="18"/>
              </w:rPr>
              <w:t xml:space="preserve">  8.1.5</w:t>
            </w:r>
            <w:r>
              <w:rPr>
                <w:rFonts w:hint="eastAsia" w:ascii="黑体" w:hAnsi="宋体" w:eastAsia="黑体" w:cs="黑体"/>
                <w:color w:val="0000FF"/>
                <w:sz w:val="18"/>
                <w:szCs w:val="18"/>
              </w:rPr>
              <w:t>在室内设计温、湿度条件下，建筑围护结构内表面不得结露。</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技术措施说明：夏热冬暖地区项目不参评。</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证明材料：□设计图纸（建筑</w:t>
            </w:r>
            <w:r>
              <w:rPr>
                <w:rFonts w:ascii="宋体" w:hAnsi="宋体"/>
                <w:color w:val="0000FF"/>
                <w:sz w:val="18"/>
                <w:szCs w:val="18"/>
              </w:rPr>
              <w:t>/</w:t>
            </w:r>
            <w:r>
              <w:rPr>
                <w:rFonts w:hint="eastAsia" w:ascii="宋体" w:hAnsi="宋体"/>
                <w:color w:val="0000FF"/>
                <w:sz w:val="18"/>
                <w:szCs w:val="18"/>
              </w:rPr>
              <w:t>建施</w:t>
            </w:r>
            <w:r>
              <w:rPr>
                <w:rFonts w:ascii="宋体" w:hAnsi="Calibri"/>
                <w:color w:val="0000FF"/>
                <w:sz w:val="18"/>
                <w:szCs w:val="18"/>
              </w:rPr>
              <w:t>-</w:t>
            </w:r>
            <w:r>
              <w:rPr>
                <w:rFonts w:ascii="宋体" w:hAnsi="宋体"/>
                <w:color w:val="0000FF"/>
                <w:sz w:val="18"/>
                <w:szCs w:val="18"/>
              </w:rPr>
              <w:t>01</w:t>
            </w:r>
            <w:r>
              <w:rPr>
                <w:rFonts w:hint="eastAsia" w:ascii="宋体" w:hAnsi="宋体"/>
                <w:color w:val="0000FF"/>
                <w:sz w:val="18"/>
                <w:szCs w:val="18"/>
              </w:rPr>
              <w:t>）</w:t>
            </w:r>
          </w:p>
          <w:p>
            <w:pPr>
              <w:widowControl w:val="0"/>
              <w:spacing w:line="240" w:lineRule="exact"/>
              <w:rPr>
                <w:rFonts w:ascii="黑体" w:hAnsi="Calibri" w:eastAsia="黑体" w:cs="黑体"/>
                <w:color w:val="0000FF"/>
                <w:sz w:val="18"/>
                <w:szCs w:val="18"/>
                <w:bdr w:val="single" w:color="0000FF" w:sz="4" w:space="0"/>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8.1.6</w:t>
            </w:r>
            <w:r>
              <w:rPr>
                <w:rFonts w:hint="eastAsia" w:ascii="黑体" w:hAnsi="Calibri" w:eastAsia="黑体" w:cs="黑体"/>
                <w:color w:val="0000FF"/>
                <w:sz w:val="18"/>
                <w:szCs w:val="18"/>
                <w:bdr w:val="single" w:color="0000FF" w:sz="4" w:space="0"/>
              </w:rPr>
              <w:t>屋顶和东西外墙隔热性能应满足现行国家标准《民用建筑热工设计规范》</w:t>
            </w:r>
            <w:r>
              <w:rPr>
                <w:rFonts w:ascii="黑体" w:hAnsi="Calibri" w:eastAsia="黑体" w:cs="黑体"/>
                <w:color w:val="0000FF"/>
                <w:sz w:val="18"/>
                <w:szCs w:val="18"/>
                <w:bdr w:val="single" w:color="0000FF" w:sz="4" w:space="0"/>
              </w:rPr>
              <w:t xml:space="preserve"> GB 50176</w:t>
            </w:r>
            <w:r>
              <w:rPr>
                <w:rFonts w:hint="eastAsia" w:ascii="黑体" w:hAnsi="Calibri" w:eastAsia="黑体" w:cs="黑体"/>
                <w:color w:val="0000FF"/>
                <w:sz w:val="18"/>
                <w:szCs w:val="18"/>
                <w:bdr w:val="single" w:color="0000FF" w:sz="4" w:space="0"/>
              </w:rPr>
              <w:t>的要求。</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hint="eastAsia" w:ascii="宋体" w:hAnsi="Calibri"/>
                <w:color w:val="0000FF"/>
                <w:sz w:val="18"/>
                <w:szCs w:val="18"/>
              </w:rPr>
              <w:t>本项目外围护结构按照《公共建筑节能设计标准》</w:t>
            </w:r>
            <w:r>
              <w:rPr>
                <w:rFonts w:ascii="宋体" w:hAnsi="Calibri"/>
                <w:color w:val="0000FF"/>
                <w:sz w:val="18"/>
                <w:szCs w:val="18"/>
              </w:rPr>
              <w:t>GB50189</w:t>
            </w:r>
            <w:r>
              <w:rPr>
                <w:rFonts w:ascii="Calibri" w:hAnsi="Calibri" w:cs="Calibri"/>
                <w:color w:val="0000FF"/>
                <w:sz w:val="18"/>
                <w:szCs w:val="18"/>
              </w:rPr>
              <w:t>—</w:t>
            </w:r>
            <w:r>
              <w:rPr>
                <w:rFonts w:ascii="宋体" w:hAnsi="Calibri"/>
                <w:color w:val="0000FF"/>
                <w:sz w:val="18"/>
                <w:szCs w:val="18"/>
              </w:rPr>
              <w:t>2015</w:t>
            </w:r>
            <w:r>
              <w:rPr>
                <w:rFonts w:hint="eastAsia" w:ascii="宋体" w:hAnsi="Calibri"/>
                <w:color w:val="0000FF"/>
                <w:sz w:val="18"/>
                <w:szCs w:val="18"/>
              </w:rPr>
              <w:t>进行设计，屋顶最高温度为</w:t>
            </w:r>
            <w:r>
              <w:rPr>
                <w:rFonts w:hint="eastAsia" w:ascii="宋体" w:hAnsi="Calibri"/>
                <w:color w:val="0000FF"/>
                <w:sz w:val="18"/>
                <w:szCs w:val="18"/>
                <w:lang w:val="en-US" w:eastAsia="zh-CN"/>
              </w:rPr>
              <w:t>27.84</w:t>
            </w:r>
            <w:r>
              <w:rPr>
                <w:rFonts w:ascii="宋体" w:hAnsi="Calibri"/>
                <w:color w:val="0000FF"/>
                <w:sz w:val="18"/>
                <w:szCs w:val="18"/>
                <w:lang w:val="zh-CN"/>
              </w:rPr>
              <w:t>℃</w:t>
            </w:r>
            <w:r>
              <w:rPr>
                <w:rFonts w:hint="eastAsia" w:ascii="宋体" w:hAnsi="Calibri"/>
                <w:color w:val="0000FF"/>
                <w:sz w:val="18"/>
                <w:szCs w:val="18"/>
              </w:rPr>
              <w:t>，东西向外墙最高温度分别为</w:t>
            </w:r>
            <w:r>
              <w:rPr>
                <w:rFonts w:hint="eastAsia" w:ascii="宋体" w:hAnsi="Calibri"/>
                <w:color w:val="0000FF"/>
                <w:sz w:val="18"/>
                <w:szCs w:val="18"/>
                <w:lang w:val="en-US" w:eastAsia="zh-CN"/>
              </w:rPr>
              <w:t>27.88</w:t>
            </w:r>
            <w:r>
              <w:rPr>
                <w:rFonts w:hint="eastAsia" w:ascii="宋体" w:hAnsi="宋体"/>
                <w:color w:val="0000FF"/>
                <w:sz w:val="18"/>
                <w:szCs w:val="18"/>
              </w:rPr>
              <w:t>℃，</w:t>
            </w:r>
            <w:r>
              <w:rPr>
                <w:rFonts w:hint="eastAsia" w:ascii="宋体" w:hAnsi="Calibri"/>
                <w:color w:val="0000FF"/>
                <w:sz w:val="18"/>
                <w:szCs w:val="18"/>
              </w:rPr>
              <w:t>隔热性能满足国家标准《民用建筑热工设计规范》</w:t>
            </w:r>
            <w:r>
              <w:rPr>
                <w:rFonts w:ascii="宋体" w:hAnsi="Calibri"/>
                <w:color w:val="0000FF"/>
                <w:sz w:val="18"/>
                <w:szCs w:val="18"/>
              </w:rPr>
              <w:t xml:space="preserve"> GB 50176</w:t>
            </w:r>
            <w:r>
              <w:rPr>
                <w:rFonts w:hint="eastAsia" w:ascii="宋体" w:hAnsi="Calibri"/>
                <w:color w:val="0000FF"/>
                <w:sz w:val="18"/>
                <w:szCs w:val="18"/>
              </w:rPr>
              <w:t>的要求，为节能强制性条文。</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ascii="Calibri" w:hAnsi="Calibri" w:cs="Calibri"/>
                <w:color w:val="0000FF"/>
                <w:sz w:val="18"/>
                <w:szCs w:val="18"/>
              </w:rPr>
              <w:sym w:font="Wingdings 2" w:char="F052"/>
            </w:r>
            <w:r>
              <w:rPr>
                <w:rFonts w:hint="eastAsia" w:ascii="宋体" w:hAnsi="宋体"/>
                <w:color w:val="0000FF"/>
                <w:sz w:val="18"/>
                <w:szCs w:val="18"/>
              </w:rPr>
              <w:t>节能计算书、备案表；</w:t>
            </w:r>
            <w:r>
              <w:rPr>
                <w:rFonts w:ascii="Calibri" w:hAnsi="Calibri" w:cs="Calibri"/>
                <w:color w:val="0000FF"/>
                <w:sz w:val="18"/>
                <w:szCs w:val="18"/>
              </w:rPr>
              <w:sym w:font="Wingdings 2" w:char="F052"/>
            </w:r>
            <w:r>
              <w:rPr>
                <w:rFonts w:hint="eastAsia" w:ascii="宋体" w:hAnsi="宋体"/>
                <w:color w:val="0000FF"/>
                <w:sz w:val="18"/>
                <w:szCs w:val="18"/>
              </w:rPr>
              <w:t>隔热验算报告；□设计图纸（建筑</w:t>
            </w:r>
            <w:r>
              <w:rPr>
                <w:rFonts w:ascii="宋体" w:hAnsi="宋体"/>
                <w:color w:val="0000FF"/>
                <w:sz w:val="18"/>
                <w:szCs w:val="18"/>
              </w:rPr>
              <w:t>/</w:t>
            </w:r>
            <w:r>
              <w:rPr>
                <w:rFonts w:hint="eastAsia" w:ascii="宋体" w:hAnsi="宋体"/>
                <w:color w:val="0000FF"/>
                <w:sz w:val="18"/>
                <w:szCs w:val="18"/>
              </w:rPr>
              <w:t>图号）</w:t>
            </w:r>
          </w:p>
          <w:p>
            <w:pPr>
              <w:widowControl w:val="0"/>
              <w:spacing w:line="240" w:lineRule="exact"/>
              <w:ind w:left="450" w:hanging="450" w:hangingChars="250"/>
              <w:rPr>
                <w:rFonts w:ascii="Calibri" w:eastAsia="Times New Roman" w:cs="Calibri"/>
                <w:color w:val="0000FF"/>
                <w:sz w:val="18"/>
                <w:szCs w:val="18"/>
              </w:rPr>
            </w:pPr>
          </w:p>
          <w:p>
            <w:pPr>
              <w:widowControl w:val="0"/>
              <w:spacing w:line="240" w:lineRule="exact"/>
              <w:ind w:left="452" w:hanging="452" w:hangingChars="250"/>
              <w:rPr>
                <w:rFonts w:ascii="Calibri" w:eastAsia="Times New Roman" w:cs="Calibri"/>
                <w:b/>
                <w:bCs/>
                <w:color w:val="0000FF"/>
                <w:sz w:val="18"/>
                <w:szCs w:val="18"/>
              </w:rPr>
            </w:pPr>
            <w:r>
              <w:rPr>
                <w:rFonts w:hint="eastAsia" w:ascii="Calibri" w:hAnsi="Calibri"/>
                <w:b/>
                <w:bCs/>
                <w:color w:val="0000FF"/>
                <w:sz w:val="18"/>
                <w:szCs w:val="18"/>
              </w:rPr>
              <w:t>电气专业</w:t>
            </w:r>
          </w:p>
          <w:p>
            <w:pPr>
              <w:widowControl w:val="0"/>
              <w:spacing w:line="240" w:lineRule="exact"/>
              <w:rPr>
                <w:rFonts w:ascii="黑体" w:hAnsi="Calibri" w:eastAsia="黑体" w:cs="黑体"/>
                <w:color w:val="0000FF"/>
                <w:sz w:val="18"/>
                <w:szCs w:val="18"/>
                <w:bdr w:val="single" w:color="0000FF" w:sz="4" w:space="0"/>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8.1.3</w:t>
            </w:r>
            <w:r>
              <w:rPr>
                <w:rFonts w:hint="eastAsia" w:ascii="黑体" w:hAnsi="Calibri" w:eastAsia="黑体" w:cs="黑体"/>
                <w:color w:val="0000FF"/>
                <w:sz w:val="18"/>
                <w:szCs w:val="18"/>
                <w:bdr w:val="single" w:color="0000FF" w:sz="4" w:space="0"/>
              </w:rPr>
              <w:t>建筑照明数量和质量应符合现行国家标准《建筑照明设计标准》</w:t>
            </w:r>
            <w:r>
              <w:rPr>
                <w:rFonts w:ascii="黑体" w:hAnsi="Calibri" w:eastAsia="黑体" w:cs="黑体"/>
                <w:color w:val="0000FF"/>
                <w:sz w:val="18"/>
                <w:szCs w:val="18"/>
                <w:bdr w:val="single" w:color="0000FF" w:sz="4" w:space="0"/>
              </w:rPr>
              <w:t xml:space="preserve">GB 50034 </w:t>
            </w:r>
            <w:r>
              <w:rPr>
                <w:rFonts w:hint="eastAsia" w:ascii="黑体" w:hAnsi="Calibri" w:eastAsia="黑体" w:cs="黑体"/>
                <w:color w:val="0000FF"/>
                <w:sz w:val="18"/>
                <w:szCs w:val="18"/>
                <w:bdr w:val="single" w:color="0000FF" w:sz="4" w:space="0"/>
              </w:rPr>
              <w:t>的规定。</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hint="eastAsia" w:ascii="宋体" w:hAnsi="Calibri"/>
                <w:color w:val="0000FF"/>
                <w:sz w:val="18"/>
                <w:szCs w:val="18"/>
              </w:rPr>
              <w:t>本项目各房间照度、照明功率密度值、统一眩光值</w:t>
            </w:r>
            <w:r>
              <w:rPr>
                <w:rFonts w:ascii="宋体" w:hAnsi="Calibri"/>
                <w:color w:val="0000FF"/>
                <w:sz w:val="18"/>
                <w:szCs w:val="18"/>
              </w:rPr>
              <w:t>UGR</w:t>
            </w:r>
            <w:r>
              <w:rPr>
                <w:rFonts w:hint="eastAsia" w:ascii="宋体" w:hAnsi="Calibri"/>
                <w:color w:val="0000FF"/>
                <w:sz w:val="18"/>
                <w:szCs w:val="18"/>
              </w:rPr>
              <w:t>、一般显色指数</w:t>
            </w:r>
            <w:r>
              <w:rPr>
                <w:rFonts w:ascii="宋体" w:hAnsi="Calibri"/>
                <w:color w:val="0000FF"/>
                <w:sz w:val="18"/>
                <w:szCs w:val="18"/>
              </w:rPr>
              <w:t>Ra</w:t>
            </w:r>
            <w:r>
              <w:rPr>
                <w:rFonts w:hint="eastAsia" w:ascii="宋体" w:hAnsi="Calibri"/>
                <w:color w:val="0000FF"/>
                <w:sz w:val="18"/>
                <w:szCs w:val="18"/>
              </w:rPr>
              <w:t>符合现行国家标准《建筑照明设计标准》</w:t>
            </w:r>
            <w:r>
              <w:rPr>
                <w:rFonts w:ascii="宋体" w:hAnsi="Calibri"/>
                <w:color w:val="0000FF"/>
                <w:sz w:val="18"/>
                <w:szCs w:val="18"/>
              </w:rPr>
              <w:t>GB 50034</w:t>
            </w:r>
            <w:r>
              <w:rPr>
                <w:rFonts w:hint="eastAsia" w:ascii="宋体" w:hAnsi="Calibri"/>
                <w:color w:val="0000FF"/>
                <w:sz w:val="18"/>
                <w:szCs w:val="18"/>
              </w:rPr>
              <w:t>的规定。</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黑体" w:hAnsi="Wingdings 2" w:eastAsia="黑体" w:cs="黑体"/>
                <w:color w:val="0000FF"/>
                <w:sz w:val="18"/>
                <w:szCs w:val="18"/>
              </w:rPr>
              <w:t>照度计算书；</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w:t>
            </w:r>
            <w:r>
              <w:rPr>
                <w:rFonts w:hint="eastAsia" w:ascii="Calibri" w:hAnsi="Calibri"/>
                <w:color w:val="0000FF"/>
                <w:sz w:val="18"/>
                <w:szCs w:val="18"/>
              </w:rPr>
              <w:t>电气、电施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暖通专业</w:t>
            </w:r>
          </w:p>
          <w:p>
            <w:pPr>
              <w:widowControl w:val="0"/>
              <w:spacing w:line="240" w:lineRule="exact"/>
              <w:rPr>
                <w:rFonts w:ascii="黑体" w:hAnsi="Calibri" w:eastAsia="黑体" w:cs="黑体"/>
                <w:color w:val="0000FF"/>
                <w:sz w:val="18"/>
                <w:szCs w:val="18"/>
                <w:bdr w:val="single" w:color="0000FF" w:sz="4" w:space="0"/>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8.1.1</w:t>
            </w:r>
            <w:r>
              <w:rPr>
                <w:rFonts w:hint="eastAsia" w:ascii="黑体" w:hAnsi="Calibri" w:eastAsia="黑体" w:cs="黑体"/>
                <w:color w:val="0000FF"/>
                <w:sz w:val="18"/>
                <w:szCs w:val="18"/>
                <w:bdr w:val="single" w:color="0000FF" w:sz="4" w:space="0"/>
              </w:rPr>
              <w:t>主要功能房间的室内噪声级应满足现行国家标准《民用建筑隔声设计规范》</w:t>
            </w:r>
            <w:r>
              <w:rPr>
                <w:rFonts w:ascii="黑体" w:hAnsi="Calibri" w:eastAsia="黑体" w:cs="黑体"/>
                <w:color w:val="0000FF"/>
                <w:sz w:val="18"/>
                <w:szCs w:val="18"/>
                <w:bdr w:val="single" w:color="0000FF" w:sz="4" w:space="0"/>
              </w:rPr>
              <w:t xml:space="preserve"> GB 50118</w:t>
            </w:r>
            <w:r>
              <w:rPr>
                <w:rFonts w:hint="eastAsia" w:ascii="黑体" w:hAnsi="Calibri" w:eastAsia="黑体" w:cs="黑体"/>
                <w:color w:val="0000FF"/>
                <w:sz w:val="18"/>
                <w:szCs w:val="18"/>
                <w:bdr w:val="single" w:color="0000FF" w:sz="4" w:space="0"/>
              </w:rPr>
              <w:t>中的低限要求。</w:t>
            </w:r>
          </w:p>
          <w:p>
            <w:pPr>
              <w:widowControl w:val="0"/>
              <w:spacing w:line="240" w:lineRule="exact"/>
              <w:rPr>
                <w:rFonts w:hint="eastAsia" w:ascii="宋体" w:hAnsi="宋体"/>
                <w:color w:val="0000FF"/>
                <w:sz w:val="18"/>
                <w:szCs w:val="18"/>
              </w:rPr>
            </w:pPr>
            <w:r>
              <w:rPr>
                <w:rFonts w:hint="eastAsia" w:ascii="宋体" w:hAnsi="宋体"/>
                <w:color w:val="0000FF"/>
                <w:sz w:val="18"/>
                <w:szCs w:val="18"/>
              </w:rPr>
              <w:t>技术措施说明：经计算，本项目主要功能房间</w:t>
            </w:r>
            <w:r>
              <w:rPr>
                <w:rFonts w:hint="eastAsia" w:ascii="宋体" w:hAnsi="宋体"/>
                <w:color w:val="0000FF"/>
                <w:sz w:val="18"/>
                <w:szCs w:val="18"/>
                <w:lang w:val="en-US" w:eastAsia="zh-CN"/>
              </w:rPr>
              <w:t>普通教室</w:t>
            </w:r>
            <w:r>
              <w:rPr>
                <w:rFonts w:hint="eastAsia" w:ascii="宋体" w:hAnsi="宋体"/>
                <w:color w:val="0000FF"/>
                <w:sz w:val="18"/>
                <w:szCs w:val="18"/>
              </w:rPr>
              <w:t>的室内噪声级分别为</w:t>
            </w:r>
            <w:r>
              <w:rPr>
                <w:rFonts w:hint="eastAsia" w:ascii="宋体" w:hAnsi="宋体"/>
                <w:color w:val="0000FF"/>
                <w:sz w:val="18"/>
                <w:szCs w:val="18"/>
                <w:lang w:val="en-US" w:eastAsia="zh-CN"/>
              </w:rPr>
              <w:t>27.32</w:t>
            </w:r>
            <w:r>
              <w:rPr>
                <w:rFonts w:ascii="宋体" w:hAnsi="宋体"/>
                <w:color w:val="0000FF"/>
                <w:sz w:val="18"/>
                <w:szCs w:val="18"/>
              </w:rPr>
              <w:t>dB</w:t>
            </w:r>
            <w:r>
              <w:rPr>
                <w:rFonts w:hint="eastAsia" w:ascii="宋体" w:hAnsi="宋体"/>
                <w:color w:val="0000FF"/>
                <w:sz w:val="18"/>
                <w:szCs w:val="18"/>
                <w:lang w:eastAsia="zh-CN"/>
              </w:rPr>
              <w:t>，</w:t>
            </w:r>
            <w:r>
              <w:rPr>
                <w:rFonts w:hint="eastAsia" w:ascii="宋体" w:hAnsi="宋体"/>
                <w:color w:val="0000FF"/>
                <w:sz w:val="18"/>
                <w:szCs w:val="18"/>
                <w:lang w:val="en-US" w:eastAsia="zh-CN"/>
              </w:rPr>
              <w:t>办公室室内噪声级为28.10</w:t>
            </w:r>
            <w:r>
              <w:rPr>
                <w:rFonts w:hint="eastAsia" w:ascii="宋体" w:hAnsi="宋体"/>
                <w:color w:val="0000FF"/>
                <w:sz w:val="18"/>
                <w:szCs w:val="18"/>
              </w:rPr>
              <w:t>，达到《民用建筑隔声设计规范》 GB 50118中的低限值要求。</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Calibri" w:hAnsi="Calibri"/>
                <w:color w:val="0000FF"/>
                <w:sz w:val="18"/>
                <w:szCs w:val="18"/>
              </w:rPr>
              <w:t>室内背景噪声计算书</w:t>
            </w:r>
            <w:r>
              <w:rPr>
                <w:rFonts w:hint="eastAsia" w:ascii="宋体" w:hAnsi="宋体"/>
                <w:color w:val="0000FF"/>
                <w:sz w:val="18"/>
                <w:szCs w:val="18"/>
              </w:rPr>
              <w:t>；□设计图纸（专业、图号）</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宋体" w:hAnsi="宋体"/>
                <w:color w:val="0000FF"/>
                <w:sz w:val="18"/>
                <w:szCs w:val="18"/>
              </w:rPr>
              <w:t xml:space="preserve">   </w:t>
            </w:r>
            <w:r>
              <w:rPr>
                <w:rFonts w:ascii="黑体" w:hAnsi="宋体" w:eastAsia="黑体" w:cs="黑体"/>
                <w:color w:val="0000FF"/>
                <w:sz w:val="18"/>
                <w:szCs w:val="18"/>
              </w:rPr>
              <w:t>8.1.4</w:t>
            </w:r>
            <w:r>
              <w:rPr>
                <w:rFonts w:hint="eastAsia" w:ascii="黑体" w:hAnsi="宋体" w:eastAsia="黑体" w:cs="黑体"/>
                <w:color w:val="0000FF"/>
                <w:sz w:val="18"/>
                <w:szCs w:val="18"/>
              </w:rPr>
              <w:t>采用集中供暖空调系统的建筑，房间内的温度、湿度、新风量等设计参数</w:t>
            </w:r>
            <w:r>
              <w:rPr>
                <w:rFonts w:ascii="黑体" w:hAnsi="宋体" w:eastAsia="黑体" w:cs="黑体"/>
                <w:color w:val="0000FF"/>
                <w:sz w:val="18"/>
                <w:szCs w:val="18"/>
              </w:rPr>
              <w:t xml:space="preserve"> </w:t>
            </w:r>
            <w:r>
              <w:rPr>
                <w:rFonts w:hint="eastAsia" w:ascii="黑体" w:hAnsi="宋体" w:eastAsia="黑体" w:cs="黑体"/>
                <w:color w:val="0000FF"/>
                <w:sz w:val="18"/>
                <w:szCs w:val="18"/>
              </w:rPr>
              <w:t>应符合现行国家标准《民用建筑供暖通风与空气调节设计规范》</w:t>
            </w:r>
            <w:r>
              <w:rPr>
                <w:rFonts w:ascii="黑体" w:hAnsi="宋体" w:eastAsia="黑体" w:cs="黑体"/>
                <w:color w:val="0000FF"/>
                <w:sz w:val="18"/>
                <w:szCs w:val="18"/>
              </w:rPr>
              <w:t>GB 50736</w:t>
            </w:r>
            <w:r>
              <w:rPr>
                <w:rFonts w:hint="eastAsia" w:ascii="黑体" w:hAnsi="宋体" w:eastAsia="黑体" w:cs="黑体"/>
                <w:color w:val="0000FF"/>
                <w:sz w:val="18"/>
                <w:szCs w:val="18"/>
              </w:rPr>
              <w:t>的规定。</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技术措施说明：本项目采用分体式空调，不参评。</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证明材料：□设计图纸（暖通</w:t>
            </w:r>
            <w:r>
              <w:rPr>
                <w:rFonts w:hint="eastAsia" w:ascii="Calibri" w:hAnsi="Calibri" w:cs="Calibri"/>
                <w:color w:val="0000FF"/>
                <w:sz w:val="18"/>
                <w:szCs w:val="18"/>
              </w:rPr>
              <w:t>、暖施</w:t>
            </w:r>
            <w:r>
              <w:rPr>
                <w:rFonts w:ascii="Calibri" w:hAnsi="Calibri" w:cs="Calibri"/>
                <w:color w:val="0000FF"/>
                <w:sz w:val="18"/>
                <w:szCs w:val="18"/>
              </w:rPr>
              <w:t>-01</w:t>
            </w:r>
            <w:r>
              <w:rPr>
                <w:rFonts w:hint="eastAsia" w:ascii="宋体" w:hAnsi="宋体"/>
                <w:color w:val="0000FF"/>
                <w:sz w:val="18"/>
                <w:szCs w:val="18"/>
              </w:rPr>
              <w:t>）</w:t>
            </w:r>
          </w:p>
          <w:p>
            <w:pPr>
              <w:widowControl w:val="0"/>
              <w:spacing w:line="240" w:lineRule="exact"/>
              <w:rPr>
                <w:rFonts w:ascii="Calibri" w:hAnsi="黑体" w:eastAsia="黑体" w:cs="Calibri"/>
                <w:b/>
                <w:bCs/>
                <w:color w:val="0000FF"/>
                <w:kern w:val="0"/>
                <w:sz w:val="18"/>
                <w:szCs w:val="18"/>
              </w:rPr>
            </w:pPr>
          </w:p>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自选说明内容（评分项）</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color w:val="0000FF"/>
                <w:sz w:val="18"/>
                <w:szCs w:val="18"/>
              </w:rPr>
            </w:pPr>
            <w:r>
              <w:rPr>
                <w:rFonts w:hint="eastAsia" w:ascii="Calibri" w:hAnsi="Calibri"/>
                <w:b/>
                <w:bCs/>
                <w:color w:val="0000FF"/>
                <w:sz w:val="18"/>
                <w:szCs w:val="18"/>
              </w:rPr>
              <w:t>建筑专业</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8.2.2</w:t>
            </w:r>
            <w:r>
              <w:rPr>
                <w:rFonts w:hint="eastAsia" w:ascii="黑体" w:hAnsi="Calibri" w:eastAsia="黑体" w:cs="黑体"/>
                <w:color w:val="0000FF"/>
                <w:sz w:val="18"/>
                <w:szCs w:val="18"/>
                <w:bdr w:val="single" w:color="0000FF" w:sz="4" w:space="0"/>
              </w:rPr>
              <w:t>主要功能房间的隔声性能良好。</w:t>
            </w:r>
            <w:r>
              <w:rPr>
                <w:rFonts w:hint="eastAsia" w:ascii="黑体" w:hAnsi="Calibri" w:eastAsia="黑体" w:cs="黑体"/>
                <w:color w:val="0000FF"/>
                <w:sz w:val="18"/>
                <w:szCs w:val="18"/>
              </w:rPr>
              <w:t>（</w:t>
            </w:r>
            <w:r>
              <w:rPr>
                <w:rFonts w:hint="eastAsia" w:ascii="黑体" w:hAnsi="宋体" w:eastAsia="黑体" w:cs="黑体"/>
                <w:color w:val="0000FF"/>
                <w:sz w:val="18"/>
                <w:szCs w:val="18"/>
                <w:lang w:val="en-US" w:eastAsia="zh-CN"/>
              </w:rPr>
              <w:t>3</w:t>
            </w:r>
            <w:r>
              <w:rPr>
                <w:rFonts w:hint="eastAsia" w:ascii="黑体" w:hAnsi="宋体" w:eastAsia="黑体" w:cs="黑体"/>
                <w:color w:val="0000FF"/>
                <w:sz w:val="18"/>
                <w:szCs w:val="18"/>
              </w:rPr>
              <w:t>分）</w:t>
            </w:r>
          </w:p>
          <w:p>
            <w:pPr>
              <w:widowControl w:val="0"/>
              <w:rPr>
                <w:rFonts w:ascii="宋体" w:hAnsi="Calibri"/>
                <w:color w:val="0000FF"/>
                <w:sz w:val="18"/>
                <w:szCs w:val="18"/>
              </w:rPr>
            </w:pPr>
            <w:r>
              <w:rPr>
                <w:rFonts w:hint="eastAsia" w:ascii="宋体" w:hAnsi="宋体"/>
                <w:color w:val="0000FF"/>
                <w:sz w:val="18"/>
                <w:szCs w:val="18"/>
              </w:rPr>
              <w:t>技术措施说明：楼板</w:t>
            </w:r>
            <w:r>
              <w:rPr>
                <w:rFonts w:ascii="宋体" w:hAnsi="宋体"/>
                <w:color w:val="0000FF"/>
                <w:sz w:val="18"/>
                <w:szCs w:val="18"/>
              </w:rPr>
              <w:t>3</w:t>
            </w:r>
            <w:r>
              <w:rPr>
                <w:rFonts w:ascii="宋体"/>
                <w:color w:val="0000FF"/>
                <w:sz w:val="18"/>
                <w:szCs w:val="18"/>
              </w:rPr>
              <w:t>0</w:t>
            </w:r>
            <w:r>
              <w:rPr>
                <w:rFonts w:hint="eastAsia" w:ascii="宋体" w:hAnsi="宋体"/>
                <w:color w:val="0000FF"/>
                <w:sz w:val="18"/>
                <w:szCs w:val="18"/>
              </w:rPr>
              <w:t>厚采用隔音砂浆，计权标准撞击声级达到</w:t>
            </w:r>
            <w:r>
              <w:rPr>
                <w:rFonts w:ascii="宋体" w:hAnsi="宋体"/>
                <w:color w:val="0000FF"/>
                <w:sz w:val="18"/>
                <w:szCs w:val="18"/>
              </w:rPr>
              <w:t>6</w:t>
            </w:r>
            <w:r>
              <w:rPr>
                <w:rFonts w:hint="eastAsia" w:ascii="宋体" w:hAnsi="宋体"/>
                <w:color w:val="0000FF"/>
                <w:sz w:val="18"/>
                <w:szCs w:val="18"/>
                <w:lang w:val="en-US" w:eastAsia="zh-CN"/>
              </w:rPr>
              <w:t>7</w:t>
            </w:r>
            <w:r>
              <w:rPr>
                <w:rFonts w:ascii="宋体" w:hAnsi="宋体"/>
                <w:color w:val="0000FF"/>
                <w:sz w:val="18"/>
                <w:szCs w:val="18"/>
              </w:rPr>
              <w:t>dB</w:t>
            </w:r>
            <w:r>
              <w:rPr>
                <w:rFonts w:hint="eastAsia" w:ascii="宋体" w:hAnsi="宋体"/>
                <w:color w:val="0000FF"/>
                <w:sz w:val="18"/>
                <w:szCs w:val="18"/>
              </w:rPr>
              <w:t>，达到</w:t>
            </w:r>
            <w:r>
              <w:rPr>
                <w:rFonts w:hint="eastAsia" w:ascii="宋体" w:hAnsi="宋体"/>
                <w:color w:val="0000FF"/>
                <w:sz w:val="18"/>
                <w:szCs w:val="18"/>
                <w:lang w:val="en-US" w:eastAsia="zh-CN"/>
              </w:rPr>
              <w:t>低标准与</w:t>
            </w:r>
            <w:r>
              <w:rPr>
                <w:rFonts w:hint="eastAsia" w:ascii="宋体" w:hAnsi="宋体"/>
                <w:color w:val="0000FF"/>
                <w:sz w:val="18"/>
                <w:szCs w:val="18"/>
              </w:rPr>
              <w:t>高要求标准</w:t>
            </w:r>
            <w:r>
              <w:rPr>
                <w:rFonts w:hint="eastAsia" w:ascii="宋体" w:hAnsi="宋体"/>
                <w:color w:val="0000FF"/>
                <w:sz w:val="18"/>
                <w:szCs w:val="18"/>
                <w:lang w:val="en-US" w:eastAsia="zh-CN"/>
              </w:rPr>
              <w:t>的平均值</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围护结构隔音量计算书；□设计图纸（建筑、建施</w:t>
            </w:r>
            <w:r>
              <w:rPr>
                <w:rFonts w:ascii="宋体" w:hAnsi="Calibri"/>
                <w:color w:val="0000FF"/>
                <w:sz w:val="18"/>
                <w:szCs w:val="18"/>
              </w:rPr>
              <w:t>-</w:t>
            </w:r>
            <w:r>
              <w:rPr>
                <w:rFonts w:ascii="宋体" w:hAnsi="宋体"/>
                <w:color w:val="0000FF"/>
                <w:sz w:val="18"/>
                <w:szCs w:val="18"/>
              </w:rPr>
              <w:t>01</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8.2.3</w:t>
            </w:r>
            <w:r>
              <w:rPr>
                <w:rFonts w:hint="eastAsia" w:ascii="黑体" w:hAnsi="Calibri" w:eastAsia="黑体" w:cs="黑体"/>
                <w:color w:val="0000FF"/>
                <w:sz w:val="18"/>
                <w:szCs w:val="18"/>
                <w:bdr w:val="single" w:color="0000FF" w:sz="4" w:space="0"/>
              </w:rPr>
              <w:t>采取减少噪声干扰的措施。（针对平面布局）</w:t>
            </w:r>
            <w:r>
              <w:rPr>
                <w:rFonts w:hint="eastAsia" w:ascii="黑体" w:hAnsi="宋体" w:eastAsia="黑体" w:cs="黑体"/>
                <w:color w:val="0000FF"/>
                <w:sz w:val="18"/>
                <w:szCs w:val="18"/>
              </w:rPr>
              <w:t>（</w:t>
            </w:r>
            <w:r>
              <w:rPr>
                <w:rFonts w:ascii="黑体" w:hAnsi="宋体" w:eastAsia="黑体" w:cs="黑体"/>
                <w:color w:val="0000FF"/>
                <w:sz w:val="18"/>
                <w:szCs w:val="18"/>
              </w:rPr>
              <w:t>2</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技术措施说明：本项目主要功能房间远离噪声源，平面、空间布局合理，没有明显的噪声干扰。</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黑体" w:hAnsi="Wingdings 2" w:eastAsia="黑体" w:cs="黑体"/>
                <w:color w:val="0000FF"/>
                <w:sz w:val="18"/>
                <w:szCs w:val="18"/>
              </w:rPr>
              <w:sym w:font="Wingdings 2" w:char="F052"/>
            </w:r>
            <w:r>
              <w:rPr>
                <w:rFonts w:hint="eastAsia" w:ascii="宋体" w:hAnsi="宋体"/>
                <w:color w:val="0000FF"/>
                <w:sz w:val="18"/>
                <w:szCs w:val="18"/>
              </w:rPr>
              <w:t>设计图纸（建筑、建施</w:t>
            </w:r>
            <w:r>
              <w:rPr>
                <w:rFonts w:ascii="宋体" w:hAnsi="Calibri"/>
                <w:color w:val="0000FF"/>
                <w:sz w:val="18"/>
                <w:szCs w:val="18"/>
              </w:rPr>
              <w:t>-02~04</w:t>
            </w:r>
            <w:r>
              <w:rPr>
                <w:rFonts w:hint="eastAsia" w:ascii="宋体" w:hAnsi="宋体"/>
                <w:color w:val="0000FF"/>
                <w:sz w:val="18"/>
                <w:szCs w:val="18"/>
              </w:rPr>
              <w:t>）</w:t>
            </w:r>
          </w:p>
          <w:p>
            <w:pPr>
              <w:widowControl w:val="0"/>
              <w:spacing w:line="240" w:lineRule="exact"/>
              <w:rPr>
                <w:rFonts w:hint="eastAsia" w:ascii="黑体" w:hAnsi="宋体" w:eastAsia="黑体" w:cs="黑体"/>
                <w:color w:val="0000FF"/>
                <w:sz w:val="18"/>
                <w:szCs w:val="18"/>
              </w:rPr>
            </w:pPr>
            <w:r>
              <w:rPr>
                <w:rFonts w:hint="eastAsia" w:ascii="黑体" w:hAnsi="宋体" w:eastAsia="黑体" w:cs="黑体"/>
                <w:color w:val="0000FF"/>
                <w:sz w:val="18"/>
                <w:szCs w:val="18"/>
              </w:rPr>
              <w:fldChar w:fldCharType="begin"/>
            </w:r>
            <w:r>
              <w:rPr>
                <w:rFonts w:hint="eastAsia" w:ascii="黑体" w:hAnsi="宋体" w:eastAsia="黑体" w:cs="黑体"/>
                <w:color w:val="0000FF"/>
                <w:sz w:val="18"/>
                <w:szCs w:val="18"/>
              </w:rPr>
              <w:instrText xml:space="preserve"> eq \o\ac(□,/)</w:instrText>
            </w:r>
            <w:r>
              <w:rPr>
                <w:rFonts w:hint="eastAsia" w:ascii="黑体" w:hAnsi="宋体" w:eastAsia="黑体" w:cs="黑体"/>
                <w:color w:val="0000FF"/>
                <w:sz w:val="18"/>
                <w:szCs w:val="18"/>
              </w:rPr>
              <w:fldChar w:fldCharType="end"/>
            </w:r>
            <w:r>
              <w:rPr>
                <w:rFonts w:hint="eastAsia" w:ascii="黑体" w:hAnsi="宋体" w:eastAsia="黑体" w:cs="黑体"/>
                <w:color w:val="0000FF"/>
                <w:sz w:val="18"/>
                <w:szCs w:val="18"/>
              </w:rPr>
              <w:t>8.2.4公共建筑中的多功能厅、接待大厅、大型会议室和其他有声学要求的重要房间进行专项声学设计。</w:t>
            </w:r>
          </w:p>
          <w:p>
            <w:pPr>
              <w:widowControl w:val="0"/>
              <w:spacing w:line="240" w:lineRule="exact"/>
              <w:rPr>
                <w:rFonts w:hint="eastAsia" w:ascii="宋体" w:hAnsi="宋体"/>
                <w:color w:val="0000FF"/>
                <w:sz w:val="18"/>
                <w:szCs w:val="18"/>
              </w:rPr>
            </w:pPr>
            <w:r>
              <w:rPr>
                <w:rFonts w:hint="eastAsia" w:ascii="宋体" w:hAnsi="宋体"/>
                <w:color w:val="0000FF"/>
                <w:sz w:val="18"/>
                <w:szCs w:val="18"/>
              </w:rPr>
              <w:t xml:space="preserve">技术措施说明： </w:t>
            </w:r>
          </w:p>
          <w:p>
            <w:pPr>
              <w:widowControl w:val="0"/>
              <w:spacing w:line="240" w:lineRule="exact"/>
              <w:rPr>
                <w:rFonts w:hint="eastAsia" w:ascii="宋体" w:hAnsi="宋体"/>
                <w:color w:val="0000FF"/>
                <w:sz w:val="18"/>
                <w:szCs w:val="18"/>
              </w:rPr>
            </w:pPr>
            <w:r>
              <w:rPr>
                <w:rFonts w:hint="eastAsia" w:ascii="宋体" w:hAnsi="宋体"/>
                <w:color w:val="0000FF"/>
                <w:sz w:val="18"/>
                <w:szCs w:val="18"/>
              </w:rPr>
              <w:t>证明材料：□声学设计专项报告；□设计图纸（专业、图号）</w:t>
            </w:r>
          </w:p>
          <w:p>
            <w:pPr>
              <w:widowControl w:val="0"/>
              <w:spacing w:line="240" w:lineRule="exact"/>
              <w:rPr>
                <w:rFonts w:ascii="黑体" w:hAnsi="宋体" w:eastAsia="黑体" w:cs="黑体"/>
                <w:color w:val="0000FF"/>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0000FF"/>
                <w:sz w:val="18"/>
                <w:szCs w:val="18"/>
              </w:rPr>
              <w:t xml:space="preserve"> </w:t>
            </w:r>
            <w:r>
              <w:rPr>
                <w:rFonts w:ascii="宋体" w:hAnsi="Calibri"/>
                <w:color w:val="8EAADB"/>
                <w:sz w:val="18"/>
                <w:szCs w:val="18"/>
              </w:rPr>
              <w:t>8.2.5</w:t>
            </w:r>
            <w:r>
              <w:rPr>
                <w:rFonts w:hint="eastAsia" w:ascii="宋体" w:hAnsi="Calibri"/>
                <w:color w:val="8EAADB"/>
                <w:sz w:val="18"/>
                <w:szCs w:val="18"/>
              </w:rPr>
              <w:t>建筑主要功能房间具有良好的户外视野。</w:t>
            </w:r>
          </w:p>
          <w:p>
            <w:pPr>
              <w:widowControl w:val="0"/>
              <w:spacing w:line="240" w:lineRule="exact"/>
              <w:rPr>
                <w:rFonts w:ascii="宋体" w:hAnsi="Calibri"/>
                <w:color w:val="8EAADB"/>
                <w:sz w:val="18"/>
                <w:szCs w:val="18"/>
              </w:rPr>
            </w:pPr>
            <w:r>
              <w:rPr>
                <w:rFonts w:hint="eastAsia" w:ascii="宋体" w:hAnsi="Calibri"/>
                <w:color w:val="8EAADB"/>
                <w:sz w:val="18"/>
                <w:szCs w:val="18"/>
              </w:rPr>
              <w:t>技术措施说明：</w:t>
            </w:r>
            <w:r>
              <w:rPr>
                <w:rFonts w:ascii="宋体" w:hAnsi="Calibri"/>
                <w:color w:val="8EAADB"/>
                <w:sz w:val="18"/>
                <w:szCs w:val="18"/>
              </w:rPr>
              <w:t xml:space="preserve"> </w:t>
            </w:r>
          </w:p>
          <w:p>
            <w:pPr>
              <w:widowControl w:val="0"/>
              <w:spacing w:line="240" w:lineRule="exact"/>
              <w:rPr>
                <w:rFonts w:ascii="宋体" w:hAnsi="Calibri"/>
                <w:color w:val="8EAADB"/>
                <w:sz w:val="18"/>
                <w:szCs w:val="18"/>
              </w:rPr>
            </w:pPr>
            <w:r>
              <w:rPr>
                <w:rFonts w:hint="eastAsia" w:ascii="宋体" w:hAnsi="Calibri"/>
                <w:color w:val="8EAADB"/>
                <w:sz w:val="18"/>
                <w:szCs w:val="18"/>
              </w:rPr>
              <w:t>证明材料：</w:t>
            </w:r>
            <w:r>
              <w:rPr>
                <w:rFonts w:ascii="宋体" w:hAnsi="Calibri"/>
                <w:color w:val="8EAADB"/>
                <w:sz w:val="18"/>
                <w:szCs w:val="18"/>
              </w:rPr>
              <w:t xml:space="preserve"> </w:t>
            </w:r>
            <w:r>
              <w:rPr>
                <w:rFonts w:hint="eastAsia" w:ascii="宋体" w:hAnsi="Calibri"/>
                <w:color w:val="8EAADB"/>
                <w:sz w:val="18"/>
                <w:szCs w:val="18"/>
              </w:rPr>
              <w:sym w:font="Wingdings 2" w:char="F052"/>
            </w:r>
            <w:r>
              <w:rPr>
                <w:rFonts w:hint="eastAsia" w:ascii="宋体" w:hAnsi="Calibri"/>
                <w:color w:val="8EAADB"/>
                <w:sz w:val="18"/>
                <w:szCs w:val="18"/>
              </w:rPr>
              <w:t>设计图纸（建筑、建施</w:t>
            </w:r>
            <w:r>
              <w:rPr>
                <w:rFonts w:ascii="宋体" w:hAnsi="Calibri"/>
                <w:color w:val="8EAADB"/>
                <w:sz w:val="18"/>
                <w:szCs w:val="18"/>
              </w:rPr>
              <w:t>-03</w:t>
            </w:r>
            <w:r>
              <w:rPr>
                <w:rFonts w:hint="eastAsia" w:ascii="宋体" w:hAnsi="Calibri"/>
                <w:color w:val="8EAADB"/>
                <w:sz w:val="18"/>
                <w:szCs w:val="18"/>
              </w:rPr>
              <w:t>）</w:t>
            </w:r>
            <w:r>
              <w:rPr>
                <w:rFonts w:hint="eastAsia" w:ascii="宋体" w:hAnsi="Calibri"/>
                <w:color w:val="8EAADB"/>
                <w:sz w:val="18"/>
                <w:szCs w:val="18"/>
              </w:rPr>
              <w:sym w:font="Wingdings 2" w:char="F052"/>
            </w:r>
            <w:r>
              <w:rPr>
                <w:rFonts w:hint="eastAsia" w:ascii="宋体" w:hAnsi="Calibri"/>
                <w:color w:val="8EAADB"/>
                <w:sz w:val="18"/>
                <w:szCs w:val="18"/>
              </w:rPr>
              <w:t>公共视野分析报告</w:t>
            </w:r>
          </w:p>
          <w:p>
            <w:pPr>
              <w:widowControl w:val="0"/>
              <w:spacing w:line="240" w:lineRule="exact"/>
              <w:rPr>
                <w:rFonts w:ascii="黑体" w:hAnsi="宋体" w:eastAsia="黑体" w:cs="黑体"/>
                <w:color w:val="0000FF"/>
                <w:sz w:val="18"/>
                <w:szCs w:val="18"/>
                <w:bdr w:val="single" w:color="auto" w:sz="4" w:space="0"/>
              </w:rPr>
            </w:pPr>
            <w:r>
              <w:rPr>
                <w:rFonts w:ascii="Calibri" w:hAnsi="Calibri" w:cs="Calibri"/>
                <w:color w:val="0000FF"/>
                <w:sz w:val="18"/>
                <w:szCs w:val="18"/>
              </w:rPr>
              <w:sym w:font="Wingdings 2" w:char="F052"/>
            </w:r>
            <w:r>
              <w:rPr>
                <w:rFonts w:ascii="黑体" w:hAnsi="宋体" w:eastAsia="黑体" w:cs="黑体"/>
                <w:color w:val="0000FF"/>
                <w:sz w:val="18"/>
                <w:szCs w:val="18"/>
              </w:rPr>
              <w:t xml:space="preserve"> </w:t>
            </w:r>
            <w:r>
              <w:rPr>
                <w:rFonts w:ascii="黑体" w:hAnsi="Calibri" w:eastAsia="黑体" w:cs="黑体"/>
                <w:color w:val="0000FF"/>
                <w:sz w:val="18"/>
                <w:szCs w:val="18"/>
                <w:bdr w:val="single" w:color="0000FF" w:sz="4" w:space="0"/>
              </w:rPr>
              <w:t>8.2.6</w:t>
            </w:r>
            <w:r>
              <w:rPr>
                <w:rFonts w:hint="eastAsia" w:ascii="黑体" w:hAnsi="Calibri" w:eastAsia="黑体" w:cs="黑体"/>
                <w:color w:val="0000FF"/>
                <w:sz w:val="18"/>
                <w:szCs w:val="18"/>
                <w:bdr w:val="single" w:color="0000FF" w:sz="4" w:space="0"/>
              </w:rPr>
              <w:t>主要功能房间的采光系数满足现行国家标准《建筑采光设计标准》</w:t>
            </w:r>
            <w:r>
              <w:rPr>
                <w:rFonts w:ascii="黑体" w:hAnsi="Calibri" w:eastAsia="黑体" w:cs="黑体"/>
                <w:color w:val="0000FF"/>
                <w:sz w:val="18"/>
                <w:szCs w:val="18"/>
                <w:bdr w:val="single" w:color="0000FF" w:sz="4" w:space="0"/>
              </w:rPr>
              <w:t>GB 50033</w:t>
            </w:r>
            <w:r>
              <w:rPr>
                <w:rFonts w:hint="eastAsia" w:ascii="黑体" w:hAnsi="Calibri" w:eastAsia="黑体" w:cs="黑体"/>
                <w:color w:val="0000FF"/>
                <w:sz w:val="18"/>
                <w:szCs w:val="18"/>
                <w:bdr w:val="single" w:color="0000FF" w:sz="4" w:space="0"/>
              </w:rPr>
              <w:t>的要求情况。</w:t>
            </w:r>
            <w:r>
              <w:rPr>
                <w:rFonts w:hint="eastAsia" w:ascii="黑体" w:hAnsi="宋体" w:eastAsia="黑体" w:cs="黑体"/>
                <w:color w:val="0000FF"/>
                <w:sz w:val="18"/>
                <w:szCs w:val="18"/>
              </w:rPr>
              <w:t>（</w:t>
            </w:r>
            <w:r>
              <w:rPr>
                <w:rFonts w:ascii="黑体" w:hAnsi="宋体" w:eastAsia="黑体" w:cs="黑体"/>
                <w:color w:val="0000FF"/>
                <w:sz w:val="18"/>
                <w:szCs w:val="18"/>
              </w:rPr>
              <w:t>8</w:t>
            </w:r>
            <w:r>
              <w:rPr>
                <w:rFonts w:hint="eastAsia" w:ascii="黑体" w:hAnsi="宋体" w:eastAsia="黑体" w:cs="黑体"/>
                <w:color w:val="0000FF"/>
                <w:sz w:val="18"/>
                <w:szCs w:val="18"/>
              </w:rPr>
              <w:t>分）</w:t>
            </w:r>
          </w:p>
          <w:p>
            <w:pPr>
              <w:widowControl w:val="0"/>
              <w:spacing w:line="240" w:lineRule="exact"/>
              <w:rPr>
                <w:rFonts w:hint="default" w:ascii="宋体" w:hAnsi="Calibri" w:eastAsia="宋体"/>
                <w:color w:val="0000FF"/>
                <w:sz w:val="18"/>
                <w:szCs w:val="18"/>
                <w:lang w:val="en-US" w:eastAsia="zh-CN"/>
              </w:rPr>
            </w:pPr>
            <w:r>
              <w:rPr>
                <w:rFonts w:hint="eastAsia" w:ascii="宋体" w:hAnsi="宋体"/>
                <w:color w:val="0000FF"/>
                <w:sz w:val="18"/>
                <w:szCs w:val="18"/>
              </w:rPr>
              <w:t>技术措施说明：本项目</w:t>
            </w:r>
            <w:r>
              <w:rPr>
                <w:rFonts w:hint="eastAsia" w:ascii="宋体" w:hAnsi="宋体"/>
                <w:color w:val="0000FF"/>
                <w:sz w:val="18"/>
                <w:szCs w:val="18"/>
                <w:lang w:val="en-US" w:eastAsia="zh-CN"/>
              </w:rPr>
              <w:t>普通教室及办公室采光均满足要求。</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ascii="Calibri" w:hAnsi="Calibri" w:cs="Calibri"/>
                <w:color w:val="0000FF"/>
                <w:sz w:val="18"/>
                <w:szCs w:val="18"/>
              </w:rPr>
              <w:sym w:font="Wingdings 2" w:char="F052"/>
            </w:r>
            <w:r>
              <w:rPr>
                <w:rFonts w:hint="eastAsia" w:ascii="宋体" w:hAnsi="宋体"/>
                <w:color w:val="0000FF"/>
                <w:sz w:val="18"/>
                <w:szCs w:val="18"/>
              </w:rPr>
              <w:t>自然采光模拟计算书；□窗地比计算书；□设计图纸（建筑</w:t>
            </w:r>
            <w:r>
              <w:rPr>
                <w:rFonts w:ascii="宋体" w:hAnsi="宋体"/>
                <w:color w:val="0000FF"/>
                <w:sz w:val="18"/>
                <w:szCs w:val="18"/>
              </w:rPr>
              <w:t>/</w:t>
            </w:r>
            <w:r>
              <w:rPr>
                <w:rFonts w:hint="eastAsia" w:ascii="宋体" w:hAnsi="宋体"/>
                <w:color w:val="0000FF"/>
                <w:sz w:val="18"/>
                <w:szCs w:val="18"/>
              </w:rPr>
              <w:t>图号）</w:t>
            </w:r>
          </w:p>
          <w:p>
            <w:pPr>
              <w:widowControl w:val="0"/>
              <w:spacing w:line="240" w:lineRule="exact"/>
              <w:rPr>
                <w:rFonts w:ascii="黑体" w:hAnsi="宋体" w:eastAsia="黑体" w:cs="黑体"/>
                <w:color w:val="0000FF"/>
                <w:sz w:val="18"/>
                <w:szCs w:val="18"/>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 xml:space="preserve"> 8.2.7</w:t>
            </w:r>
            <w:r>
              <w:rPr>
                <w:rFonts w:hint="eastAsia" w:ascii="黑体" w:hAnsi="Calibri" w:eastAsia="黑体" w:cs="黑体"/>
                <w:color w:val="0000FF"/>
                <w:sz w:val="18"/>
                <w:szCs w:val="18"/>
                <w:bdr w:val="single" w:color="0000FF" w:sz="4" w:space="0"/>
              </w:rPr>
              <w:t>改善建筑室内天然采光效果。</w:t>
            </w:r>
            <w:r>
              <w:rPr>
                <w:rFonts w:hint="eastAsia" w:ascii="黑体" w:hAnsi="宋体" w:eastAsia="黑体" w:cs="黑体"/>
                <w:color w:val="0000FF"/>
                <w:sz w:val="18"/>
                <w:szCs w:val="18"/>
              </w:rPr>
              <w:t>（</w:t>
            </w:r>
            <w:r>
              <w:rPr>
                <w:rFonts w:ascii="黑体" w:hAnsi="宋体" w:eastAsia="黑体" w:cs="黑体"/>
                <w:color w:val="0000FF"/>
                <w:sz w:val="18"/>
                <w:szCs w:val="18"/>
              </w:rPr>
              <w:t>10</w:t>
            </w:r>
            <w:r>
              <w:rPr>
                <w:rFonts w:hint="eastAsia" w:ascii="黑体" w:hAnsi="宋体" w:eastAsia="黑体" w:cs="黑体"/>
                <w:color w:val="0000FF"/>
                <w:sz w:val="18"/>
                <w:szCs w:val="18"/>
              </w:rPr>
              <w:t>分）</w:t>
            </w:r>
          </w:p>
          <w:p>
            <w:pPr>
              <w:pStyle w:val="22"/>
              <w:widowControl w:val="0"/>
              <w:shd w:val="clear" w:color="auto" w:fill="FFFFFF"/>
              <w:spacing w:line="240" w:lineRule="exact"/>
              <w:jc w:val="both"/>
              <w:rPr>
                <w:color w:val="0000FF"/>
                <w:sz w:val="18"/>
                <w:szCs w:val="18"/>
              </w:rPr>
            </w:pPr>
            <w:r>
              <w:rPr>
                <w:rFonts w:hint="eastAsia"/>
                <w:color w:val="0000FF"/>
                <w:sz w:val="18"/>
                <w:szCs w:val="18"/>
              </w:rPr>
              <w:t>技术措施说明：采用浅色饰面，可有效防止眩光。</w:t>
            </w:r>
          </w:p>
          <w:p>
            <w:pPr>
              <w:pStyle w:val="22"/>
              <w:widowControl w:val="0"/>
              <w:shd w:val="clear" w:color="auto" w:fill="FFFFFF"/>
              <w:spacing w:line="240" w:lineRule="exact"/>
              <w:jc w:val="both"/>
              <w:rPr>
                <w:color w:val="0000FF"/>
                <w:sz w:val="18"/>
                <w:szCs w:val="18"/>
              </w:rPr>
            </w:pPr>
            <w:r>
              <w:rPr>
                <w:rFonts w:hint="eastAsia"/>
                <w:color w:val="0000FF"/>
                <w:sz w:val="18"/>
                <w:szCs w:val="18"/>
              </w:rPr>
              <w:t>证明材料：</w:t>
            </w:r>
            <w:r>
              <w:rPr>
                <w:rFonts w:hint="eastAsia" w:hAnsi="Wingdings 2"/>
                <w:color w:val="0000FF"/>
                <w:sz w:val="18"/>
                <w:szCs w:val="18"/>
              </w:rPr>
              <w:sym w:font="Wingdings 2" w:char="F052"/>
            </w:r>
            <w:r>
              <w:rPr>
                <w:rFonts w:hint="eastAsia"/>
                <w:color w:val="0000FF"/>
                <w:sz w:val="18"/>
                <w:szCs w:val="18"/>
              </w:rPr>
              <w:t>眩光分析报告；</w:t>
            </w:r>
            <w:r>
              <w:rPr>
                <w:rFonts w:hint="eastAsia" w:hAnsi="Wingdings 2"/>
                <w:color w:val="0000FF"/>
                <w:sz w:val="18"/>
                <w:szCs w:val="18"/>
              </w:rPr>
              <w:sym w:font="Wingdings 2" w:char="F052"/>
            </w:r>
            <w:r>
              <w:rPr>
                <w:rFonts w:hint="eastAsia"/>
                <w:color w:val="0000FF"/>
                <w:sz w:val="18"/>
                <w:szCs w:val="18"/>
              </w:rPr>
              <w:t>设计图纸（建筑、建施</w:t>
            </w:r>
            <w:r>
              <w:rPr>
                <w:color w:val="0000FF"/>
                <w:sz w:val="18"/>
                <w:szCs w:val="18"/>
              </w:rPr>
              <w:t>-02~04</w:t>
            </w:r>
            <w:r>
              <w:rPr>
                <w:rFonts w:hint="eastAsia"/>
                <w:color w:val="0000FF"/>
                <w:sz w:val="18"/>
                <w:szCs w:val="18"/>
              </w:rPr>
              <w:t>）</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8.2.8</w:t>
            </w:r>
            <w:r>
              <w:rPr>
                <w:rFonts w:hint="eastAsia" w:ascii="黑体" w:hAnsi="宋体" w:eastAsia="黑体" w:cs="黑体"/>
                <w:color w:val="8EAADB"/>
                <w:sz w:val="18"/>
                <w:szCs w:val="18"/>
              </w:rPr>
              <w:t>采取可调节遮阳措施，降低夏季太阳辐射得热。</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证明材料：□可调节遮阳比例计算书；□设计图纸（专业、图号）</w:t>
            </w:r>
          </w:p>
          <w:p>
            <w:pPr>
              <w:widowControl w:val="0"/>
              <w:spacing w:line="240" w:lineRule="exact"/>
              <w:rPr>
                <w:rFonts w:ascii="黑体" w:hAnsi="宋体" w:eastAsia="黑体" w:cs="黑体"/>
                <w:color w:val="0000FF"/>
                <w:sz w:val="18"/>
                <w:szCs w:val="18"/>
                <w:bdr w:val="single" w:color="auto" w:sz="4" w:space="0"/>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8.2.10</w:t>
            </w:r>
            <w:r>
              <w:rPr>
                <w:rFonts w:hint="eastAsia" w:ascii="黑体" w:hAnsi="Calibri" w:eastAsia="黑体" w:cs="黑体"/>
                <w:color w:val="0000FF"/>
                <w:sz w:val="18"/>
                <w:szCs w:val="18"/>
                <w:bdr w:val="single" w:color="0000FF" w:sz="4" w:space="0"/>
              </w:rPr>
              <w:t>优化建筑空间、平面布局和构造设计，改善自然通风效果。</w:t>
            </w:r>
            <w:r>
              <w:rPr>
                <w:rFonts w:hint="eastAsia" w:ascii="黑体" w:hAnsi="宋体" w:eastAsia="黑体" w:cs="黑体"/>
                <w:color w:val="0000FF"/>
                <w:sz w:val="18"/>
                <w:szCs w:val="18"/>
              </w:rPr>
              <w:t>（</w:t>
            </w:r>
            <w:r>
              <w:rPr>
                <w:rFonts w:ascii="黑体" w:hAnsi="宋体" w:eastAsia="黑体" w:cs="黑体"/>
                <w:color w:val="0000FF"/>
                <w:sz w:val="18"/>
                <w:szCs w:val="18"/>
              </w:rPr>
              <w:t>13</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hint="eastAsia" w:ascii="宋体" w:hAnsi="Calibri"/>
                <w:color w:val="0000FF"/>
                <w:sz w:val="18"/>
                <w:szCs w:val="18"/>
                <w:lang w:val="en-US" w:eastAsia="zh-CN"/>
              </w:rPr>
              <w:t>项目为教学楼，两侧开窗通风流畅，经模拟分析所有房间通风换气次数大于2次，满足要求</w:t>
            </w:r>
            <w:r>
              <w:rPr>
                <w:rFonts w:hint="eastAsia" w:ascii="宋体" w:hAnsi="Calibri"/>
                <w:color w:val="0000FF"/>
                <w:sz w:val="18"/>
                <w:szCs w:val="18"/>
              </w:rPr>
              <w:t>。</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证明材料：□开地面积比计算；</w:t>
            </w:r>
            <w:r>
              <w:rPr>
                <w:rFonts w:hint="eastAsia" w:ascii="宋体" w:hAnsi="Wingdings 2"/>
                <w:color w:val="0000FF"/>
                <w:sz w:val="18"/>
                <w:szCs w:val="18"/>
              </w:rPr>
              <w:sym w:font="Wingdings 2" w:char="F052"/>
            </w:r>
            <w:r>
              <w:rPr>
                <w:rFonts w:hint="eastAsia" w:ascii="宋体" w:hAnsi="宋体"/>
                <w:color w:val="0000FF"/>
                <w:sz w:val="18"/>
                <w:szCs w:val="18"/>
              </w:rPr>
              <w:t>室内自然通风模拟计算书；</w:t>
            </w:r>
            <w:r>
              <w:rPr>
                <w:rFonts w:hint="eastAsia" w:ascii="宋体" w:hAnsi="Wingdings 2"/>
                <w:color w:val="0000FF"/>
                <w:sz w:val="18"/>
                <w:szCs w:val="18"/>
              </w:rPr>
              <w:sym w:font="Wingdings 2" w:char="F052"/>
            </w:r>
            <w:r>
              <w:rPr>
                <w:rFonts w:hint="eastAsia" w:ascii="宋体" w:hAnsi="宋体"/>
                <w:color w:val="0000FF"/>
                <w:sz w:val="18"/>
                <w:szCs w:val="18"/>
              </w:rPr>
              <w:t>设计图纸（建筑、建施</w:t>
            </w:r>
            <w:r>
              <w:rPr>
                <w:rFonts w:ascii="宋体" w:hAnsi="Calibri"/>
                <w:color w:val="0000FF"/>
                <w:sz w:val="18"/>
                <w:szCs w:val="18"/>
              </w:rPr>
              <w:t>-</w:t>
            </w:r>
            <w:r>
              <w:rPr>
                <w:rFonts w:ascii="宋体"/>
                <w:color w:val="0000FF"/>
                <w:sz w:val="18"/>
                <w:szCs w:val="18"/>
              </w:rPr>
              <w:t>0</w:t>
            </w:r>
            <w:r>
              <w:rPr>
                <w:rFonts w:ascii="宋体" w:hAnsi="宋体"/>
                <w:color w:val="0000FF"/>
                <w:sz w:val="18"/>
                <w:szCs w:val="18"/>
              </w:rPr>
              <w:t>5</w:t>
            </w:r>
            <w:r>
              <w:rPr>
                <w:rFonts w:hint="eastAsia" w:ascii="宋体" w:hAnsi="宋体"/>
                <w:color w:val="0000FF"/>
                <w:sz w:val="18"/>
                <w:szCs w:val="18"/>
              </w:rPr>
              <w:t>、</w:t>
            </w:r>
            <w:r>
              <w:rPr>
                <w:rFonts w:ascii="宋体" w:hAnsi="宋体"/>
                <w:color w:val="0000FF"/>
                <w:sz w:val="18"/>
                <w:szCs w:val="18"/>
              </w:rPr>
              <w:t>06</w:t>
            </w:r>
            <w:r>
              <w:rPr>
                <w:rFonts w:hint="eastAsia" w:ascii="宋体" w:hAnsi="宋体"/>
                <w:color w:val="0000FF"/>
                <w:sz w:val="18"/>
                <w:szCs w:val="18"/>
              </w:rPr>
              <w:t>）</w:t>
            </w:r>
          </w:p>
          <w:p>
            <w:pPr>
              <w:widowControl w:val="0"/>
              <w:spacing w:line="240" w:lineRule="exact"/>
              <w:ind w:left="450" w:hanging="450" w:hangingChars="250"/>
              <w:rPr>
                <w:rFonts w:ascii="Calibri" w:eastAsia="Times New Roman" w:cs="Calibri"/>
                <w:color w:val="0000FF"/>
                <w:sz w:val="18"/>
                <w:szCs w:val="18"/>
              </w:rPr>
            </w:pPr>
          </w:p>
          <w:p>
            <w:pPr>
              <w:widowControl w:val="0"/>
              <w:spacing w:line="240" w:lineRule="exact"/>
              <w:ind w:left="452" w:hanging="452" w:hangingChars="250"/>
              <w:rPr>
                <w:rFonts w:ascii="Calibri" w:eastAsia="Times New Roman" w:cs="Calibri"/>
                <w:b/>
                <w:bCs/>
                <w:color w:val="0000FF"/>
                <w:sz w:val="18"/>
                <w:szCs w:val="18"/>
              </w:rPr>
            </w:pPr>
            <w:r>
              <w:rPr>
                <w:rFonts w:hint="eastAsia" w:ascii="Calibri" w:hAnsi="Calibri"/>
                <w:b/>
                <w:bCs/>
                <w:color w:val="0000FF"/>
                <w:sz w:val="18"/>
                <w:szCs w:val="18"/>
              </w:rPr>
              <w:t>暖通专业</w:t>
            </w:r>
          </w:p>
          <w:p>
            <w:pPr>
              <w:widowControl w:val="0"/>
              <w:spacing w:line="240" w:lineRule="exact"/>
              <w:ind w:left="450" w:hanging="450" w:hangingChars="250"/>
              <w:rPr>
                <w:rFonts w:ascii="黑体" w:hAnsi="Calibri" w:eastAsia="黑体" w:cs="黑体"/>
                <w:color w:val="0000FF"/>
                <w:sz w:val="18"/>
                <w:szCs w:val="18"/>
                <w:bdr w:val="single" w:color="0000FF" w:sz="4" w:space="0"/>
              </w:rPr>
            </w:pPr>
            <w:r>
              <w:rPr>
                <w:rFonts w:ascii="Calibri" w:hAnsi="Calibri" w:cs="Calibri"/>
                <w:color w:val="0000FF"/>
                <w:sz w:val="18"/>
                <w:szCs w:val="18"/>
              </w:rPr>
              <w:sym w:font="Wingdings 2" w:char="F052"/>
            </w:r>
            <w:r>
              <w:rPr>
                <w:rFonts w:ascii="黑体" w:hAnsi="Calibri" w:eastAsia="黑体" w:cs="黑体"/>
                <w:color w:val="0000FF"/>
                <w:sz w:val="18"/>
                <w:szCs w:val="18"/>
                <w:bdr w:val="single" w:color="0000FF" w:sz="4" w:space="0"/>
              </w:rPr>
              <w:t>8.2.1</w:t>
            </w:r>
            <w:r>
              <w:rPr>
                <w:rFonts w:hint="eastAsia" w:ascii="黑体" w:hAnsi="Calibri" w:eastAsia="黑体" w:cs="黑体"/>
                <w:color w:val="0000FF"/>
                <w:sz w:val="18"/>
                <w:szCs w:val="18"/>
                <w:bdr w:val="single" w:color="0000FF" w:sz="4" w:space="0"/>
              </w:rPr>
              <w:t>主要功能房间室内噪声级。</w:t>
            </w:r>
            <w:r>
              <w:rPr>
                <w:rFonts w:hint="eastAsia" w:ascii="黑体" w:hAnsi="宋体" w:eastAsia="黑体" w:cs="黑体"/>
                <w:color w:val="0000FF"/>
                <w:sz w:val="18"/>
                <w:szCs w:val="18"/>
              </w:rPr>
              <w:t>（</w:t>
            </w:r>
            <w:r>
              <w:rPr>
                <w:rFonts w:hint="eastAsia" w:ascii="黑体" w:hAnsi="宋体" w:eastAsia="黑体" w:cs="黑体"/>
                <w:color w:val="0000FF"/>
                <w:sz w:val="18"/>
                <w:szCs w:val="18"/>
                <w:lang w:val="en-US" w:eastAsia="zh-CN"/>
              </w:rPr>
              <w:t>6</w:t>
            </w:r>
            <w:r>
              <w:rPr>
                <w:rFonts w:hint="eastAsia" w:ascii="黑体" w:hAnsi="宋体" w:eastAsia="黑体" w:cs="黑体"/>
                <w:color w:val="0000FF"/>
                <w:sz w:val="18"/>
                <w:szCs w:val="18"/>
              </w:rPr>
              <w:t>分）</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技术措施说明：经计算，本项目主要功能房间</w:t>
            </w:r>
            <w:r>
              <w:rPr>
                <w:rFonts w:hint="eastAsia" w:ascii="宋体" w:hAnsi="宋体"/>
                <w:color w:val="0000FF"/>
                <w:sz w:val="18"/>
                <w:szCs w:val="18"/>
                <w:lang w:val="en-US" w:eastAsia="zh-CN"/>
              </w:rPr>
              <w:t>普通教室</w:t>
            </w:r>
            <w:r>
              <w:rPr>
                <w:rFonts w:hint="eastAsia" w:ascii="宋体" w:hAnsi="宋体"/>
                <w:color w:val="0000FF"/>
                <w:sz w:val="18"/>
                <w:szCs w:val="18"/>
              </w:rPr>
              <w:t>的室内噪声级分别为</w:t>
            </w:r>
            <w:r>
              <w:rPr>
                <w:rFonts w:hint="eastAsia" w:ascii="宋体" w:hAnsi="宋体"/>
                <w:color w:val="0000FF"/>
                <w:sz w:val="18"/>
                <w:szCs w:val="18"/>
                <w:lang w:val="en-US" w:eastAsia="zh-CN"/>
              </w:rPr>
              <w:t>27.32</w:t>
            </w:r>
            <w:r>
              <w:rPr>
                <w:rFonts w:ascii="宋体" w:hAnsi="宋体"/>
                <w:color w:val="0000FF"/>
                <w:sz w:val="18"/>
                <w:szCs w:val="18"/>
              </w:rPr>
              <w:t>dB</w:t>
            </w:r>
            <w:r>
              <w:rPr>
                <w:rFonts w:hint="eastAsia" w:ascii="宋体" w:hAnsi="宋体"/>
                <w:color w:val="0000FF"/>
                <w:sz w:val="18"/>
                <w:szCs w:val="18"/>
                <w:lang w:eastAsia="zh-CN"/>
              </w:rPr>
              <w:t>，</w:t>
            </w:r>
            <w:r>
              <w:rPr>
                <w:rFonts w:hint="eastAsia" w:ascii="宋体" w:hAnsi="宋体"/>
                <w:color w:val="0000FF"/>
                <w:sz w:val="18"/>
                <w:szCs w:val="18"/>
                <w:lang w:val="en-US" w:eastAsia="zh-CN"/>
              </w:rPr>
              <w:t>办公室室内噪声级为28.10</w:t>
            </w:r>
            <w:r>
              <w:rPr>
                <w:rFonts w:hint="eastAsia" w:ascii="宋体" w:hAnsi="宋体"/>
                <w:color w:val="0000FF"/>
                <w:sz w:val="18"/>
                <w:szCs w:val="18"/>
              </w:rPr>
              <w:t>，达到《民用建筑隔声设计规范》 GB 50118中的</w:t>
            </w:r>
            <w:r>
              <w:rPr>
                <w:rFonts w:hint="eastAsia" w:ascii="宋体" w:hAnsi="宋体"/>
                <w:color w:val="0000FF"/>
                <w:sz w:val="18"/>
                <w:szCs w:val="18"/>
                <w:lang w:val="en-US" w:eastAsia="zh-CN"/>
              </w:rPr>
              <w:t>高标准</w:t>
            </w:r>
            <w:r>
              <w:rPr>
                <w:rFonts w:hint="eastAsia" w:ascii="宋体" w:hAnsi="宋体"/>
                <w:color w:val="0000FF"/>
                <w:sz w:val="18"/>
                <w:szCs w:val="18"/>
              </w:rPr>
              <w:t>要求。</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ascii="Calibri" w:hAnsi="Calibri" w:cs="Calibri"/>
                <w:color w:val="0000FF"/>
                <w:sz w:val="18"/>
                <w:szCs w:val="18"/>
              </w:rPr>
              <w:sym w:font="Wingdings 2" w:char="F052"/>
            </w:r>
            <w:r>
              <w:rPr>
                <w:rFonts w:hint="eastAsia" w:ascii="Calibri" w:hAnsi="Calibri"/>
                <w:color w:val="0000FF"/>
                <w:sz w:val="18"/>
                <w:szCs w:val="18"/>
              </w:rPr>
              <w:t>室内背景噪声计算书</w:t>
            </w:r>
            <w:r>
              <w:rPr>
                <w:rFonts w:ascii="Calibri" w:hAnsi="Calibri" w:cs="Calibri"/>
                <w:color w:val="0000FF"/>
                <w:sz w:val="18"/>
                <w:szCs w:val="18"/>
              </w:rPr>
              <w:t xml:space="preserve">  </w:t>
            </w:r>
            <w:r>
              <w:rPr>
                <w:rFonts w:ascii="Calibri" w:hAnsi="Calibri" w:cs="Calibri"/>
                <w:color w:val="0000FF"/>
                <w:sz w:val="18"/>
                <w:szCs w:val="18"/>
              </w:rPr>
              <w:sym w:font="Wingdings 2" w:char="F052"/>
            </w:r>
            <w:r>
              <w:rPr>
                <w:rFonts w:hint="eastAsia" w:ascii="宋体" w:hAnsi="宋体"/>
                <w:color w:val="0000FF"/>
                <w:sz w:val="18"/>
                <w:szCs w:val="18"/>
              </w:rPr>
              <w:t>设计图纸（建筑、建施</w:t>
            </w:r>
            <w:r>
              <w:rPr>
                <w:rFonts w:ascii="宋体" w:hAnsi="Calibri"/>
                <w:color w:val="0000FF"/>
                <w:sz w:val="18"/>
                <w:szCs w:val="18"/>
              </w:rPr>
              <w:t>-</w:t>
            </w:r>
            <w:r>
              <w:rPr>
                <w:rFonts w:ascii="宋体"/>
                <w:color w:val="0000FF"/>
                <w:sz w:val="18"/>
                <w:szCs w:val="18"/>
              </w:rPr>
              <w:t>0</w:t>
            </w:r>
            <w:r>
              <w:rPr>
                <w:rFonts w:ascii="宋体" w:hAnsi="宋体"/>
                <w:color w:val="0000FF"/>
                <w:sz w:val="18"/>
                <w:szCs w:val="18"/>
              </w:rPr>
              <w:t>3</w:t>
            </w:r>
            <w:r>
              <w:rPr>
                <w:rFonts w:hint="eastAsia" w:ascii="宋体" w:hAnsi="宋体"/>
                <w:color w:val="0000FF"/>
                <w:sz w:val="18"/>
                <w:szCs w:val="18"/>
              </w:rPr>
              <w:t>）</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黑体" w:hAnsi="宋体" w:eastAsia="黑体" w:cs="黑体"/>
                <w:color w:val="0000FF"/>
                <w:sz w:val="18"/>
                <w:szCs w:val="18"/>
              </w:rPr>
              <w:t xml:space="preserve"> 8.2.9</w:t>
            </w:r>
            <w:r>
              <w:rPr>
                <w:rFonts w:hint="eastAsia" w:ascii="黑体" w:hAnsi="宋体" w:eastAsia="黑体" w:cs="黑体"/>
                <w:color w:val="0000FF"/>
                <w:sz w:val="18"/>
                <w:szCs w:val="18"/>
              </w:rPr>
              <w:t>供暖空调系统末端现场可独立调节。</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技术措施说明：本项目采用分体空调。</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w:t>
            </w:r>
            <w:r>
              <w:rPr>
                <w:rFonts w:hint="eastAsia" w:ascii="宋体" w:hAnsi="Wingdings 2"/>
                <w:color w:val="0000FF"/>
                <w:sz w:val="18"/>
                <w:szCs w:val="18"/>
              </w:rPr>
              <w:sym w:font="Wingdings 2" w:char="F052"/>
            </w:r>
            <w:r>
              <w:rPr>
                <w:rFonts w:hint="eastAsia" w:ascii="宋体" w:hAnsi="宋体"/>
                <w:color w:val="0000FF"/>
                <w:sz w:val="18"/>
                <w:szCs w:val="18"/>
              </w:rPr>
              <w:t>设计图纸（专业、图号）</w:t>
            </w:r>
          </w:p>
          <w:p>
            <w:pPr>
              <w:widowControl w:val="0"/>
              <w:spacing w:line="240" w:lineRule="exact"/>
              <w:rPr>
                <w:rFonts w:ascii="黑体" w:hAnsi="宋体" w:eastAsia="黑体" w:cs="黑体"/>
                <w:color w:val="0000FF"/>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hint="eastAsia" w:ascii="黑体" w:hAnsi="宋体" w:eastAsia="黑体" w:cs="黑体"/>
                <w:color w:val="8EAADB"/>
                <w:sz w:val="18"/>
                <w:szCs w:val="18"/>
                <w:lang w:val="en-US" w:eastAsia="zh-CN"/>
              </w:rPr>
              <w:t xml:space="preserve"> </w:t>
            </w:r>
            <w:r>
              <w:rPr>
                <w:rFonts w:hint="eastAsia" w:ascii="黑体" w:hAnsi="宋体" w:eastAsia="黑体" w:cs="黑体"/>
                <w:color w:val="8EAADB"/>
                <w:sz w:val="18"/>
                <w:szCs w:val="18"/>
              </w:rPr>
              <w:t>8.2.11气流组织合理。</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技术措施说明：</w:t>
            </w:r>
          </w:p>
          <w:p>
            <w:pPr>
              <w:widowControl w:val="0"/>
              <w:spacing w:line="240" w:lineRule="exact"/>
              <w:rPr>
                <w:rFonts w:hint="eastAsia" w:ascii="宋体" w:hAnsi="宋体"/>
                <w:color w:val="8EAADB"/>
                <w:sz w:val="18"/>
                <w:szCs w:val="18"/>
              </w:rPr>
            </w:pPr>
            <w:r>
              <w:rPr>
                <w:rFonts w:hint="eastAsia" w:ascii="宋体" w:hAnsi="宋体"/>
                <w:color w:val="8EAADB"/>
                <w:sz w:val="18"/>
                <w:szCs w:val="18"/>
              </w:rPr>
              <w:t>证明材料：□气流组织设计说明或分析报告；□设计图纸（暖通、暖施-01）</w:t>
            </w:r>
          </w:p>
          <w:p>
            <w:pPr>
              <w:widowControl w:val="0"/>
              <w:spacing w:line="240" w:lineRule="exact"/>
              <w:ind w:left="180" w:hanging="180" w:hangingChars="100"/>
              <w:rPr>
                <w:rFonts w:ascii="Calibri" w:eastAsia="Times New Roman" w:cs="Calibri"/>
                <w:color w:val="0000FF"/>
                <w:sz w:val="18"/>
                <w:szCs w:val="18"/>
              </w:rPr>
            </w:pPr>
          </w:p>
          <w:p>
            <w:pPr>
              <w:widowControl w:val="0"/>
              <w:spacing w:line="240" w:lineRule="exact"/>
              <w:ind w:left="181" w:hanging="181" w:hangingChars="100"/>
              <w:rPr>
                <w:rFonts w:ascii="Calibri" w:eastAsia="Times New Roman" w:cs="Calibri"/>
                <w:b/>
                <w:bCs/>
                <w:color w:val="0000FF"/>
                <w:sz w:val="18"/>
                <w:szCs w:val="18"/>
              </w:rPr>
            </w:pPr>
            <w:r>
              <w:rPr>
                <w:rFonts w:hint="eastAsia" w:ascii="Calibri" w:hAnsi="Calibri"/>
                <w:b/>
                <w:bCs/>
                <w:color w:val="0000FF"/>
                <w:sz w:val="18"/>
                <w:szCs w:val="18"/>
              </w:rPr>
              <w:t>电气专业</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黑体" w:hAnsi="宋体" w:eastAsia="黑体" w:cs="黑体"/>
                <w:color w:val="0000FF"/>
                <w:sz w:val="18"/>
                <w:szCs w:val="18"/>
              </w:rPr>
              <w:t xml:space="preserve"> 8.2.12</w:t>
            </w:r>
            <w:r>
              <w:rPr>
                <w:rFonts w:hint="eastAsia" w:ascii="黑体" w:hAnsi="宋体" w:eastAsia="黑体" w:cs="黑体"/>
                <w:color w:val="0000FF"/>
                <w:sz w:val="18"/>
                <w:szCs w:val="18"/>
              </w:rPr>
              <w:t>主要功能房间中人员密度较高且随时间变化大的区域设置室内空气质量监控系统情况。（暖通辅助）</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技术措施说明：本项目采用分体式空调，不参评。</w:t>
            </w:r>
          </w:p>
          <w:p>
            <w:pPr>
              <w:widowControl w:val="0"/>
              <w:spacing w:line="240" w:lineRule="exact"/>
              <w:rPr>
                <w:rFonts w:ascii="黑体" w:hAnsi="宋体" w:eastAsia="黑体" w:cs="黑体"/>
                <w:color w:val="0000FF"/>
                <w:sz w:val="18"/>
                <w:szCs w:val="18"/>
              </w:rPr>
            </w:pPr>
            <w:r>
              <w:rPr>
                <w:rFonts w:hint="eastAsia" w:ascii="宋体" w:hAnsi="宋体"/>
                <w:color w:val="0000FF"/>
                <w:sz w:val="18"/>
                <w:szCs w:val="18"/>
              </w:rPr>
              <w:t>证明材料：□设计图纸（专业、图号）</w:t>
            </w:r>
          </w:p>
          <w:p>
            <w:pPr>
              <w:widowControl w:val="0"/>
              <w:spacing w:line="240" w:lineRule="exact"/>
              <w:rPr>
                <w:rFonts w:ascii="黑体" w:hAnsi="宋体" w:eastAsia="黑体" w:cs="黑体"/>
                <w:color w:val="0000FF"/>
                <w:sz w:val="18"/>
                <w:szCs w:val="18"/>
              </w:rPr>
            </w:pPr>
            <w:r>
              <w:rPr>
                <w:rFonts w:ascii="宋体" w:hAnsi="宋体"/>
                <w:color w:val="0000FF"/>
                <w:sz w:val="18"/>
                <w:szCs w:val="18"/>
              </w:rPr>
              <w:fldChar w:fldCharType="begin"/>
            </w:r>
            <w:r>
              <w:rPr>
                <w:rFonts w:ascii="宋体" w:hAnsi="宋体"/>
                <w:color w:val="0000FF"/>
                <w:sz w:val="18"/>
                <w:szCs w:val="18"/>
              </w:rPr>
              <w:instrText xml:space="preserve"> eq \o\ac(</w:instrText>
            </w:r>
            <w:r>
              <w:rPr>
                <w:rFonts w:hint="eastAsia" w:ascii="宋体" w:hAnsi="宋体"/>
                <w:color w:val="0000FF"/>
                <w:sz w:val="18"/>
                <w:szCs w:val="18"/>
              </w:rPr>
              <w:instrText xml:space="preserve">□</w:instrText>
            </w:r>
            <w:r>
              <w:rPr>
                <w:rFonts w:ascii="宋体" w:hAnsi="Calibri"/>
                <w:color w:val="0000FF"/>
                <w:sz w:val="18"/>
                <w:szCs w:val="18"/>
              </w:rPr>
              <w:instrText xml:space="preserve">,</w:instrText>
            </w:r>
            <w:r>
              <w:rPr>
                <w:rFonts w:ascii="宋体" w:hAnsi="宋体"/>
                <w:color w:val="0000FF"/>
                <w:position w:val="2"/>
                <w:sz w:val="18"/>
                <w:szCs w:val="18"/>
              </w:rPr>
              <w:instrText xml:space="preserve">/</w:instrText>
            </w:r>
            <w:r>
              <w:rPr>
                <w:rFonts w:ascii="宋体" w:hAnsi="宋体"/>
                <w:color w:val="0000FF"/>
                <w:sz w:val="18"/>
                <w:szCs w:val="18"/>
              </w:rPr>
              <w:instrText xml:space="preserve">)</w:instrText>
            </w:r>
            <w:r>
              <w:rPr>
                <w:rFonts w:ascii="宋体" w:hAnsi="宋体"/>
                <w:color w:val="0000FF"/>
                <w:sz w:val="18"/>
                <w:szCs w:val="18"/>
              </w:rPr>
              <w:fldChar w:fldCharType="end"/>
            </w:r>
            <w:r>
              <w:rPr>
                <w:rFonts w:ascii="黑体" w:hAnsi="宋体" w:eastAsia="黑体" w:cs="黑体"/>
                <w:color w:val="0000FF"/>
                <w:sz w:val="18"/>
                <w:szCs w:val="18"/>
              </w:rPr>
              <w:t xml:space="preserve"> 8.2.13</w:t>
            </w:r>
            <w:r>
              <w:rPr>
                <w:rFonts w:hint="eastAsia" w:ascii="黑体" w:hAnsi="宋体" w:eastAsia="黑体" w:cs="黑体"/>
                <w:color w:val="0000FF"/>
                <w:sz w:val="18"/>
                <w:szCs w:val="18"/>
              </w:rPr>
              <w:t>地下车库设置与排风设备联动的一氧化碳浓度监测装置。（暖通专业辅助）</w:t>
            </w:r>
          </w:p>
          <w:p>
            <w:pPr>
              <w:widowControl w:val="0"/>
              <w:spacing w:line="240" w:lineRule="exact"/>
              <w:rPr>
                <w:rFonts w:ascii="宋体" w:hAnsi="Calibri"/>
                <w:color w:val="0000FF"/>
                <w:sz w:val="18"/>
                <w:szCs w:val="18"/>
              </w:rPr>
            </w:pPr>
            <w:r>
              <w:rPr>
                <w:rFonts w:hint="eastAsia" w:ascii="宋体" w:hAnsi="宋体"/>
                <w:color w:val="0000FF"/>
                <w:sz w:val="18"/>
                <w:szCs w:val="18"/>
              </w:rPr>
              <w:t>技术措施说明：</w:t>
            </w:r>
            <w:r>
              <w:rPr>
                <w:rFonts w:hint="eastAsia" w:ascii="宋体" w:hAnsi="宋体"/>
                <w:color w:val="0000FF"/>
                <w:sz w:val="18"/>
                <w:szCs w:val="18"/>
                <w:lang w:val="en-US" w:eastAsia="zh-CN"/>
              </w:rPr>
              <w:t>项目没有设计地下室，本条不参评</w:t>
            </w:r>
            <w:r>
              <w:rPr>
                <w:rFonts w:hint="eastAsia" w:ascii="宋体" w:hAnsi="宋体"/>
                <w:color w:val="0000FF"/>
                <w:sz w:val="18"/>
                <w:szCs w:val="18"/>
              </w:rPr>
              <w:t>。</w:t>
            </w:r>
          </w:p>
          <w:p>
            <w:pPr>
              <w:widowControl w:val="0"/>
              <w:spacing w:line="240" w:lineRule="exact"/>
              <w:rPr>
                <w:rFonts w:ascii="宋体" w:hAnsi="Calibri"/>
                <w:color w:val="0000FF"/>
                <w:sz w:val="18"/>
                <w:szCs w:val="18"/>
              </w:rPr>
            </w:pPr>
            <w:r>
              <w:rPr>
                <w:rFonts w:hint="eastAsia" w:ascii="宋体" w:hAnsi="宋体"/>
                <w:color w:val="0000FF"/>
                <w:sz w:val="18"/>
                <w:szCs w:val="18"/>
              </w:rPr>
              <w:t>证明材料：</w:t>
            </w:r>
            <w:r>
              <w:rPr>
                <w:rFonts w:ascii="Calibri" w:hAnsi="Calibri" w:cs="Calibri"/>
                <w:color w:val="0000FF"/>
                <w:sz w:val="18"/>
                <w:szCs w:val="18"/>
              </w:rPr>
              <w:sym w:font="Wingdings 2" w:char="F052"/>
            </w:r>
            <w:r>
              <w:rPr>
                <w:rFonts w:hint="eastAsia" w:ascii="宋体" w:hAnsi="宋体"/>
                <w:color w:val="0000FF"/>
                <w:sz w:val="18"/>
                <w:szCs w:val="18"/>
              </w:rPr>
              <w:t>设计图纸（电气/暖通、电施</w:t>
            </w:r>
            <w:r>
              <w:rPr>
                <w:rFonts w:ascii="宋体" w:hAnsi="Calibri"/>
                <w:color w:val="0000FF"/>
                <w:sz w:val="18"/>
                <w:szCs w:val="18"/>
              </w:rPr>
              <w:t>-0</w:t>
            </w:r>
            <w:r>
              <w:rPr>
                <w:rFonts w:ascii="宋体" w:hAnsi="宋体"/>
                <w:color w:val="0000FF"/>
                <w:sz w:val="18"/>
                <w:szCs w:val="18"/>
              </w:rPr>
              <w:t>3</w:t>
            </w:r>
            <w:r>
              <w:rPr>
                <w:rFonts w:hint="eastAsia" w:ascii="宋体" w:hAnsi="宋体"/>
                <w:color w:val="0000FF"/>
                <w:sz w:val="18"/>
                <w:szCs w:val="18"/>
              </w:rPr>
              <w:t>、</w:t>
            </w:r>
            <w:r>
              <w:rPr>
                <w:rFonts w:ascii="宋体" w:hAnsi="宋体"/>
                <w:color w:val="0000FF"/>
                <w:sz w:val="18"/>
                <w:szCs w:val="18"/>
              </w:rPr>
              <w:t>暖施</w:t>
            </w:r>
            <w:r>
              <w:rPr>
                <w:rFonts w:hint="eastAsia" w:ascii="宋体" w:hAnsi="宋体"/>
                <w:color w:val="0000FF"/>
                <w:sz w:val="18"/>
                <w:szCs w:val="18"/>
              </w:rPr>
              <w:t>-</w:t>
            </w:r>
            <w:r>
              <w:rPr>
                <w:rFonts w:ascii="宋体" w:hAnsi="宋体"/>
                <w:color w:val="0000FF"/>
                <w:sz w:val="18"/>
                <w:szCs w:val="18"/>
              </w:rPr>
              <w:t>01</w:t>
            </w:r>
            <w:r>
              <w:rPr>
                <w:rFonts w:hint="eastAsia" w:ascii="宋体" w:hAnsi="宋体"/>
                <w:color w:val="0000FF"/>
                <w:sz w:val="18"/>
                <w:szCs w:val="18"/>
              </w:rPr>
              <w:t>）</w:t>
            </w:r>
          </w:p>
          <w:p>
            <w:pPr>
              <w:widowControl w:val="0"/>
              <w:spacing w:line="240" w:lineRule="exact"/>
              <w:rPr>
                <w:rFonts w:ascii="Calibri" w:hAnsi="黑体" w:eastAsia="黑体" w:cs="Calibri"/>
                <w:b/>
                <w:bCs/>
                <w:color w:val="0000FF"/>
                <w:kern w:val="0"/>
                <w:sz w:val="18"/>
                <w:szCs w:val="18"/>
              </w:rPr>
            </w:pPr>
          </w:p>
          <w:p>
            <w:pPr>
              <w:widowControl w:val="0"/>
              <w:spacing w:line="240" w:lineRule="exact"/>
              <w:ind w:left="181" w:hanging="181" w:hangingChars="100"/>
              <w:rPr>
                <w:rFonts w:ascii="Calibri" w:eastAsia="Times New Roman" w:cs="Calibri"/>
                <w:b/>
                <w:bCs/>
                <w:color w:val="0000FF"/>
                <w:sz w:val="18"/>
                <w:szCs w:val="18"/>
              </w:rPr>
            </w:pPr>
            <w:r>
              <w:rPr>
                <w:rFonts w:hint="eastAsia" w:ascii="Calibri" w:hAnsi="Calibri"/>
                <w:b/>
                <w:bCs/>
                <w:color w:val="0000FF"/>
                <w:sz w:val="18"/>
                <w:szCs w:val="18"/>
              </w:rPr>
              <w:t>给排水专业</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8.2.3</w:t>
            </w:r>
            <w:r>
              <w:rPr>
                <w:rFonts w:hint="eastAsia" w:ascii="黑体" w:hAnsi="宋体" w:eastAsia="黑体" w:cs="黑体"/>
                <w:color w:val="8EAADB"/>
                <w:sz w:val="18"/>
                <w:szCs w:val="18"/>
              </w:rPr>
              <w:t>采取减少噪声干扰的措施。（针对同层排水和旋流弯头设计）</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黑体" w:hAnsi="宋体" w:eastAsia="黑体" w:cs="黑体"/>
                <w:color w:val="0000FF"/>
                <w:sz w:val="18"/>
                <w:szCs w:val="18"/>
              </w:rPr>
            </w:pPr>
            <w:r>
              <w:rPr>
                <w:rFonts w:hint="eastAsia" w:ascii="宋体" w:hAnsi="宋体"/>
                <w:color w:val="8EAADB"/>
                <w:sz w:val="18"/>
                <w:szCs w:val="18"/>
              </w:rPr>
              <w:t>证明材料：</w:t>
            </w:r>
            <w:r>
              <w:rPr>
                <w:rFonts w:hint="eastAsia" w:ascii="宋体" w:hAnsi="Wingdings 2"/>
                <w:color w:val="8EAADB"/>
                <w:sz w:val="18"/>
                <w:szCs w:val="18"/>
              </w:rPr>
              <w:sym w:font="Wingdings 2" w:char="F052"/>
            </w:r>
            <w:r>
              <w:rPr>
                <w:rFonts w:hint="eastAsia" w:ascii="宋体" w:hAnsi="宋体"/>
                <w:color w:val="8EAADB"/>
                <w:sz w:val="18"/>
                <w:szCs w:val="18"/>
              </w:rPr>
              <w:t>设计图纸（暖通、暖施</w:t>
            </w:r>
            <w:r>
              <w:rPr>
                <w:rFonts w:ascii="宋体" w:hAnsi="宋体"/>
                <w:color w:val="8EAADB"/>
                <w:sz w:val="18"/>
                <w:szCs w:val="18"/>
              </w:rPr>
              <w:t>-01</w:t>
            </w:r>
            <w:r>
              <w:rPr>
                <w:rFonts w:hint="eastAsia" w:ascii="宋体" w:hAnsi="宋体"/>
                <w:color w:val="8EAADB"/>
                <w:sz w:val="18"/>
                <w:szCs w:val="18"/>
              </w:rPr>
              <w:t>）</w:t>
            </w:r>
          </w:p>
        </w:tc>
      </w:tr>
      <w:tr>
        <w:tblPrEx>
          <w:tblBorders>
            <w:top w:val="single" w:color="0000FF" w:sz="6" w:space="0"/>
            <w:left w:val="single" w:color="0000FF" w:sz="6" w:space="0"/>
            <w:bottom w:val="single" w:color="0000FF" w:sz="6" w:space="0"/>
            <w:right w:val="single" w:color="0000FF" w:sz="6" w:space="0"/>
            <w:insideH w:val="none" w:color="auto" w:sz="0" w:space="0"/>
            <w:insideV w:val="none" w:color="auto" w:sz="0" w:space="0"/>
          </w:tblBorders>
          <w:tblLayout w:type="fixed"/>
          <w:tblCellMar>
            <w:top w:w="0" w:type="dxa"/>
            <w:left w:w="108" w:type="dxa"/>
            <w:bottom w:w="0" w:type="dxa"/>
            <w:right w:w="108" w:type="dxa"/>
          </w:tblCellMar>
        </w:tblPrEx>
        <w:trPr>
          <w:trHeight w:val="3939" w:hRule="atLeast"/>
          <w:jc w:val="center"/>
        </w:trPr>
        <w:tc>
          <w:tcPr>
            <w:tcW w:w="10539" w:type="dxa"/>
            <w:gridSpan w:val="2"/>
            <w:tcBorders>
              <w:top w:val="single" w:color="3333FF" w:sz="6" w:space="0"/>
            </w:tcBorders>
          </w:tcPr>
          <w:p>
            <w:pPr>
              <w:widowControl w:val="0"/>
              <w:spacing w:line="300" w:lineRule="exact"/>
              <w:jc w:val="center"/>
              <w:rPr>
                <w:rFonts w:ascii="Calibri" w:hAnsi="黑体" w:eastAsia="黑体" w:cs="Calibri"/>
                <w:b/>
                <w:bCs/>
                <w:color w:val="0000FF"/>
                <w:kern w:val="0"/>
                <w:sz w:val="24"/>
                <w:szCs w:val="24"/>
              </w:rPr>
            </w:pPr>
          </w:p>
          <w:p>
            <w:pPr>
              <w:widowControl w:val="0"/>
              <w:spacing w:line="300" w:lineRule="exact"/>
              <w:jc w:val="center"/>
              <w:rPr>
                <w:rFonts w:ascii="Calibri" w:hAnsi="黑体" w:eastAsia="黑体" w:cs="Calibri"/>
                <w:b/>
                <w:bCs/>
                <w:color w:val="0000FF"/>
                <w:kern w:val="0"/>
                <w:sz w:val="24"/>
                <w:szCs w:val="24"/>
              </w:rPr>
            </w:pPr>
            <w:r>
              <w:rPr>
                <w:rFonts w:hint="eastAsia" w:ascii="Calibri" w:hAnsi="黑体" w:eastAsia="黑体" w:cs="黑体"/>
                <w:b/>
                <w:bCs/>
                <w:color w:val="0000FF"/>
                <w:kern w:val="0"/>
                <w:sz w:val="24"/>
                <w:szCs w:val="24"/>
              </w:rPr>
              <w:t>六、提高与创新技术措施</w:t>
            </w:r>
          </w:p>
          <w:p>
            <w:pPr>
              <w:widowControl w:val="0"/>
              <w:spacing w:line="240" w:lineRule="exact"/>
              <w:ind w:firstLine="3148" w:firstLineChars="1748"/>
              <w:rPr>
                <w:rFonts w:ascii="Calibri" w:eastAsia="Times New Roman" w:cs="Calibri"/>
                <w:b/>
                <w:bCs/>
                <w:color w:val="0000FF"/>
                <w:sz w:val="18"/>
                <w:szCs w:val="18"/>
              </w:rPr>
            </w:pPr>
          </w:p>
          <w:p>
            <w:pPr>
              <w:widowControl w:val="0"/>
              <w:spacing w:line="240" w:lineRule="exact"/>
              <w:jc w:val="center"/>
              <w:rPr>
                <w:rFonts w:ascii="Calibri" w:eastAsia="Times New Roman" w:cs="Calibri"/>
                <w:b/>
                <w:bCs/>
                <w:color w:val="0000FF"/>
                <w:sz w:val="18"/>
                <w:szCs w:val="18"/>
              </w:rPr>
            </w:pPr>
            <w:r>
              <w:rPr>
                <w:rFonts w:hint="eastAsia" w:ascii="Calibri" w:hAnsi="Calibri"/>
                <w:b/>
                <w:bCs/>
                <w:color w:val="0000FF"/>
                <w:sz w:val="18"/>
                <w:szCs w:val="18"/>
              </w:rPr>
              <w:t>自选说明内容（得分项）</w:t>
            </w:r>
          </w:p>
          <w:p>
            <w:pPr>
              <w:widowControl w:val="0"/>
              <w:spacing w:line="240" w:lineRule="exact"/>
              <w:ind w:firstLine="3148" w:firstLineChars="1748"/>
              <w:rPr>
                <w:rFonts w:ascii="Calibri" w:eastAsia="Times New Roman" w:cs="Calibri"/>
                <w:b/>
                <w:bCs/>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规划专业</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11.2.8</w:t>
            </w:r>
            <w:r>
              <w:rPr>
                <w:rFonts w:hint="eastAsia" w:ascii="黑体" w:hAnsi="宋体" w:eastAsia="黑体" w:cs="黑体"/>
                <w:color w:val="8EAADB"/>
                <w:sz w:val="18"/>
                <w:szCs w:val="18"/>
              </w:rPr>
              <w:t>建筑方案充分考虑建筑所在地域的气候、环境、资源，结合场地特征和</w:t>
            </w:r>
            <w:r>
              <w:rPr>
                <w:rFonts w:ascii="黑体" w:hAnsi="宋体" w:eastAsia="黑体" w:cs="黑体"/>
                <w:color w:val="8EAADB"/>
                <w:sz w:val="18"/>
                <w:szCs w:val="18"/>
              </w:rPr>
              <w:t xml:space="preserve"> </w:t>
            </w:r>
            <w:r>
              <w:rPr>
                <w:rFonts w:hint="eastAsia" w:ascii="黑体" w:hAnsi="宋体" w:eastAsia="黑体" w:cs="黑体"/>
                <w:color w:val="8EAADB"/>
                <w:sz w:val="18"/>
                <w:szCs w:val="18"/>
              </w:rPr>
              <w:t>建筑功能，进行技术经济分析，显著提高能源资源利用效率和建筑性能情况。</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证明材料：□建筑优化设计专项分析报告</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11.2.9</w:t>
            </w:r>
            <w:r>
              <w:rPr>
                <w:rFonts w:hint="eastAsia" w:ascii="黑体" w:hAnsi="宋体" w:eastAsia="黑体" w:cs="黑体"/>
                <w:color w:val="8EAADB"/>
                <w:sz w:val="18"/>
                <w:szCs w:val="18"/>
              </w:rPr>
              <w:t>合理选用废弃场地进行建设，或充分利用尚可使用的旧建筑。</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证明材料：□环评报告；□废弃场地利用分析报告；□旧建筑利用分析报告</w:t>
            </w:r>
          </w:p>
          <w:p>
            <w:pPr>
              <w:widowControl w:val="0"/>
              <w:spacing w:line="240" w:lineRule="exact"/>
              <w:ind w:firstLine="3148" w:firstLineChars="1748"/>
              <w:rPr>
                <w:rFonts w:ascii="Calibri" w:eastAsia="Times New Roman" w:cs="Calibri"/>
                <w:b/>
                <w:bCs/>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建筑专业</w:t>
            </w:r>
          </w:p>
          <w:p>
            <w:pPr>
              <w:widowControl w:val="0"/>
              <w:spacing w:line="240" w:lineRule="exact"/>
              <w:rPr>
                <w:rFonts w:ascii="Calibri" w:eastAsia="Times New Roman" w:cs="Calibri"/>
                <w:b/>
                <w:bCs/>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11.2.1</w:t>
            </w:r>
            <w:r>
              <w:rPr>
                <w:rFonts w:hint="eastAsia" w:ascii="黑体" w:hAnsi="宋体" w:eastAsia="黑体" w:cs="黑体"/>
                <w:color w:val="8EAADB"/>
                <w:sz w:val="18"/>
                <w:szCs w:val="18"/>
              </w:rPr>
              <w:t>围护结构热工性能比国家现行相关建筑节能设计标准的规定高</w:t>
            </w:r>
            <w:r>
              <w:rPr>
                <w:rFonts w:ascii="黑体" w:hAnsi="宋体" w:eastAsia="黑体" w:cs="黑体"/>
                <w:color w:val="8EAADB"/>
                <w:sz w:val="18"/>
                <w:szCs w:val="18"/>
              </w:rPr>
              <w:t>20%</w:t>
            </w:r>
            <w:r>
              <w:rPr>
                <w:rFonts w:hint="eastAsia" w:ascii="黑体" w:hAnsi="宋体" w:eastAsia="黑体" w:cs="黑体"/>
                <w:color w:val="8EAADB"/>
                <w:sz w:val="18"/>
                <w:szCs w:val="18"/>
              </w:rPr>
              <w:t>，或者供暖空调全年计算负荷降低幅度达到</w:t>
            </w:r>
            <w:r>
              <w:rPr>
                <w:rFonts w:ascii="黑体" w:hAnsi="宋体" w:eastAsia="黑体" w:cs="黑体"/>
                <w:color w:val="8EAADB"/>
                <w:sz w:val="18"/>
                <w:szCs w:val="18"/>
              </w:rPr>
              <w:t>15%</w:t>
            </w:r>
            <w:r>
              <w:rPr>
                <w:rFonts w:hint="eastAsia" w:ascii="黑体" w:hAnsi="宋体" w:eastAsia="黑体" w:cs="黑体"/>
                <w:color w:val="8EAADB"/>
                <w:sz w:val="18"/>
                <w:szCs w:val="18"/>
              </w:rPr>
              <w:t>。</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宋体" w:hAnsi="Calibri"/>
                <w:color w:val="8EAADB"/>
                <w:sz w:val="18"/>
                <w:szCs w:val="18"/>
              </w:rPr>
            </w:pPr>
            <w:r>
              <w:rPr>
                <w:rFonts w:hint="eastAsia" w:ascii="宋体" w:hAnsi="宋体"/>
                <w:color w:val="8EAADB"/>
                <w:sz w:val="18"/>
                <w:szCs w:val="18"/>
              </w:rPr>
              <w:t>证明材料：□围护结构节能指标计算书；□设计图纸（专业、图号）</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11.2.10</w:t>
            </w:r>
            <w:r>
              <w:rPr>
                <w:rFonts w:hint="eastAsia" w:ascii="黑体" w:hAnsi="宋体" w:eastAsia="黑体" w:cs="黑体"/>
                <w:color w:val="8EAADB"/>
                <w:sz w:val="18"/>
                <w:szCs w:val="18"/>
              </w:rPr>
              <w:t>在建筑的规划设计、施工建造和运行维护阶段中的建筑信息模型（</w:t>
            </w:r>
            <w:r>
              <w:rPr>
                <w:rFonts w:ascii="黑体" w:hAnsi="宋体" w:eastAsia="黑体" w:cs="黑体"/>
                <w:color w:val="8EAADB"/>
                <w:sz w:val="18"/>
                <w:szCs w:val="18"/>
              </w:rPr>
              <w:t>BIM)</w:t>
            </w:r>
            <w:r>
              <w:rPr>
                <w:rFonts w:hint="eastAsia" w:ascii="黑体" w:hAnsi="宋体" w:eastAsia="黑体" w:cs="黑体"/>
                <w:color w:val="8EAADB"/>
                <w:sz w:val="18"/>
                <w:szCs w:val="18"/>
              </w:rPr>
              <w:t>技术应用，得</w:t>
            </w:r>
            <w:r>
              <w:rPr>
                <w:rFonts w:ascii="黑体" w:hAnsi="宋体" w:eastAsia="黑体" w:cs="黑体"/>
                <w:color w:val="8EAADB"/>
                <w:sz w:val="18"/>
                <w:szCs w:val="18"/>
              </w:rPr>
              <w:t>1</w:t>
            </w:r>
            <w:r>
              <w:rPr>
                <w:rFonts w:hint="eastAsia" w:ascii="黑体" w:hAnsi="宋体" w:eastAsia="黑体" w:cs="黑体"/>
                <w:color w:val="8EAADB"/>
                <w:sz w:val="18"/>
                <w:szCs w:val="18"/>
              </w:rPr>
              <w:t>分；在两个或二个以上阶段应用情况。</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w:t>
            </w:r>
            <w:r>
              <w:rPr>
                <w:rFonts w:ascii="宋体" w:hAnsi="宋体"/>
                <w:color w:val="8EAADB"/>
                <w:sz w:val="18"/>
                <w:szCs w:val="18"/>
              </w:rPr>
              <w:t>BIM</w:t>
            </w:r>
            <w:r>
              <w:rPr>
                <w:rFonts w:hint="eastAsia" w:ascii="宋体" w:hAnsi="宋体"/>
                <w:color w:val="8EAADB"/>
                <w:sz w:val="18"/>
                <w:szCs w:val="18"/>
              </w:rPr>
              <w:t>技术应用报告；□设计图纸（专业、图号）</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11.2.11</w:t>
            </w:r>
            <w:r>
              <w:rPr>
                <w:rFonts w:hint="eastAsia" w:ascii="黑体" w:hAnsi="宋体" w:eastAsia="黑体" w:cs="黑体"/>
                <w:color w:val="8EAADB"/>
                <w:sz w:val="18"/>
                <w:szCs w:val="18"/>
              </w:rPr>
              <w:t>进行建筑碳排放计算分析，采取措施降低单位建筑面积碳排放强度。</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证明材料：□建筑碳排放计算分析报告</w:t>
            </w:r>
          </w:p>
          <w:p>
            <w:pPr>
              <w:widowControl w:val="0"/>
              <w:spacing w:line="240" w:lineRule="exact"/>
              <w:rPr>
                <w:rFonts w:ascii="Calibri" w:eastAsia="Times New Roman" w:cs="Calibri"/>
                <w:b/>
                <w:bCs/>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结构专业</w:t>
            </w:r>
          </w:p>
          <w:p>
            <w:pPr>
              <w:widowControl w:val="0"/>
              <w:spacing w:line="240" w:lineRule="exact"/>
              <w:rPr>
                <w:rFonts w:ascii="Calibri" w:eastAsia="Times New Roman" w:cs="Calibri"/>
                <w:b/>
                <w:bCs/>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11.2.5</w:t>
            </w:r>
            <w:r>
              <w:rPr>
                <w:rFonts w:hint="eastAsia" w:ascii="黑体" w:hAnsi="宋体" w:eastAsia="黑体" w:cs="黑体"/>
                <w:color w:val="8EAADB"/>
                <w:sz w:val="18"/>
                <w:szCs w:val="18"/>
              </w:rPr>
              <w:t>采用资源消耗少和环境影响小的建筑结构体系情况。</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宋体" w:hAnsi="Calibri"/>
                <w:color w:val="8EAADB"/>
                <w:sz w:val="18"/>
                <w:szCs w:val="18"/>
              </w:rPr>
            </w:pPr>
            <w:r>
              <w:rPr>
                <w:rFonts w:hint="eastAsia" w:ascii="宋体" w:hAnsi="宋体"/>
                <w:color w:val="8EAADB"/>
                <w:sz w:val="18"/>
                <w:szCs w:val="18"/>
              </w:rPr>
              <w:t>证明材料：□结构分析报告；□</w:t>
            </w:r>
            <w:r>
              <w:rPr>
                <w:rFonts w:ascii="宋体" w:hAnsi="宋体"/>
                <w:color w:val="8EAADB"/>
                <w:sz w:val="18"/>
                <w:szCs w:val="18"/>
              </w:rPr>
              <w:t xml:space="preserve"> </w:t>
            </w:r>
            <w:r>
              <w:rPr>
                <w:rFonts w:hint="eastAsia" w:ascii="宋体" w:hAnsi="宋体"/>
                <w:color w:val="8EAADB"/>
                <w:sz w:val="18"/>
                <w:szCs w:val="18"/>
              </w:rPr>
              <w:t>预制构件用量比例计算书；□设计图纸（专业、图号）</w:t>
            </w:r>
          </w:p>
          <w:p>
            <w:pPr>
              <w:widowControl w:val="0"/>
              <w:spacing w:line="240" w:lineRule="exact"/>
              <w:rPr>
                <w:rFonts w:ascii="Calibri" w:eastAsia="Times New Roman" w:cs="Calibri"/>
                <w:b/>
                <w:bCs/>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暖通专业</w:t>
            </w:r>
          </w:p>
          <w:p>
            <w:pPr>
              <w:widowControl w:val="0"/>
              <w:spacing w:line="240" w:lineRule="exact"/>
              <w:rPr>
                <w:rFonts w:ascii="Calibri" w:eastAsia="Times New Roman" w:cs="Calibri"/>
                <w:b/>
                <w:bCs/>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11.2.2</w:t>
            </w:r>
            <w:r>
              <w:rPr>
                <w:rFonts w:hint="eastAsia" w:ascii="黑体" w:hAnsi="宋体" w:eastAsia="黑体" w:cs="黑体"/>
                <w:color w:val="8EAADB"/>
                <w:sz w:val="18"/>
                <w:szCs w:val="18"/>
              </w:rPr>
              <w:t>供暖空调系统的冷、热源机组能效均优于现行国家标准《公共建筑节能</w:t>
            </w:r>
            <w:r>
              <w:rPr>
                <w:rFonts w:ascii="黑体" w:hAnsi="宋体" w:eastAsia="黑体" w:cs="黑体"/>
                <w:color w:val="8EAADB"/>
                <w:sz w:val="18"/>
                <w:szCs w:val="18"/>
              </w:rPr>
              <w:t xml:space="preserve"> </w:t>
            </w:r>
            <w:r>
              <w:rPr>
                <w:rFonts w:hint="eastAsia" w:ascii="黑体" w:hAnsi="宋体" w:eastAsia="黑体" w:cs="黑体"/>
                <w:color w:val="8EAADB"/>
                <w:sz w:val="18"/>
                <w:szCs w:val="18"/>
              </w:rPr>
              <w:t>设计标准》</w:t>
            </w:r>
            <w:r>
              <w:rPr>
                <w:rFonts w:ascii="黑体" w:hAnsi="宋体" w:eastAsia="黑体" w:cs="黑体"/>
                <w:color w:val="8EAADB"/>
                <w:sz w:val="18"/>
                <w:szCs w:val="18"/>
              </w:rPr>
              <w:t>GB 50189</w:t>
            </w:r>
            <w:r>
              <w:rPr>
                <w:rFonts w:hint="eastAsia" w:ascii="黑体" w:hAnsi="宋体" w:eastAsia="黑体" w:cs="黑体"/>
                <w:color w:val="8EAADB"/>
                <w:sz w:val="18"/>
                <w:szCs w:val="18"/>
              </w:rPr>
              <w:t>的规定以及现行有关国家标准能效节能评价值的要求情况。</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宋体" w:hAnsi="Calibri"/>
                <w:color w:val="8EAADB"/>
                <w:sz w:val="18"/>
                <w:szCs w:val="18"/>
              </w:rPr>
            </w:pPr>
            <w:r>
              <w:rPr>
                <w:rFonts w:hint="eastAsia" w:ascii="宋体" w:hAnsi="宋体"/>
                <w:color w:val="8EAADB"/>
                <w:sz w:val="18"/>
                <w:szCs w:val="18"/>
              </w:rPr>
              <w:t>证明材料：□空调冷热源设备能效指标计算书；□设计图纸（专业、图号）</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11.2.6</w:t>
            </w:r>
            <w:r>
              <w:rPr>
                <w:rFonts w:hint="eastAsia" w:ascii="黑体" w:hAnsi="宋体" w:eastAsia="黑体" w:cs="黑体"/>
                <w:color w:val="8EAADB"/>
                <w:sz w:val="18"/>
                <w:szCs w:val="18"/>
              </w:rPr>
              <w:t>对主要功能房间采取有效的空气处理措施情况。</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宋体" w:hAnsi="Calibri"/>
                <w:color w:val="8EAADB"/>
                <w:sz w:val="18"/>
                <w:szCs w:val="18"/>
              </w:rPr>
            </w:pPr>
            <w:r>
              <w:rPr>
                <w:rFonts w:hint="eastAsia" w:ascii="宋体" w:hAnsi="宋体"/>
                <w:color w:val="8EAADB"/>
                <w:sz w:val="18"/>
                <w:szCs w:val="18"/>
              </w:rPr>
              <w:t>证明材料：□设计图纸（专业、图号）</w:t>
            </w:r>
          </w:p>
          <w:p>
            <w:pPr>
              <w:widowControl w:val="0"/>
              <w:spacing w:line="240" w:lineRule="exact"/>
              <w:ind w:left="450" w:hanging="450" w:hangingChars="250"/>
              <w:rPr>
                <w:rFonts w:ascii="Calibri" w:eastAsia="Times New Roman" w:cs="Calibri"/>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电气专业</w:t>
            </w:r>
          </w:p>
          <w:p>
            <w:pPr>
              <w:widowControl w:val="0"/>
              <w:spacing w:line="240" w:lineRule="exact"/>
              <w:rPr>
                <w:rFonts w:ascii="Calibri" w:eastAsia="Times New Roman" w:cs="Calibri"/>
                <w:b/>
                <w:bCs/>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11.2.3</w:t>
            </w:r>
            <w:r>
              <w:rPr>
                <w:rFonts w:hint="eastAsia" w:ascii="黑体" w:hAnsi="宋体" w:eastAsia="黑体" w:cs="黑体"/>
                <w:color w:val="8EAADB"/>
                <w:sz w:val="18"/>
                <w:szCs w:val="18"/>
              </w:rPr>
              <w:t>采用分布式热电冷联供技术情况，系统全年能源综合利用率不低于</w:t>
            </w:r>
            <w:r>
              <w:rPr>
                <w:rFonts w:ascii="黑体" w:hAnsi="宋体" w:eastAsia="黑体" w:cs="黑体"/>
                <w:color w:val="8EAADB"/>
                <w:sz w:val="18"/>
                <w:szCs w:val="18"/>
              </w:rPr>
              <w:t>70%</w:t>
            </w:r>
            <w:r>
              <w:rPr>
                <w:rFonts w:hint="eastAsia" w:ascii="黑体" w:hAnsi="宋体" w:eastAsia="黑体" w:cs="黑体"/>
                <w:color w:val="8EAADB"/>
                <w:sz w:val="18"/>
                <w:szCs w:val="18"/>
              </w:rPr>
              <w:t>。</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黑体" w:hAnsi="宋体" w:eastAsia="黑体" w:cs="黑体"/>
                <w:color w:val="8EAADB"/>
                <w:sz w:val="18"/>
                <w:szCs w:val="18"/>
              </w:rPr>
            </w:pPr>
            <w:r>
              <w:rPr>
                <w:rFonts w:hint="eastAsia" w:ascii="宋体" w:hAnsi="宋体"/>
                <w:color w:val="8EAADB"/>
                <w:sz w:val="18"/>
                <w:szCs w:val="18"/>
              </w:rPr>
              <w:t>证明材料：□热电冷联供方案分析报告；□设计图纸（专业、图号）</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给排水专业</w:t>
            </w:r>
          </w:p>
          <w:p>
            <w:pPr>
              <w:widowControl w:val="0"/>
              <w:spacing w:line="240" w:lineRule="exact"/>
              <w:rPr>
                <w:rFonts w:ascii="黑体" w:hAnsi="宋体" w:eastAsia="黑体" w:cs="黑体"/>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 xml:space="preserve"> 11.2.4</w:t>
            </w:r>
            <w:r>
              <w:rPr>
                <w:rFonts w:hint="eastAsia" w:ascii="黑体" w:hAnsi="宋体" w:eastAsia="黑体" w:cs="黑体"/>
                <w:color w:val="8EAADB"/>
                <w:sz w:val="18"/>
                <w:szCs w:val="18"/>
              </w:rPr>
              <w:t>卫生器具的用水效率均为国家现行有关卫生器具用水等级标准规定的</w:t>
            </w:r>
            <w:r>
              <w:rPr>
                <w:rFonts w:ascii="黑体" w:hAnsi="宋体" w:eastAsia="黑体" w:cs="黑体"/>
                <w:color w:val="8EAADB"/>
                <w:sz w:val="18"/>
                <w:szCs w:val="18"/>
              </w:rPr>
              <w:t xml:space="preserve">1 </w:t>
            </w:r>
            <w:r>
              <w:rPr>
                <w:rFonts w:hint="eastAsia" w:ascii="黑体" w:hAnsi="宋体" w:eastAsia="黑体" w:cs="黑体"/>
                <w:color w:val="8EAADB"/>
                <w:sz w:val="18"/>
                <w:szCs w:val="18"/>
              </w:rPr>
              <w:t>级情况说明。</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Calibri" w:eastAsia="Times New Roman" w:cs="Calibri"/>
                <w:color w:val="8EAADB"/>
                <w:sz w:val="18"/>
                <w:szCs w:val="18"/>
              </w:rPr>
            </w:pPr>
            <w:r>
              <w:rPr>
                <w:rFonts w:hint="eastAsia" w:ascii="宋体" w:hAnsi="宋体"/>
                <w:color w:val="8EAADB"/>
                <w:sz w:val="18"/>
                <w:szCs w:val="18"/>
              </w:rPr>
              <w:t>证明材料：□设计图纸（给排水、图号）</w:t>
            </w:r>
          </w:p>
          <w:p>
            <w:pPr>
              <w:widowControl w:val="0"/>
              <w:spacing w:line="240" w:lineRule="exact"/>
              <w:rPr>
                <w:rFonts w:ascii="Calibri" w:eastAsia="Times New Roman" w:cs="Calibri"/>
                <w:color w:val="0000FF"/>
                <w:sz w:val="18"/>
                <w:szCs w:val="18"/>
              </w:rPr>
            </w:pPr>
          </w:p>
          <w:p>
            <w:pPr>
              <w:widowControl w:val="0"/>
              <w:spacing w:line="240" w:lineRule="exact"/>
              <w:rPr>
                <w:rFonts w:ascii="Calibri" w:eastAsia="Times New Roman" w:cs="Calibri"/>
                <w:b/>
                <w:bCs/>
                <w:color w:val="0000FF"/>
                <w:sz w:val="18"/>
                <w:szCs w:val="18"/>
              </w:rPr>
            </w:pPr>
            <w:r>
              <w:rPr>
                <w:rFonts w:hint="eastAsia" w:ascii="Calibri" w:hAnsi="Calibri"/>
                <w:b/>
                <w:bCs/>
                <w:color w:val="0000FF"/>
                <w:sz w:val="18"/>
                <w:szCs w:val="18"/>
              </w:rPr>
              <w:t>其它</w:t>
            </w:r>
          </w:p>
          <w:p>
            <w:pPr>
              <w:widowControl w:val="0"/>
              <w:spacing w:line="240" w:lineRule="exact"/>
              <w:rPr>
                <w:rFonts w:ascii="Calibri" w:eastAsia="Times New Roman" w:cs="Calibri"/>
                <w:b/>
                <w:bCs/>
                <w:color w:val="8EAADB"/>
                <w:sz w:val="18"/>
                <w:szCs w:val="18"/>
              </w:rPr>
            </w:pPr>
            <w:r>
              <w:rPr>
                <w:rFonts w:ascii="宋体" w:hAnsi="宋体"/>
                <w:color w:val="8EAADB"/>
                <w:sz w:val="18"/>
                <w:szCs w:val="18"/>
              </w:rPr>
              <w:fldChar w:fldCharType="begin"/>
            </w:r>
            <w:r>
              <w:rPr>
                <w:rFonts w:ascii="宋体" w:hAnsi="宋体"/>
                <w:color w:val="8EAADB"/>
                <w:sz w:val="18"/>
                <w:szCs w:val="18"/>
              </w:rPr>
              <w:instrText xml:space="preserve"> eq \o\ac(</w:instrText>
            </w:r>
            <w:r>
              <w:rPr>
                <w:rFonts w:hint="eastAsia" w:ascii="宋体" w:hAnsi="宋体"/>
                <w:color w:val="8EAADB"/>
                <w:sz w:val="18"/>
                <w:szCs w:val="18"/>
              </w:rPr>
              <w:instrText xml:space="preserve">□</w:instrText>
            </w:r>
            <w:r>
              <w:rPr>
                <w:rFonts w:ascii="宋体" w:hAnsi="Calibri"/>
                <w:color w:val="8EAADB"/>
                <w:sz w:val="18"/>
                <w:szCs w:val="18"/>
              </w:rPr>
              <w:instrText xml:space="preserve">,</w:instrText>
            </w:r>
            <w:r>
              <w:rPr>
                <w:rFonts w:hint="eastAsia" w:ascii="宋体" w:hAnsi="宋体"/>
                <w:color w:val="8EAADB"/>
                <w:position w:val="1"/>
                <w:sz w:val="18"/>
                <w:szCs w:val="18"/>
              </w:rPr>
              <w:instrText xml:space="preserve">×</w:instrText>
            </w:r>
            <w:r>
              <w:rPr>
                <w:rFonts w:ascii="宋体" w:hAnsi="宋体"/>
                <w:color w:val="8EAADB"/>
                <w:sz w:val="18"/>
                <w:szCs w:val="18"/>
              </w:rPr>
              <w:instrText xml:space="preserve">)</w:instrText>
            </w:r>
            <w:r>
              <w:rPr>
                <w:rFonts w:ascii="宋体" w:hAnsi="宋体"/>
                <w:color w:val="8EAADB"/>
                <w:sz w:val="18"/>
                <w:szCs w:val="18"/>
              </w:rPr>
              <w:fldChar w:fldCharType="end"/>
            </w:r>
            <w:r>
              <w:rPr>
                <w:rFonts w:ascii="黑体" w:hAnsi="宋体" w:eastAsia="黑体" w:cs="黑体"/>
                <w:color w:val="8EAADB"/>
                <w:sz w:val="18"/>
                <w:szCs w:val="18"/>
              </w:rPr>
              <w:t>11.2.12</w:t>
            </w:r>
            <w:r>
              <w:rPr>
                <w:rFonts w:hint="eastAsia" w:ascii="黑体" w:hAnsi="宋体" w:eastAsia="黑体" w:cs="黑体"/>
                <w:color w:val="8EAADB"/>
                <w:sz w:val="18"/>
                <w:szCs w:val="18"/>
              </w:rPr>
              <w:t>采取节约能源资源、保护生态环境、保障安全健康的其他创新，并有明显效益。</w:t>
            </w:r>
          </w:p>
          <w:p>
            <w:pPr>
              <w:widowControl w:val="0"/>
              <w:spacing w:line="240" w:lineRule="exact"/>
              <w:rPr>
                <w:rFonts w:ascii="宋体" w:hAnsi="Calibri"/>
                <w:color w:val="8EAADB"/>
                <w:sz w:val="18"/>
                <w:szCs w:val="18"/>
              </w:rPr>
            </w:pPr>
            <w:r>
              <w:rPr>
                <w:rFonts w:hint="eastAsia" w:ascii="宋体" w:hAnsi="宋体"/>
                <w:color w:val="8EAADB"/>
                <w:sz w:val="18"/>
                <w:szCs w:val="18"/>
              </w:rPr>
              <w:t>技术措施说明：</w:t>
            </w:r>
          </w:p>
          <w:p>
            <w:pPr>
              <w:widowControl w:val="0"/>
              <w:spacing w:line="240" w:lineRule="exact"/>
              <w:rPr>
                <w:rFonts w:ascii="Calibri" w:hAnsi="黑体" w:eastAsia="黑体" w:cs="Calibri"/>
                <w:b/>
                <w:bCs/>
                <w:color w:val="0000FF"/>
                <w:kern w:val="0"/>
                <w:sz w:val="18"/>
                <w:szCs w:val="18"/>
              </w:rPr>
            </w:pPr>
            <w:r>
              <w:rPr>
                <w:rFonts w:hint="eastAsia" w:ascii="宋体" w:hAnsi="宋体"/>
                <w:color w:val="8EAADB"/>
                <w:sz w:val="18"/>
                <w:szCs w:val="18"/>
              </w:rPr>
              <w:t>证明材料：□相关分析报告；□设计图纸（专业、图号）</w:t>
            </w:r>
          </w:p>
        </w:tc>
      </w:tr>
      <w:tr>
        <w:tblPrEx>
          <w:tblBorders>
            <w:top w:val="single" w:color="0000FF" w:sz="6" w:space="0"/>
            <w:left w:val="single" w:color="0000FF" w:sz="6" w:space="0"/>
            <w:bottom w:val="single" w:color="0000FF" w:sz="6" w:space="0"/>
            <w:right w:val="single" w:color="0000FF" w:sz="6" w:space="0"/>
            <w:insideH w:val="none" w:color="auto" w:sz="0" w:space="0"/>
            <w:insideV w:val="none" w:color="auto" w:sz="0" w:space="0"/>
          </w:tblBorders>
          <w:tblLayout w:type="fixed"/>
          <w:tblCellMar>
            <w:top w:w="0" w:type="dxa"/>
            <w:left w:w="108" w:type="dxa"/>
            <w:bottom w:w="0" w:type="dxa"/>
            <w:right w:w="108" w:type="dxa"/>
          </w:tblCellMar>
        </w:tblPrEx>
        <w:trPr>
          <w:trHeight w:val="1177" w:hRule="atLeast"/>
          <w:jc w:val="center"/>
        </w:trPr>
        <w:tc>
          <w:tcPr>
            <w:tcW w:w="747" w:type="dxa"/>
            <w:tcBorders>
              <w:bottom w:val="single" w:color="0000FF" w:sz="6" w:space="0"/>
            </w:tcBorders>
            <w:vAlign w:val="center"/>
          </w:tcPr>
          <w:p>
            <w:pPr>
              <w:widowControl w:val="0"/>
              <w:spacing w:line="280" w:lineRule="exact"/>
              <w:jc w:val="center"/>
              <w:rPr>
                <w:rFonts w:ascii="Calibri" w:eastAsia="Times New Roman" w:cs="Calibri"/>
                <w:b/>
                <w:bCs/>
                <w:color w:val="0000FF"/>
              </w:rPr>
            </w:pPr>
            <w:r>
              <w:rPr>
                <w:rFonts w:hint="eastAsia" w:ascii="Calibri" w:hAnsi="Calibri"/>
                <w:b/>
                <w:bCs/>
                <w:color w:val="0000FF"/>
              </w:rPr>
              <w:t>设计承诺</w:t>
            </w:r>
          </w:p>
        </w:tc>
        <w:tc>
          <w:tcPr>
            <w:tcW w:w="9792" w:type="dxa"/>
            <w:tcBorders>
              <w:bottom w:val="single" w:color="0000FF" w:sz="6" w:space="0"/>
            </w:tcBorders>
            <w:vAlign w:val="center"/>
          </w:tcPr>
          <w:p>
            <w:pPr>
              <w:widowControl w:val="0"/>
              <w:spacing w:line="280" w:lineRule="exact"/>
              <w:ind w:firstLine="422" w:firstLineChars="200"/>
              <w:rPr>
                <w:rFonts w:ascii="Calibri" w:eastAsia="Times New Roman" w:cs="Calibri"/>
                <w:b/>
                <w:bCs/>
                <w:color w:val="0000FF"/>
              </w:rPr>
            </w:pPr>
            <w:r>
              <w:rPr>
                <w:rFonts w:hint="eastAsia" w:ascii="Calibri" w:hAnsi="Calibri"/>
                <w:b/>
                <w:bCs/>
                <w:color w:val="0000FF"/>
              </w:rPr>
              <w:t>我单位承诺绿色建筑设计专项审查所提交的设计图纸、指标计算书、模拟分析报告及检测报告等证明文件真实、准确。如有不实之处，愿意承担相应的责任。</w:t>
            </w:r>
          </w:p>
        </w:tc>
      </w:tr>
    </w:tbl>
    <w:p>
      <w:pPr>
        <w:widowControl w:val="0"/>
        <w:rPr>
          <w:rFonts w:ascii="宋体" w:hAnsi="Calibri"/>
          <w:color w:val="0000FF"/>
          <w:kern w:val="0"/>
        </w:rPr>
      </w:pPr>
    </w:p>
    <w:p>
      <w:pPr>
        <w:widowControl w:val="0"/>
        <w:rPr>
          <w:rFonts w:ascii="宋体" w:hAnsi="Calibri"/>
          <w:color w:val="0000FF"/>
          <w:kern w:val="0"/>
        </w:rPr>
      </w:pPr>
    </w:p>
    <w:p>
      <w:pPr>
        <w:widowControl w:val="0"/>
        <w:rPr>
          <w:rFonts w:ascii="Calibri" w:eastAsia="Times New Roman" w:cs="Calibri"/>
          <w:b/>
          <w:bCs/>
          <w:color w:val="0000FF"/>
        </w:rPr>
      </w:pPr>
      <w:r>
        <w:rPr>
          <w:rFonts w:hint="eastAsia" w:ascii="Calibri" w:hAnsi="Calibri"/>
          <w:b/>
          <w:bCs/>
          <w:color w:val="0000FF"/>
        </w:rPr>
        <w:t>专篇应简要描述本项目采用的绿色建筑设计措施，各项措施的说明应满足以下深度要求：</w:t>
      </w:r>
    </w:p>
    <w:p>
      <w:pPr>
        <w:widowControl w:val="0"/>
        <w:ind w:firstLine="420" w:firstLineChars="200"/>
        <w:rPr>
          <w:rFonts w:ascii="宋体" w:hAnsi="Calibri"/>
          <w:color w:val="0000FF"/>
          <w:kern w:val="0"/>
        </w:rPr>
      </w:pPr>
      <w:r>
        <w:rPr>
          <w:rFonts w:ascii="宋体" w:hAnsi="宋体"/>
          <w:color w:val="0000FF"/>
          <w:kern w:val="0"/>
        </w:rPr>
        <w:t>1</w:t>
      </w:r>
      <w:r>
        <w:rPr>
          <w:rFonts w:hint="eastAsia" w:ascii="宋体" w:hAnsi="宋体"/>
          <w:color w:val="0000FF"/>
          <w:kern w:val="0"/>
        </w:rPr>
        <w:t>、应明确满足的条文编号、条文原文和相应技术措施；</w:t>
      </w:r>
      <w:r>
        <w:rPr>
          <w:rFonts w:hint="eastAsia" w:ascii="宋体" w:hAnsi="宋体"/>
          <w:color w:val="0000FF"/>
        </w:rPr>
        <w:t>满足需在方框内打勾</w:t>
      </w:r>
      <w:r>
        <w:rPr>
          <w:rFonts w:hint="eastAsia" w:ascii="黑体" w:hAnsi="Wingdings 2" w:eastAsia="黑体" w:cs="黑体"/>
          <w:color w:val="0000FF"/>
          <w:szCs w:val="20"/>
        </w:rPr>
        <w:sym w:font="Wingdings 2" w:char="F052"/>
      </w:r>
      <w:r>
        <w:rPr>
          <w:rFonts w:hint="eastAsia" w:ascii="宋体" w:hAnsi="宋体"/>
          <w:color w:val="0000FF"/>
        </w:rPr>
        <w:t>，并填写相应技术措施；不参评在方框内打斜杠</w:t>
      </w:r>
      <w:r>
        <w:rPr>
          <w:rFonts w:ascii="宋体" w:hAnsi="宋体"/>
          <w:color w:val="0000FF"/>
        </w:rPr>
        <w:fldChar w:fldCharType="begin"/>
      </w:r>
      <w:r>
        <w:rPr>
          <w:rFonts w:ascii="宋体" w:hAnsi="宋体"/>
          <w:color w:val="0000FF"/>
        </w:rPr>
        <w:instrText xml:space="preserve"> eq \o\ac(</w:instrText>
      </w:r>
      <w:r>
        <w:rPr>
          <w:rFonts w:hint="eastAsia" w:ascii="宋体" w:hAnsi="宋体"/>
          <w:color w:val="0000FF"/>
        </w:rPr>
        <w:instrText xml:space="preserve">□</w:instrText>
      </w:r>
      <w:r>
        <w:rPr>
          <w:rFonts w:ascii="宋体" w:hAnsi="Calibri"/>
          <w:color w:val="0000FF"/>
        </w:rPr>
        <w:instrText xml:space="preserve">,</w:instrText>
      </w:r>
      <w:r>
        <w:rPr>
          <w:rFonts w:ascii="宋体" w:hAnsi="宋体"/>
          <w:color w:val="0000FF"/>
          <w:position w:val="2"/>
          <w:sz w:val="14"/>
          <w:szCs w:val="14"/>
        </w:rPr>
        <w:instrText xml:space="preserve">/</w:instrText>
      </w:r>
      <w:r>
        <w:rPr>
          <w:rFonts w:ascii="宋体" w:hAnsi="宋体"/>
          <w:color w:val="0000FF"/>
        </w:rPr>
        <w:instrText xml:space="preserve">)</w:instrText>
      </w:r>
      <w:r>
        <w:rPr>
          <w:rFonts w:ascii="宋体" w:hAnsi="宋体"/>
          <w:color w:val="0000FF"/>
        </w:rPr>
        <w:fldChar w:fldCharType="end"/>
      </w:r>
      <w:r>
        <w:rPr>
          <w:rFonts w:hint="eastAsia" w:ascii="宋体" w:hAnsi="宋体"/>
          <w:color w:val="0000FF"/>
        </w:rPr>
        <w:t>并注明原因；不满足在方框内打叉</w:t>
      </w:r>
      <w:r>
        <w:rPr>
          <w:rFonts w:ascii="Wingdings 2" w:hAnsi="Wingdings 2" w:cs="Wingdings 2"/>
          <w:color w:val="0000FF"/>
          <w:shd w:val="clear" w:color="auto" w:fill="FFFFFF"/>
        </w:rPr>
        <w:t></w:t>
      </w:r>
      <w:r>
        <w:rPr>
          <w:rFonts w:hint="eastAsia" w:ascii="宋体" w:hAnsi="宋体"/>
          <w:color w:val="0000FF"/>
        </w:rPr>
        <w:t>，内容可不填写。</w:t>
      </w:r>
    </w:p>
    <w:p>
      <w:pPr>
        <w:widowControl w:val="0"/>
        <w:ind w:firstLine="420" w:firstLineChars="200"/>
        <w:rPr>
          <w:rFonts w:ascii="宋体" w:hAnsi="Calibri"/>
          <w:color w:val="0000FF"/>
          <w:kern w:val="0"/>
        </w:rPr>
      </w:pPr>
      <w:r>
        <w:rPr>
          <w:rFonts w:ascii="宋体" w:hAnsi="宋体"/>
          <w:color w:val="0000FF"/>
          <w:kern w:val="0"/>
        </w:rPr>
        <w:t>2</w:t>
      </w:r>
      <w:r>
        <w:rPr>
          <w:rFonts w:hint="eastAsia" w:ascii="宋体" w:hAnsi="宋体"/>
          <w:color w:val="0000FF"/>
          <w:kern w:val="0"/>
        </w:rPr>
        <w:t>、应简要叙述设计中的绿色建筑设计方案和技术措施，包括但不限于设计方案描述、关键参数说明和设计效果表达，不得照抄照搬条文原文或条文解释；</w:t>
      </w:r>
    </w:p>
    <w:p>
      <w:pPr>
        <w:widowControl w:val="0"/>
        <w:ind w:firstLine="420" w:firstLineChars="200"/>
        <w:outlineLvl w:val="0"/>
        <w:rPr>
          <w:rFonts w:ascii="宋体" w:hAnsi="Calibri"/>
          <w:color w:val="0000FF"/>
          <w:kern w:val="0"/>
        </w:rPr>
      </w:pPr>
      <w:r>
        <w:rPr>
          <w:rFonts w:ascii="宋体" w:hAnsi="宋体"/>
          <w:color w:val="0000FF"/>
          <w:kern w:val="0"/>
        </w:rPr>
        <w:t>3</w:t>
      </w:r>
      <w:r>
        <w:rPr>
          <w:rFonts w:hint="eastAsia" w:ascii="宋体" w:hAnsi="宋体"/>
          <w:color w:val="0000FF"/>
          <w:kern w:val="0"/>
        </w:rPr>
        <w:t>、应注明支持得分的施工图图纸编号或其它专业资料（或分析报告、计算书等）；</w:t>
      </w:r>
    </w:p>
    <w:p>
      <w:pPr>
        <w:widowControl w:val="0"/>
        <w:ind w:firstLine="420" w:firstLineChars="200"/>
        <w:rPr>
          <w:rFonts w:ascii="宋体" w:hAnsi="Calibri"/>
          <w:color w:val="0000FF"/>
          <w:kern w:val="0"/>
        </w:rPr>
      </w:pPr>
      <w:r>
        <w:rPr>
          <w:rFonts w:ascii="宋体" w:hAnsi="宋体"/>
          <w:color w:val="0000FF"/>
          <w:kern w:val="0"/>
        </w:rPr>
        <w:t>4</w:t>
      </w:r>
      <w:r>
        <w:rPr>
          <w:rFonts w:hint="eastAsia" w:ascii="宋体" w:hAnsi="宋体"/>
          <w:color w:val="0000FF"/>
          <w:kern w:val="0"/>
        </w:rPr>
        <w:t>、若设计图纸暂不能提供（如景观、装修、二次专业设计），需在证明材料中注明，后期专业设计应按照本专篇填写内容落实。</w:t>
      </w:r>
    </w:p>
    <w:p>
      <w:pPr>
        <w:widowControl w:val="0"/>
        <w:ind w:firstLine="420" w:firstLineChars="200"/>
        <w:rPr>
          <w:rFonts w:ascii="宋体" w:hAnsi="Calibri"/>
          <w:color w:val="0000FF"/>
          <w:kern w:val="0"/>
        </w:rPr>
      </w:pPr>
    </w:p>
    <w:p>
      <w:pPr>
        <w:widowControl w:val="0"/>
        <w:rPr>
          <w:rFonts w:ascii="宋体" w:hAnsi="Calibri"/>
          <w:kern w:val="0"/>
        </w:rPr>
      </w:pPr>
    </w:p>
    <w:p>
      <w:pPr>
        <w:widowControl w:val="0"/>
        <w:rPr>
          <w:rFonts w:ascii="仿宋_GB2312" w:hAnsi="Calibri" w:eastAsia="仿宋_GB2312" w:cs="仿宋_GB2312"/>
          <w:sz w:val="32"/>
          <w:szCs w:val="32"/>
        </w:rPr>
      </w:pPr>
    </w:p>
    <w:sectPr>
      <w:footerReference r:id="rId3" w:type="default"/>
      <w:pgSz w:w="23814" w:h="16840" w:orient="landscape"/>
      <w:pgMar w:top="1134" w:right="1134" w:bottom="851" w:left="1134" w:header="851" w:footer="454"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10609000101010101"/>
    <w:charset w:val="88"/>
    <w:family w:val="modern"/>
    <w:pitch w:val="default"/>
    <w:sig w:usb0="00000000" w:usb1="00000000" w:usb2="00000010" w:usb3="00000000" w:csb0="00100000" w:csb1="00000000"/>
  </w:font>
  <w:font w:name="Dotum">
    <w:altName w:val="Malgun Gothic"/>
    <w:panose1 w:val="020B0600000101010101"/>
    <w:charset w:val="81"/>
    <w:family w:val="modern"/>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Sim Sun">
    <w:altName w:val="MS Gothic"/>
    <w:panose1 w:val="00000000000000000000"/>
    <w:charset w:val="80"/>
    <w:family w:val="swiss"/>
    <w:pitch w:val="default"/>
    <w:sig w:usb0="00000000" w:usb1="00000000" w:usb2="00000010" w:usb3="00000000" w:csb0="00020000" w:csb1="00000000"/>
  </w:font>
  <w:font w:name="方正小标宋简体">
    <w:altName w:val="微软雅黑"/>
    <w:panose1 w:val="00000000000000000000"/>
    <w:charset w:val="86"/>
    <w:family w:val="auto"/>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Times New Roman" w:cs="Calibri"/>
      </w:rPr>
    </w:pPr>
    <w:r>
      <w:rPr>
        <w:rFonts w:cs="Calibri"/>
      </w:rPr>
      <w:fldChar w:fldCharType="begin"/>
    </w:r>
    <w:r>
      <w:rPr>
        <w:rFonts w:cs="Calibri"/>
      </w:rPr>
      <w:instrText xml:space="preserve"> PAGE   \* MERGEFORMAT </w:instrText>
    </w:r>
    <w:r>
      <w:rPr>
        <w:rFonts w:cs="Calibri"/>
      </w:rPr>
      <w:fldChar w:fldCharType="separate"/>
    </w:r>
    <w:r>
      <w:rPr>
        <w:rFonts w:cs="Calibri"/>
        <w:lang w:val="zh-CN"/>
      </w:rPr>
      <w:t>5</w:t>
    </w:r>
    <w:r>
      <w:rPr>
        <w:rFonts w:cs="Calibri"/>
      </w:rPr>
      <w:fldChar w:fldCharType="end"/>
    </w:r>
  </w:p>
  <w:p>
    <w:pPr>
      <w:pStyle w:val="15"/>
      <w:rPr>
        <w:rFonts w:eastAsia="Times New Roman" w:cs="Calibri"/>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BD5"/>
    <w:rsid w:val="00083C5E"/>
    <w:rsid w:val="00196405"/>
    <w:rsid w:val="00255C1B"/>
    <w:rsid w:val="00364A96"/>
    <w:rsid w:val="003E19F8"/>
    <w:rsid w:val="004403E5"/>
    <w:rsid w:val="0053631B"/>
    <w:rsid w:val="00621BD5"/>
    <w:rsid w:val="006240F2"/>
    <w:rsid w:val="006C5040"/>
    <w:rsid w:val="00785EF0"/>
    <w:rsid w:val="00850D2A"/>
    <w:rsid w:val="0088170A"/>
    <w:rsid w:val="00A440EE"/>
    <w:rsid w:val="00A906DF"/>
    <w:rsid w:val="00A954BE"/>
    <w:rsid w:val="00B912FE"/>
    <w:rsid w:val="00BD657A"/>
    <w:rsid w:val="00C07CCC"/>
    <w:rsid w:val="00C95B36"/>
    <w:rsid w:val="00EF753B"/>
    <w:rsid w:val="00F44717"/>
    <w:rsid w:val="01415220"/>
    <w:rsid w:val="01587830"/>
    <w:rsid w:val="01853622"/>
    <w:rsid w:val="02803D86"/>
    <w:rsid w:val="02BE43E1"/>
    <w:rsid w:val="03013603"/>
    <w:rsid w:val="030B73AD"/>
    <w:rsid w:val="031C4807"/>
    <w:rsid w:val="031E505C"/>
    <w:rsid w:val="048F5DF1"/>
    <w:rsid w:val="052C636A"/>
    <w:rsid w:val="05D51FCC"/>
    <w:rsid w:val="0642651C"/>
    <w:rsid w:val="07580118"/>
    <w:rsid w:val="076F677B"/>
    <w:rsid w:val="07952EC5"/>
    <w:rsid w:val="07CE15D1"/>
    <w:rsid w:val="08353572"/>
    <w:rsid w:val="08F74D7D"/>
    <w:rsid w:val="09241D86"/>
    <w:rsid w:val="09385A43"/>
    <w:rsid w:val="0B0761CC"/>
    <w:rsid w:val="0B235762"/>
    <w:rsid w:val="0B9454F8"/>
    <w:rsid w:val="0BA74A6A"/>
    <w:rsid w:val="0C874639"/>
    <w:rsid w:val="0CD64076"/>
    <w:rsid w:val="0DA64616"/>
    <w:rsid w:val="0DDA4AC7"/>
    <w:rsid w:val="0E1E0C11"/>
    <w:rsid w:val="0E584039"/>
    <w:rsid w:val="0FB8620F"/>
    <w:rsid w:val="103C146E"/>
    <w:rsid w:val="107001CF"/>
    <w:rsid w:val="10871ED0"/>
    <w:rsid w:val="10D62A54"/>
    <w:rsid w:val="11C26926"/>
    <w:rsid w:val="11DA02AE"/>
    <w:rsid w:val="11EF4EBB"/>
    <w:rsid w:val="130B5175"/>
    <w:rsid w:val="13143E44"/>
    <w:rsid w:val="133032B1"/>
    <w:rsid w:val="13892A28"/>
    <w:rsid w:val="138A08A4"/>
    <w:rsid w:val="13A71AEE"/>
    <w:rsid w:val="13B36F54"/>
    <w:rsid w:val="13F36461"/>
    <w:rsid w:val="145F7072"/>
    <w:rsid w:val="148C1AAC"/>
    <w:rsid w:val="15334706"/>
    <w:rsid w:val="156F55B0"/>
    <w:rsid w:val="15CF24D4"/>
    <w:rsid w:val="1611274C"/>
    <w:rsid w:val="163A45DC"/>
    <w:rsid w:val="16DA057D"/>
    <w:rsid w:val="17842E98"/>
    <w:rsid w:val="1863379E"/>
    <w:rsid w:val="187F67A8"/>
    <w:rsid w:val="18A43D4E"/>
    <w:rsid w:val="1AC62C8E"/>
    <w:rsid w:val="1B007DAC"/>
    <w:rsid w:val="1C0E2D26"/>
    <w:rsid w:val="1CC36894"/>
    <w:rsid w:val="1D7556FE"/>
    <w:rsid w:val="1D8767AC"/>
    <w:rsid w:val="1E282233"/>
    <w:rsid w:val="1E7F73AB"/>
    <w:rsid w:val="1EE376BF"/>
    <w:rsid w:val="1F5D306E"/>
    <w:rsid w:val="20540FED"/>
    <w:rsid w:val="21402A3A"/>
    <w:rsid w:val="21773513"/>
    <w:rsid w:val="21B61472"/>
    <w:rsid w:val="21E14455"/>
    <w:rsid w:val="226C6492"/>
    <w:rsid w:val="2271609D"/>
    <w:rsid w:val="22837306"/>
    <w:rsid w:val="22D03B75"/>
    <w:rsid w:val="233F000C"/>
    <w:rsid w:val="23531061"/>
    <w:rsid w:val="238E7222"/>
    <w:rsid w:val="241D59DF"/>
    <w:rsid w:val="24381D43"/>
    <w:rsid w:val="253F4FF5"/>
    <w:rsid w:val="256F4F5E"/>
    <w:rsid w:val="25C96D78"/>
    <w:rsid w:val="25EB4400"/>
    <w:rsid w:val="264C6EAE"/>
    <w:rsid w:val="265103AB"/>
    <w:rsid w:val="266804B4"/>
    <w:rsid w:val="26714257"/>
    <w:rsid w:val="2717714B"/>
    <w:rsid w:val="2785154A"/>
    <w:rsid w:val="27EA639C"/>
    <w:rsid w:val="28B677B0"/>
    <w:rsid w:val="28CE5023"/>
    <w:rsid w:val="29A10E42"/>
    <w:rsid w:val="29D87539"/>
    <w:rsid w:val="2A310766"/>
    <w:rsid w:val="2A7E4840"/>
    <w:rsid w:val="2B475706"/>
    <w:rsid w:val="2B580A95"/>
    <w:rsid w:val="2B715C1B"/>
    <w:rsid w:val="2BAF38CC"/>
    <w:rsid w:val="2BC66AF1"/>
    <w:rsid w:val="2C073804"/>
    <w:rsid w:val="2C2F5262"/>
    <w:rsid w:val="2C9C6028"/>
    <w:rsid w:val="2DB30D23"/>
    <w:rsid w:val="2E5728DF"/>
    <w:rsid w:val="2E745C70"/>
    <w:rsid w:val="30696CD8"/>
    <w:rsid w:val="30B45054"/>
    <w:rsid w:val="324C791A"/>
    <w:rsid w:val="327D0A14"/>
    <w:rsid w:val="32CD1E8B"/>
    <w:rsid w:val="330F59F1"/>
    <w:rsid w:val="335D5058"/>
    <w:rsid w:val="337256EC"/>
    <w:rsid w:val="337718AA"/>
    <w:rsid w:val="33FF38BD"/>
    <w:rsid w:val="3477529C"/>
    <w:rsid w:val="348A54BA"/>
    <w:rsid w:val="35F80E36"/>
    <w:rsid w:val="36645820"/>
    <w:rsid w:val="3692551A"/>
    <w:rsid w:val="36BD54DF"/>
    <w:rsid w:val="36E0169E"/>
    <w:rsid w:val="36EB5B65"/>
    <w:rsid w:val="380E0266"/>
    <w:rsid w:val="3854736B"/>
    <w:rsid w:val="385F2006"/>
    <w:rsid w:val="38BC5864"/>
    <w:rsid w:val="39936307"/>
    <w:rsid w:val="3A41437D"/>
    <w:rsid w:val="3AE2229A"/>
    <w:rsid w:val="3AF25A0C"/>
    <w:rsid w:val="3B3B1998"/>
    <w:rsid w:val="3C3C226D"/>
    <w:rsid w:val="3C8A46D7"/>
    <w:rsid w:val="3D60707B"/>
    <w:rsid w:val="3DA950DE"/>
    <w:rsid w:val="3DA95134"/>
    <w:rsid w:val="3DCD043B"/>
    <w:rsid w:val="3DE14E25"/>
    <w:rsid w:val="3E0137E4"/>
    <w:rsid w:val="3E08361A"/>
    <w:rsid w:val="3E497A0B"/>
    <w:rsid w:val="3E5F3B8F"/>
    <w:rsid w:val="3E7952B9"/>
    <w:rsid w:val="3EAD4C1B"/>
    <w:rsid w:val="3F5C0BB8"/>
    <w:rsid w:val="3F6B30B9"/>
    <w:rsid w:val="3FF60993"/>
    <w:rsid w:val="408414B1"/>
    <w:rsid w:val="40F03DBE"/>
    <w:rsid w:val="4103380B"/>
    <w:rsid w:val="41326DC0"/>
    <w:rsid w:val="416E30AB"/>
    <w:rsid w:val="424D125E"/>
    <w:rsid w:val="4255414D"/>
    <w:rsid w:val="42E72CFE"/>
    <w:rsid w:val="42EB0961"/>
    <w:rsid w:val="44104392"/>
    <w:rsid w:val="441719D2"/>
    <w:rsid w:val="44821C84"/>
    <w:rsid w:val="456472F5"/>
    <w:rsid w:val="45986557"/>
    <w:rsid w:val="45A274B7"/>
    <w:rsid w:val="45F40CC3"/>
    <w:rsid w:val="469848C5"/>
    <w:rsid w:val="46F84AA4"/>
    <w:rsid w:val="4705792A"/>
    <w:rsid w:val="47941BD2"/>
    <w:rsid w:val="48BB587C"/>
    <w:rsid w:val="49923BEF"/>
    <w:rsid w:val="49AE5372"/>
    <w:rsid w:val="4AF767D0"/>
    <w:rsid w:val="4BFB3011"/>
    <w:rsid w:val="4CD729F1"/>
    <w:rsid w:val="4CF707C1"/>
    <w:rsid w:val="4D1041C5"/>
    <w:rsid w:val="4D67466D"/>
    <w:rsid w:val="4D6D098F"/>
    <w:rsid w:val="4D8F7354"/>
    <w:rsid w:val="4DEA58EF"/>
    <w:rsid w:val="4DFD73CE"/>
    <w:rsid w:val="4E300FC2"/>
    <w:rsid w:val="4EED1BB9"/>
    <w:rsid w:val="4F4028FF"/>
    <w:rsid w:val="4F41599A"/>
    <w:rsid w:val="503261DB"/>
    <w:rsid w:val="50360F9C"/>
    <w:rsid w:val="503A23FA"/>
    <w:rsid w:val="503C3F83"/>
    <w:rsid w:val="50926A25"/>
    <w:rsid w:val="509E122E"/>
    <w:rsid w:val="50E9543A"/>
    <w:rsid w:val="515E1A00"/>
    <w:rsid w:val="51DA2138"/>
    <w:rsid w:val="520E09BB"/>
    <w:rsid w:val="527D6377"/>
    <w:rsid w:val="530176BB"/>
    <w:rsid w:val="53714537"/>
    <w:rsid w:val="53796E24"/>
    <w:rsid w:val="54591999"/>
    <w:rsid w:val="54595FCD"/>
    <w:rsid w:val="54D9720C"/>
    <w:rsid w:val="566C02FD"/>
    <w:rsid w:val="56B60C8C"/>
    <w:rsid w:val="573C7317"/>
    <w:rsid w:val="57670212"/>
    <w:rsid w:val="57CA557C"/>
    <w:rsid w:val="5814329D"/>
    <w:rsid w:val="58243C45"/>
    <w:rsid w:val="585E4A37"/>
    <w:rsid w:val="58C631F6"/>
    <w:rsid w:val="5A17720F"/>
    <w:rsid w:val="5BF31C9C"/>
    <w:rsid w:val="5C1016DB"/>
    <w:rsid w:val="5C1B3738"/>
    <w:rsid w:val="5C3C0E51"/>
    <w:rsid w:val="5C690881"/>
    <w:rsid w:val="5D9428FE"/>
    <w:rsid w:val="5DBE036A"/>
    <w:rsid w:val="5E4F6F10"/>
    <w:rsid w:val="5F9B47AF"/>
    <w:rsid w:val="602C3441"/>
    <w:rsid w:val="60BF5CA4"/>
    <w:rsid w:val="61997592"/>
    <w:rsid w:val="62094632"/>
    <w:rsid w:val="62103249"/>
    <w:rsid w:val="62566FE6"/>
    <w:rsid w:val="62A57137"/>
    <w:rsid w:val="632F2483"/>
    <w:rsid w:val="635D21A1"/>
    <w:rsid w:val="63E002C1"/>
    <w:rsid w:val="640D66AE"/>
    <w:rsid w:val="645E1D4B"/>
    <w:rsid w:val="64C67FB2"/>
    <w:rsid w:val="64DD48B0"/>
    <w:rsid w:val="650C62CF"/>
    <w:rsid w:val="653940B7"/>
    <w:rsid w:val="65EE07CB"/>
    <w:rsid w:val="6657708C"/>
    <w:rsid w:val="667B1E4B"/>
    <w:rsid w:val="66F83B64"/>
    <w:rsid w:val="671A2284"/>
    <w:rsid w:val="67632876"/>
    <w:rsid w:val="67743E6E"/>
    <w:rsid w:val="67D6330D"/>
    <w:rsid w:val="67D80AA6"/>
    <w:rsid w:val="689B469A"/>
    <w:rsid w:val="689E4F43"/>
    <w:rsid w:val="691C38E9"/>
    <w:rsid w:val="69633211"/>
    <w:rsid w:val="6A7672B8"/>
    <w:rsid w:val="6ACD00B7"/>
    <w:rsid w:val="6BA949CC"/>
    <w:rsid w:val="6BFB20E4"/>
    <w:rsid w:val="6C3F6478"/>
    <w:rsid w:val="6CA42EE8"/>
    <w:rsid w:val="6D112BF0"/>
    <w:rsid w:val="6D657058"/>
    <w:rsid w:val="6D7D632C"/>
    <w:rsid w:val="6D997CBB"/>
    <w:rsid w:val="6DD57E9D"/>
    <w:rsid w:val="6E684672"/>
    <w:rsid w:val="6EAA66B2"/>
    <w:rsid w:val="6EEF75E0"/>
    <w:rsid w:val="7069046D"/>
    <w:rsid w:val="70BD5934"/>
    <w:rsid w:val="716B2628"/>
    <w:rsid w:val="724732B6"/>
    <w:rsid w:val="734E3F11"/>
    <w:rsid w:val="73663672"/>
    <w:rsid w:val="737C680E"/>
    <w:rsid w:val="750451F1"/>
    <w:rsid w:val="750877B0"/>
    <w:rsid w:val="750C0C25"/>
    <w:rsid w:val="75410469"/>
    <w:rsid w:val="76AE5482"/>
    <w:rsid w:val="76E57C7D"/>
    <w:rsid w:val="780470D5"/>
    <w:rsid w:val="7818154D"/>
    <w:rsid w:val="78D838DB"/>
    <w:rsid w:val="79BB4EB3"/>
    <w:rsid w:val="79CC2360"/>
    <w:rsid w:val="79D7654A"/>
    <w:rsid w:val="7A1D36C5"/>
    <w:rsid w:val="7A294317"/>
    <w:rsid w:val="7A86559B"/>
    <w:rsid w:val="7B48763B"/>
    <w:rsid w:val="7B5545A1"/>
    <w:rsid w:val="7B570762"/>
    <w:rsid w:val="7B833D8D"/>
    <w:rsid w:val="7BB76D37"/>
    <w:rsid w:val="7BCF7EF6"/>
    <w:rsid w:val="7BFA1779"/>
    <w:rsid w:val="7C140A62"/>
    <w:rsid w:val="7C1D1A88"/>
    <w:rsid w:val="7C465DF7"/>
    <w:rsid w:val="7C5230C4"/>
    <w:rsid w:val="7C537415"/>
    <w:rsid w:val="7C6B58C1"/>
    <w:rsid w:val="7DC04DB8"/>
    <w:rsid w:val="7E19088F"/>
    <w:rsid w:val="7E387D5E"/>
    <w:rsid w:val="7E4D1B70"/>
    <w:rsid w:val="7F1B5099"/>
    <w:rsid w:val="7F993664"/>
    <w:rsid w:val="7F9E7C2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iPriority="99" w:semiHidden="0" w:name="toc 1"/>
    <w:lsdException w:qFormat="1" w:uiPriority="99" w:semiHidden="0" w:name="toc 2"/>
    <w:lsdException w:qFormat="1" w:uiPriority="99" w:semiHidden="0" w:name="toc 3"/>
    <w:lsdException w:qFormat="1" w:uiPriority="99" w:semiHidden="0" w:name="toc 4"/>
    <w:lsdException w:qFormat="1" w:uiPriority="99" w:semiHidden="0" w:name="toc 5"/>
    <w:lsdException w:qFormat="1" w:uiPriority="99" w:semiHidden="0" w:name="toc 6"/>
    <w:lsdException w:uiPriority="99" w:semiHidden="0" w:name="toc 7"/>
    <w:lsdException w:qFormat="1" w:uiPriority="99" w:semiHidden="0" w:name="toc 8"/>
    <w:lsdException w:uiPriority="99" w:semiHidden="0" w:name="toc 9"/>
    <w:lsdException w:qFormat="1" w:unhideWhenUsed="0" w:uiPriority="99" w:semiHidden="0" w:name="Normal Indent"/>
    <w:lsdException w:qFormat="1" w:unhideWhenUsed="0" w:uiPriority="99" w:semiHidden="0" w:name="footnote text"/>
    <w:lsdException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iPriority="0" w:name="caption" w:locked="1"/>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iPriority="99" w:semiHidden="0" w:name="annotation reference"/>
    <w:lsdException w:qFormat="1" w:unhideWhenUsed="0" w:uiPriority="99" w:semiHidden="0" w:name="line number"/>
    <w:lsdException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0" w:semiHidden="0" w:name="Subtitle" w:locked="1"/>
    <w:lsdException w:qFormat="1" w:unhideWhenUsed="0" w:uiPriority="99" w:semiHidden="0" w:name="Salutation"/>
    <w:lsdException w:qFormat="1"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iPriority="99" w:semiHidden="0" w:name="Document Map"/>
    <w:lsdException w:qFormat="1" w:uiPriority="99" w:semiHidden="0" w:name="Plain Text"/>
    <w:lsdException w:qFormat="1" w:unhideWhenUsed="0" w:uiPriority="99" w:semiHidden="0" w:name="E-mail Signature"/>
    <w:lsdException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semiHidden="0" w:name="Balloon Text"/>
    <w:lsdException w:qFormat="1" w:unhideWhenUsed="0" w:uiPriority="0" w:semiHidden="0" w:name="Table Grid" w:locked="1"/>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宋体"/>
      <w:kern w:val="2"/>
      <w:sz w:val="21"/>
      <w:szCs w:val="21"/>
      <w:lang w:val="en-US" w:eastAsia="zh-CN" w:bidi="ar-SA"/>
    </w:rPr>
  </w:style>
  <w:style w:type="paragraph" w:styleId="2">
    <w:name w:val="heading 1"/>
    <w:basedOn w:val="1"/>
    <w:next w:val="1"/>
    <w:link w:val="33"/>
    <w:qFormat/>
    <w:uiPriority w:val="99"/>
    <w:pPr>
      <w:keepNext/>
      <w:keepLines/>
      <w:widowControl w:val="0"/>
      <w:spacing w:before="240" w:after="240" w:line="360" w:lineRule="auto"/>
      <w:jc w:val="center"/>
      <w:outlineLvl w:val="0"/>
    </w:pPr>
    <w:rPr>
      <w:b/>
      <w:bCs/>
      <w:kern w:val="44"/>
      <w:sz w:val="32"/>
      <w:szCs w:val="32"/>
    </w:rPr>
  </w:style>
  <w:style w:type="paragraph" w:styleId="3">
    <w:name w:val="heading 2"/>
    <w:basedOn w:val="1"/>
    <w:next w:val="1"/>
    <w:link w:val="34"/>
    <w:qFormat/>
    <w:uiPriority w:val="99"/>
    <w:pPr>
      <w:keepNext/>
      <w:keepLines/>
      <w:widowControl w:val="0"/>
      <w:spacing w:before="120" w:after="120" w:line="360" w:lineRule="auto"/>
      <w:outlineLvl w:val="1"/>
    </w:pPr>
    <w:rPr>
      <w:rFonts w:ascii="Arial" w:hAnsi="Arial"/>
      <w:b/>
      <w:bCs/>
      <w:sz w:val="24"/>
      <w:szCs w:val="24"/>
    </w:rPr>
  </w:style>
  <w:style w:type="paragraph" w:styleId="4">
    <w:name w:val="heading 3"/>
    <w:basedOn w:val="1"/>
    <w:next w:val="1"/>
    <w:link w:val="35"/>
    <w:qFormat/>
    <w:uiPriority w:val="99"/>
    <w:pPr>
      <w:keepNext/>
      <w:keepLines/>
      <w:widowControl w:val="0"/>
      <w:spacing w:before="260" w:after="260" w:line="415" w:lineRule="auto"/>
      <w:outlineLvl w:val="2"/>
    </w:pPr>
    <w:rPr>
      <w:b/>
      <w:bCs/>
      <w:sz w:val="32"/>
      <w:szCs w:val="32"/>
    </w:rPr>
  </w:style>
  <w:style w:type="paragraph" w:styleId="5">
    <w:name w:val="heading 4"/>
    <w:basedOn w:val="1"/>
    <w:next w:val="1"/>
    <w:link w:val="36"/>
    <w:qFormat/>
    <w:uiPriority w:val="99"/>
    <w:pPr>
      <w:keepNext/>
      <w:keepLines/>
      <w:widowControl w:val="0"/>
      <w:spacing w:before="280" w:after="290" w:line="376" w:lineRule="auto"/>
      <w:outlineLvl w:val="3"/>
    </w:pPr>
    <w:rPr>
      <w:rFonts w:ascii="Arial" w:hAnsi="Arial" w:eastAsia="黑体" w:cs="黑体"/>
      <w:b/>
      <w:bCs/>
      <w:sz w:val="28"/>
      <w:szCs w:val="28"/>
    </w:rPr>
  </w:style>
  <w:style w:type="character" w:default="1" w:styleId="27">
    <w:name w:val="Default Paragraph Font"/>
    <w:semiHidden/>
    <w:unhideWhenUsed/>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6">
    <w:name w:val="toc 7"/>
    <w:basedOn w:val="1"/>
    <w:next w:val="1"/>
    <w:unhideWhenUsed/>
    <w:uiPriority w:val="99"/>
    <w:pPr>
      <w:widowControl w:val="0"/>
      <w:ind w:left="2520" w:leftChars="1200"/>
    </w:pPr>
    <w:rPr>
      <w:rFonts w:ascii="Calibri" w:hAnsi="Calibri"/>
    </w:rPr>
  </w:style>
  <w:style w:type="paragraph" w:styleId="7">
    <w:name w:val="Document Map"/>
    <w:basedOn w:val="1"/>
    <w:link w:val="119"/>
    <w:unhideWhenUsed/>
    <w:qFormat/>
    <w:uiPriority w:val="99"/>
    <w:pPr>
      <w:widowControl w:val="0"/>
      <w:shd w:val="clear" w:color="auto" w:fill="000080"/>
    </w:pPr>
  </w:style>
  <w:style w:type="paragraph" w:styleId="8">
    <w:name w:val="annotation text"/>
    <w:basedOn w:val="1"/>
    <w:link w:val="170"/>
    <w:unhideWhenUsed/>
    <w:uiPriority w:val="99"/>
    <w:pPr>
      <w:widowControl w:val="0"/>
      <w:jc w:val="left"/>
    </w:pPr>
  </w:style>
  <w:style w:type="paragraph" w:styleId="9">
    <w:name w:val="toc 5"/>
    <w:basedOn w:val="1"/>
    <w:next w:val="1"/>
    <w:unhideWhenUsed/>
    <w:qFormat/>
    <w:uiPriority w:val="99"/>
    <w:pPr>
      <w:widowControl w:val="0"/>
      <w:ind w:left="1680" w:leftChars="800"/>
    </w:pPr>
    <w:rPr>
      <w:rFonts w:ascii="Calibri" w:hAnsi="Calibri"/>
    </w:rPr>
  </w:style>
  <w:style w:type="paragraph" w:styleId="10">
    <w:name w:val="toc 3"/>
    <w:basedOn w:val="1"/>
    <w:next w:val="1"/>
    <w:unhideWhenUsed/>
    <w:qFormat/>
    <w:uiPriority w:val="99"/>
    <w:pPr>
      <w:widowControl w:val="0"/>
      <w:ind w:left="840" w:leftChars="400"/>
    </w:pPr>
  </w:style>
  <w:style w:type="paragraph" w:styleId="11">
    <w:name w:val="Plain Text"/>
    <w:basedOn w:val="1"/>
    <w:link w:val="203"/>
    <w:unhideWhenUsed/>
    <w:qFormat/>
    <w:uiPriority w:val="99"/>
    <w:pPr>
      <w:widowControl w:val="0"/>
    </w:pPr>
    <w:rPr>
      <w:rFonts w:ascii="宋体" w:hAnsi="Courier New"/>
    </w:rPr>
  </w:style>
  <w:style w:type="paragraph" w:styleId="12">
    <w:name w:val="toc 8"/>
    <w:basedOn w:val="1"/>
    <w:next w:val="1"/>
    <w:unhideWhenUsed/>
    <w:qFormat/>
    <w:uiPriority w:val="99"/>
    <w:pPr>
      <w:widowControl w:val="0"/>
      <w:ind w:left="2940" w:leftChars="1400"/>
    </w:pPr>
    <w:rPr>
      <w:rFonts w:ascii="Calibri" w:hAnsi="Calibri"/>
    </w:rPr>
  </w:style>
  <w:style w:type="paragraph" w:styleId="13">
    <w:name w:val="Date"/>
    <w:basedOn w:val="1"/>
    <w:next w:val="1"/>
    <w:link w:val="85"/>
    <w:unhideWhenUsed/>
    <w:qFormat/>
    <w:uiPriority w:val="99"/>
    <w:pPr>
      <w:widowControl w:val="0"/>
    </w:pPr>
    <w:rPr>
      <w:rFonts w:ascii="仿宋_GB2312" w:eastAsia="仿宋_GB2312" w:cs="仿宋_GB2312"/>
      <w:sz w:val="32"/>
      <w:szCs w:val="32"/>
    </w:rPr>
  </w:style>
  <w:style w:type="paragraph" w:styleId="14">
    <w:name w:val="Balloon Text"/>
    <w:basedOn w:val="1"/>
    <w:link w:val="155"/>
    <w:unhideWhenUsed/>
    <w:qFormat/>
    <w:uiPriority w:val="99"/>
    <w:pPr>
      <w:widowControl w:val="0"/>
    </w:pPr>
    <w:rPr>
      <w:rFonts w:ascii="Calibri" w:hAnsi="Calibri"/>
      <w:sz w:val="18"/>
      <w:szCs w:val="18"/>
    </w:rPr>
  </w:style>
  <w:style w:type="paragraph" w:styleId="15">
    <w:name w:val="footer"/>
    <w:basedOn w:val="1"/>
    <w:link w:val="39"/>
    <w:unhideWhenUsed/>
    <w:qFormat/>
    <w:uiPriority w:val="99"/>
    <w:pPr>
      <w:widowControl w:val="0"/>
      <w:tabs>
        <w:tab w:val="center" w:pos="4153"/>
        <w:tab w:val="right" w:pos="8306"/>
      </w:tabs>
      <w:snapToGrid w:val="0"/>
      <w:jc w:val="left"/>
    </w:pPr>
    <w:rPr>
      <w:rFonts w:ascii="Calibri" w:hAnsi="Calibri"/>
      <w:sz w:val="18"/>
      <w:szCs w:val="18"/>
    </w:rPr>
  </w:style>
  <w:style w:type="paragraph" w:styleId="16">
    <w:name w:val="header"/>
    <w:basedOn w:val="1"/>
    <w:link w:val="168"/>
    <w:unhideWhenUsed/>
    <w:qFormat/>
    <w:uiPriority w:val="99"/>
    <w:pPr>
      <w:widowControl w:val="0"/>
      <w:pBdr>
        <w:bottom w:val="single" w:color="auto" w:sz="6" w:space="1"/>
      </w:pBdr>
      <w:tabs>
        <w:tab w:val="center" w:pos="4153"/>
        <w:tab w:val="right" w:pos="8306"/>
      </w:tabs>
      <w:snapToGrid w:val="0"/>
      <w:jc w:val="center"/>
    </w:pPr>
    <w:rPr>
      <w:rFonts w:ascii="Calibri" w:hAnsi="Calibri"/>
      <w:sz w:val="18"/>
      <w:szCs w:val="18"/>
    </w:rPr>
  </w:style>
  <w:style w:type="paragraph" w:styleId="17">
    <w:name w:val="toc 1"/>
    <w:basedOn w:val="1"/>
    <w:next w:val="1"/>
    <w:unhideWhenUsed/>
    <w:qFormat/>
    <w:uiPriority w:val="99"/>
    <w:pPr>
      <w:widowControl w:val="0"/>
      <w:tabs>
        <w:tab w:val="right" w:leader="dot" w:pos="9060"/>
      </w:tabs>
      <w:spacing w:line="276" w:lineRule="auto"/>
    </w:pPr>
    <w:rPr>
      <w:rFonts w:ascii="宋体" w:hAnsi="宋体"/>
      <w:b/>
      <w:bCs/>
      <w:sz w:val="24"/>
      <w:szCs w:val="24"/>
    </w:rPr>
  </w:style>
  <w:style w:type="paragraph" w:styleId="18">
    <w:name w:val="toc 4"/>
    <w:basedOn w:val="1"/>
    <w:next w:val="1"/>
    <w:unhideWhenUsed/>
    <w:qFormat/>
    <w:uiPriority w:val="99"/>
    <w:pPr>
      <w:widowControl w:val="0"/>
      <w:ind w:left="1260" w:leftChars="600"/>
    </w:pPr>
    <w:rPr>
      <w:rFonts w:ascii="Calibri" w:hAnsi="Calibri"/>
    </w:rPr>
  </w:style>
  <w:style w:type="paragraph" w:styleId="19">
    <w:name w:val="toc 6"/>
    <w:basedOn w:val="1"/>
    <w:next w:val="1"/>
    <w:unhideWhenUsed/>
    <w:qFormat/>
    <w:uiPriority w:val="99"/>
    <w:pPr>
      <w:widowControl w:val="0"/>
      <w:ind w:left="2100" w:leftChars="1000"/>
    </w:pPr>
    <w:rPr>
      <w:rFonts w:ascii="Calibri" w:hAnsi="Calibri"/>
    </w:rPr>
  </w:style>
  <w:style w:type="paragraph" w:styleId="20">
    <w:name w:val="toc 2"/>
    <w:basedOn w:val="1"/>
    <w:next w:val="1"/>
    <w:unhideWhenUsed/>
    <w:qFormat/>
    <w:uiPriority w:val="99"/>
    <w:pPr>
      <w:widowControl w:val="0"/>
      <w:tabs>
        <w:tab w:val="right" w:leader="dot" w:pos="9060"/>
      </w:tabs>
      <w:spacing w:beforeLines="100" w:afterLines="100" w:line="276" w:lineRule="auto"/>
      <w:jc w:val="center"/>
    </w:pPr>
    <w:rPr>
      <w:rFonts w:ascii="宋体" w:hAnsi="宋体"/>
      <w:b/>
      <w:bCs/>
      <w:sz w:val="52"/>
      <w:szCs w:val="52"/>
      <w:lang w:val="zh-CN"/>
    </w:rPr>
  </w:style>
  <w:style w:type="paragraph" w:styleId="21">
    <w:name w:val="toc 9"/>
    <w:basedOn w:val="1"/>
    <w:next w:val="1"/>
    <w:unhideWhenUsed/>
    <w:uiPriority w:val="99"/>
    <w:pPr>
      <w:widowControl w:val="0"/>
      <w:ind w:left="3360" w:leftChars="1600"/>
    </w:pPr>
    <w:rPr>
      <w:rFonts w:ascii="Calibri" w:hAnsi="Calibri"/>
    </w:rPr>
  </w:style>
  <w:style w:type="paragraph" w:styleId="22">
    <w:name w:val="HTML Preformatted"/>
    <w:basedOn w:val="1"/>
    <w:link w:val="17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szCs w:val="24"/>
    </w:rPr>
  </w:style>
  <w:style w:type="paragraph" w:styleId="23">
    <w:name w:val="Normal (Web)"/>
    <w:basedOn w:val="1"/>
    <w:unhideWhenUsed/>
    <w:uiPriority w:val="99"/>
    <w:pPr>
      <w:spacing w:before="100" w:beforeAutospacing="1" w:after="100" w:afterAutospacing="1"/>
      <w:jc w:val="left"/>
    </w:pPr>
    <w:rPr>
      <w:rFonts w:ascii="宋体" w:hAnsi="宋体"/>
      <w:sz w:val="24"/>
      <w:szCs w:val="24"/>
    </w:rPr>
  </w:style>
  <w:style w:type="paragraph" w:styleId="24">
    <w:name w:val="Title"/>
    <w:basedOn w:val="1"/>
    <w:next w:val="1"/>
    <w:link w:val="114"/>
    <w:qFormat/>
    <w:uiPriority w:val="99"/>
    <w:pPr>
      <w:widowControl w:val="0"/>
      <w:spacing w:before="240" w:after="60"/>
      <w:jc w:val="center"/>
      <w:outlineLvl w:val="0"/>
    </w:pPr>
    <w:rPr>
      <w:rFonts w:ascii="Cambria" w:hAnsi="Cambria"/>
      <w:b/>
      <w:bCs/>
      <w:sz w:val="32"/>
      <w:szCs w:val="32"/>
    </w:rPr>
  </w:style>
  <w:style w:type="paragraph" w:styleId="25">
    <w:name w:val="annotation subject"/>
    <w:basedOn w:val="8"/>
    <w:next w:val="8"/>
    <w:link w:val="222"/>
    <w:unhideWhenUsed/>
    <w:qFormat/>
    <w:uiPriority w:val="99"/>
    <w:pPr>
      <w:widowControl/>
    </w:pPr>
    <w:rPr>
      <w:b/>
      <w:bCs/>
    </w:rPr>
  </w:style>
  <w:style w:type="character" w:styleId="28">
    <w:name w:val="Strong"/>
    <w:qFormat/>
    <w:uiPriority w:val="99"/>
    <w:rPr>
      <w:rFonts w:cs="Times New Roman"/>
      <w:b/>
      <w:bCs/>
    </w:rPr>
  </w:style>
  <w:style w:type="character" w:styleId="29">
    <w:name w:val="page number"/>
    <w:unhideWhenUsed/>
    <w:uiPriority w:val="99"/>
    <w:rPr>
      <w:rFonts w:cs="Times New Roman"/>
    </w:rPr>
  </w:style>
  <w:style w:type="character" w:styleId="30">
    <w:name w:val="Emphasis"/>
    <w:qFormat/>
    <w:uiPriority w:val="99"/>
    <w:rPr>
      <w:rFonts w:cs="Times New Roman"/>
    </w:rPr>
  </w:style>
  <w:style w:type="character" w:styleId="31">
    <w:name w:val="Hyperlink"/>
    <w:unhideWhenUsed/>
    <w:qFormat/>
    <w:uiPriority w:val="99"/>
    <w:rPr>
      <w:rFonts w:cs="Times New Roman"/>
      <w:color w:val="0000FF"/>
      <w:u w:val="single"/>
    </w:rPr>
  </w:style>
  <w:style w:type="character" w:styleId="32">
    <w:name w:val="annotation reference"/>
    <w:unhideWhenUsed/>
    <w:qFormat/>
    <w:uiPriority w:val="99"/>
    <w:rPr>
      <w:rFonts w:cs="Times New Roman"/>
      <w:sz w:val="21"/>
      <w:szCs w:val="21"/>
    </w:rPr>
  </w:style>
  <w:style w:type="character" w:customStyle="1" w:styleId="33">
    <w:name w:val="标题 1 Char"/>
    <w:link w:val="2"/>
    <w:unhideWhenUsed/>
    <w:qFormat/>
    <w:locked/>
    <w:uiPriority w:val="99"/>
    <w:rPr>
      <w:rFonts w:ascii="宋体" w:cs="宋体"/>
      <w:b/>
      <w:bCs/>
      <w:kern w:val="44"/>
      <w:sz w:val="44"/>
      <w:szCs w:val="44"/>
    </w:rPr>
  </w:style>
  <w:style w:type="character" w:customStyle="1" w:styleId="34">
    <w:name w:val="标题 2 Char"/>
    <w:link w:val="3"/>
    <w:unhideWhenUsed/>
    <w:qFormat/>
    <w:locked/>
    <w:uiPriority w:val="99"/>
    <w:rPr>
      <w:rFonts w:ascii="Arial" w:cs="Arial"/>
      <w:b/>
      <w:bCs/>
      <w:sz w:val="32"/>
      <w:szCs w:val="32"/>
    </w:rPr>
  </w:style>
  <w:style w:type="character" w:customStyle="1" w:styleId="35">
    <w:name w:val="标题 3 Char"/>
    <w:link w:val="4"/>
    <w:unhideWhenUsed/>
    <w:qFormat/>
    <w:locked/>
    <w:uiPriority w:val="99"/>
    <w:rPr>
      <w:rFonts w:ascii="宋体" w:cs="宋体"/>
      <w:b/>
      <w:bCs/>
      <w:sz w:val="32"/>
      <w:szCs w:val="32"/>
    </w:rPr>
  </w:style>
  <w:style w:type="character" w:customStyle="1" w:styleId="36">
    <w:name w:val="标题 4 Char"/>
    <w:link w:val="5"/>
    <w:unhideWhenUsed/>
    <w:qFormat/>
    <w:locked/>
    <w:uiPriority w:val="99"/>
    <w:rPr>
      <w:rFonts w:ascii="Arial" w:hAnsi="Arial" w:eastAsia="黑体" w:cs="黑体"/>
      <w:b/>
      <w:bCs/>
      <w:sz w:val="28"/>
      <w:szCs w:val="28"/>
    </w:rPr>
  </w:style>
  <w:style w:type="character" w:customStyle="1" w:styleId="37">
    <w:name w:val="批注框文本 Char52"/>
    <w:unhideWhenUsed/>
    <w:uiPriority w:val="99"/>
    <w:rPr>
      <w:rFonts w:ascii="Calibri"/>
      <w:sz w:val="18"/>
    </w:rPr>
  </w:style>
  <w:style w:type="character" w:customStyle="1" w:styleId="38">
    <w:name w:val="文档结构图 Char73"/>
    <w:unhideWhenUsed/>
    <w:uiPriority w:val="99"/>
    <w:rPr>
      <w:rFonts w:ascii="宋体"/>
      <w:sz w:val="18"/>
    </w:rPr>
  </w:style>
  <w:style w:type="character" w:customStyle="1" w:styleId="39">
    <w:name w:val="页脚 Char"/>
    <w:link w:val="15"/>
    <w:unhideWhenUsed/>
    <w:qFormat/>
    <w:locked/>
    <w:uiPriority w:val="99"/>
    <w:rPr>
      <w:sz w:val="18"/>
    </w:rPr>
  </w:style>
  <w:style w:type="character" w:customStyle="1" w:styleId="40">
    <w:name w:val="页眉 Char72"/>
    <w:unhideWhenUsed/>
    <w:qFormat/>
    <w:uiPriority w:val="99"/>
    <w:rPr>
      <w:sz w:val="18"/>
    </w:rPr>
  </w:style>
  <w:style w:type="character" w:customStyle="1" w:styleId="41">
    <w:name w:val="批注框文本 Char1"/>
    <w:unhideWhenUsed/>
    <w:qFormat/>
    <w:uiPriority w:val="99"/>
    <w:rPr>
      <w:rFonts w:ascii="Calibri"/>
      <w:sz w:val="18"/>
    </w:rPr>
  </w:style>
  <w:style w:type="character" w:customStyle="1" w:styleId="42">
    <w:name w:val="纯文本 Char1"/>
    <w:unhideWhenUsed/>
    <w:qFormat/>
    <w:uiPriority w:val="99"/>
    <w:rPr>
      <w:rFonts w:ascii="宋体" w:hAnsi="Courier New"/>
      <w:sz w:val="21"/>
    </w:rPr>
  </w:style>
  <w:style w:type="character" w:customStyle="1" w:styleId="43">
    <w:name w:val="纯文本 Char71"/>
    <w:unhideWhenUsed/>
    <w:uiPriority w:val="99"/>
    <w:rPr>
      <w:rFonts w:ascii="宋体" w:hAnsi="Courier New"/>
      <w:sz w:val="21"/>
    </w:rPr>
  </w:style>
  <w:style w:type="character" w:customStyle="1" w:styleId="44">
    <w:name w:val="批注文字 Char52"/>
    <w:unhideWhenUsed/>
    <w:qFormat/>
    <w:uiPriority w:val="99"/>
    <w:rPr>
      <w:rFonts w:ascii="Calibri"/>
    </w:rPr>
  </w:style>
  <w:style w:type="character" w:customStyle="1" w:styleId="45">
    <w:name w:val="文档结构图 Char74"/>
    <w:unhideWhenUsed/>
    <w:qFormat/>
    <w:uiPriority w:val="99"/>
    <w:rPr>
      <w:rFonts w:ascii="宋体"/>
      <w:sz w:val="18"/>
    </w:rPr>
  </w:style>
  <w:style w:type="character" w:customStyle="1" w:styleId="46">
    <w:name w:val="页眉 Char52"/>
    <w:unhideWhenUsed/>
    <w:uiPriority w:val="99"/>
    <w:rPr>
      <w:rFonts w:ascii="Calibri"/>
      <w:sz w:val="18"/>
    </w:rPr>
  </w:style>
  <w:style w:type="character" w:customStyle="1" w:styleId="47">
    <w:name w:val="页眉 Char1"/>
    <w:unhideWhenUsed/>
    <w:uiPriority w:val="99"/>
    <w:rPr>
      <w:rFonts w:ascii="Calibri"/>
      <w:sz w:val="18"/>
    </w:rPr>
  </w:style>
  <w:style w:type="character" w:customStyle="1" w:styleId="48">
    <w:name w:val="批注文字 Char82"/>
    <w:unhideWhenUsed/>
    <w:qFormat/>
    <w:uiPriority w:val="99"/>
    <w:rPr>
      <w:rFonts w:ascii="宋体" w:cs="宋体"/>
    </w:rPr>
  </w:style>
  <w:style w:type="character" w:customStyle="1" w:styleId="49">
    <w:name w:val="HTML 预设格式 Char21"/>
    <w:unhideWhenUsed/>
    <w:qFormat/>
    <w:uiPriority w:val="99"/>
    <w:rPr>
      <w:rFonts w:ascii="Courier New"/>
      <w:sz w:val="20"/>
    </w:rPr>
  </w:style>
  <w:style w:type="character" w:customStyle="1" w:styleId="50">
    <w:name w:val="页眉 Char7"/>
    <w:unhideWhenUsed/>
    <w:qFormat/>
    <w:uiPriority w:val="99"/>
    <w:rPr>
      <w:rFonts w:ascii="宋体" w:cs="宋体"/>
      <w:kern w:val="2"/>
      <w:sz w:val="18"/>
      <w:szCs w:val="18"/>
    </w:rPr>
  </w:style>
  <w:style w:type="character" w:customStyle="1" w:styleId="51">
    <w:name w:val="批注文字 Char81"/>
    <w:unhideWhenUsed/>
    <w:uiPriority w:val="99"/>
    <w:rPr>
      <w:rFonts w:ascii="宋体" w:cs="宋体"/>
      <w:sz w:val="21"/>
      <w:szCs w:val="21"/>
    </w:rPr>
  </w:style>
  <w:style w:type="character" w:customStyle="1" w:styleId="52">
    <w:name w:val="日期 Char73"/>
    <w:unhideWhenUsed/>
    <w:qFormat/>
    <w:uiPriority w:val="99"/>
  </w:style>
  <w:style w:type="character" w:customStyle="1" w:styleId="53">
    <w:name w:val="标题 Char22"/>
    <w:unhideWhenUsed/>
    <w:qFormat/>
    <w:uiPriority w:val="10"/>
    <w:rPr>
      <w:rFonts w:ascii="Cambria"/>
      <w:b/>
      <w:sz w:val="32"/>
    </w:rPr>
  </w:style>
  <w:style w:type="character" w:customStyle="1" w:styleId="54">
    <w:name w:val="页脚 Char4"/>
    <w:unhideWhenUsed/>
    <w:qFormat/>
    <w:uiPriority w:val="99"/>
    <w:rPr>
      <w:rFonts w:ascii="Calibri"/>
      <w:sz w:val="18"/>
    </w:rPr>
  </w:style>
  <w:style w:type="character" w:customStyle="1" w:styleId="55">
    <w:name w:val="批注文字 Char3"/>
    <w:unhideWhenUsed/>
    <w:qFormat/>
    <w:uiPriority w:val="99"/>
    <w:rPr>
      <w:rFonts w:ascii="Calibri"/>
      <w:sz w:val="21"/>
    </w:rPr>
  </w:style>
  <w:style w:type="character" w:customStyle="1" w:styleId="56">
    <w:name w:val="批注框文本 Char22"/>
    <w:unhideWhenUsed/>
    <w:qFormat/>
    <w:uiPriority w:val="99"/>
    <w:rPr>
      <w:rFonts w:ascii="Calibri"/>
      <w:sz w:val="18"/>
    </w:rPr>
  </w:style>
  <w:style w:type="character" w:customStyle="1" w:styleId="57">
    <w:name w:val="标题 Char73"/>
    <w:unhideWhenUsed/>
    <w:qFormat/>
    <w:uiPriority w:val="10"/>
    <w:rPr>
      <w:rFonts w:ascii="Cambria"/>
      <w:b/>
      <w:sz w:val="32"/>
    </w:rPr>
  </w:style>
  <w:style w:type="character" w:customStyle="1" w:styleId="58">
    <w:name w:val="标题 Char3"/>
    <w:unhideWhenUsed/>
    <w:qFormat/>
    <w:uiPriority w:val="10"/>
    <w:rPr>
      <w:rFonts w:ascii="Cambria"/>
      <w:b/>
      <w:sz w:val="32"/>
    </w:rPr>
  </w:style>
  <w:style w:type="character" w:customStyle="1" w:styleId="59">
    <w:name w:val="HTML 预设格式 Char4"/>
    <w:unhideWhenUsed/>
    <w:qFormat/>
    <w:uiPriority w:val="99"/>
    <w:rPr>
      <w:rFonts w:ascii="Courier New"/>
      <w:sz w:val="20"/>
    </w:rPr>
  </w:style>
  <w:style w:type="character" w:customStyle="1" w:styleId="60">
    <w:name w:val="页脚 Char21"/>
    <w:unhideWhenUsed/>
    <w:uiPriority w:val="99"/>
    <w:rPr>
      <w:rFonts w:ascii="Calibri"/>
      <w:sz w:val="18"/>
    </w:rPr>
  </w:style>
  <w:style w:type="character" w:customStyle="1" w:styleId="61">
    <w:name w:val="批注框文本 Char4"/>
    <w:unhideWhenUsed/>
    <w:uiPriority w:val="99"/>
    <w:rPr>
      <w:rFonts w:ascii="Calibri"/>
      <w:sz w:val="18"/>
    </w:rPr>
  </w:style>
  <w:style w:type="character" w:customStyle="1" w:styleId="62">
    <w:name w:val="标题 Char74"/>
    <w:unhideWhenUsed/>
    <w:uiPriority w:val="10"/>
    <w:rPr>
      <w:rFonts w:ascii="Cambria"/>
      <w:b/>
      <w:sz w:val="32"/>
    </w:rPr>
  </w:style>
  <w:style w:type="character" w:customStyle="1" w:styleId="63">
    <w:name w:val="纯文本 Char8"/>
    <w:unhideWhenUsed/>
    <w:uiPriority w:val="99"/>
    <w:rPr>
      <w:rFonts w:ascii="宋体" w:hAnsi="Courier New" w:cs="宋体"/>
    </w:rPr>
  </w:style>
  <w:style w:type="character" w:customStyle="1" w:styleId="64">
    <w:name w:val="标题 Char4"/>
    <w:unhideWhenUsed/>
    <w:qFormat/>
    <w:uiPriority w:val="10"/>
    <w:rPr>
      <w:rFonts w:ascii="Cambria"/>
      <w:b/>
      <w:sz w:val="32"/>
    </w:rPr>
  </w:style>
  <w:style w:type="character" w:customStyle="1" w:styleId="65">
    <w:name w:val="纯文本 Char5"/>
    <w:unhideWhenUsed/>
    <w:qFormat/>
    <w:uiPriority w:val="99"/>
    <w:rPr>
      <w:rFonts w:ascii="宋体" w:hAnsi="Courier New"/>
    </w:rPr>
  </w:style>
  <w:style w:type="character" w:customStyle="1" w:styleId="66">
    <w:name w:val="标题 Char72"/>
    <w:unhideWhenUsed/>
    <w:uiPriority w:val="10"/>
    <w:rPr>
      <w:rFonts w:ascii="Cambria"/>
      <w:b/>
      <w:sz w:val="32"/>
    </w:rPr>
  </w:style>
  <w:style w:type="character" w:customStyle="1" w:styleId="67">
    <w:name w:val="标题 Char71"/>
    <w:unhideWhenUsed/>
    <w:qFormat/>
    <w:uiPriority w:val="10"/>
    <w:rPr>
      <w:rFonts w:ascii="Cambria"/>
      <w:b/>
      <w:sz w:val="32"/>
    </w:rPr>
  </w:style>
  <w:style w:type="character" w:customStyle="1" w:styleId="68">
    <w:name w:val="纯文本 Char41"/>
    <w:unhideWhenUsed/>
    <w:qFormat/>
    <w:uiPriority w:val="99"/>
    <w:rPr>
      <w:rFonts w:ascii="宋体" w:hAnsi="Courier New"/>
      <w:sz w:val="21"/>
    </w:rPr>
  </w:style>
  <w:style w:type="character" w:customStyle="1" w:styleId="69">
    <w:name w:val="纯文本 Char6"/>
    <w:unhideWhenUsed/>
    <w:qFormat/>
    <w:uiPriority w:val="99"/>
    <w:rPr>
      <w:rFonts w:ascii="宋体" w:hAnsi="Courier New"/>
      <w:sz w:val="21"/>
    </w:rPr>
  </w:style>
  <w:style w:type="character" w:customStyle="1" w:styleId="70">
    <w:name w:val="标题 Char52"/>
    <w:unhideWhenUsed/>
    <w:qFormat/>
    <w:uiPriority w:val="10"/>
    <w:rPr>
      <w:rFonts w:ascii="Cambria"/>
      <w:b/>
      <w:sz w:val="32"/>
    </w:rPr>
  </w:style>
  <w:style w:type="character" w:customStyle="1" w:styleId="71">
    <w:name w:val="页脚 Char73"/>
    <w:unhideWhenUsed/>
    <w:qFormat/>
    <w:uiPriority w:val="99"/>
    <w:rPr>
      <w:sz w:val="18"/>
    </w:rPr>
  </w:style>
  <w:style w:type="character" w:customStyle="1" w:styleId="72">
    <w:name w:val="日期 Char21"/>
    <w:unhideWhenUsed/>
    <w:qFormat/>
    <w:uiPriority w:val="99"/>
    <w:rPr>
      <w:rFonts w:ascii="Calibri"/>
      <w:sz w:val="21"/>
    </w:rPr>
  </w:style>
  <w:style w:type="character" w:customStyle="1" w:styleId="73">
    <w:name w:val="HTML 预设格式 Char6"/>
    <w:unhideWhenUsed/>
    <w:qFormat/>
    <w:uiPriority w:val="99"/>
    <w:rPr>
      <w:rFonts w:ascii="Courier New"/>
      <w:sz w:val="20"/>
    </w:rPr>
  </w:style>
  <w:style w:type="character" w:customStyle="1" w:styleId="74">
    <w:name w:val="批注框文本 Char71"/>
    <w:unhideWhenUsed/>
    <w:qFormat/>
    <w:uiPriority w:val="99"/>
    <w:rPr>
      <w:sz w:val="18"/>
    </w:rPr>
  </w:style>
  <w:style w:type="character" w:customStyle="1" w:styleId="75">
    <w:name w:val="标题 Char6"/>
    <w:unhideWhenUsed/>
    <w:qFormat/>
    <w:uiPriority w:val="10"/>
    <w:rPr>
      <w:rFonts w:ascii="Cambria"/>
      <w:b/>
      <w:sz w:val="32"/>
    </w:rPr>
  </w:style>
  <w:style w:type="character" w:customStyle="1" w:styleId="76">
    <w:name w:val="纯文本 Char52"/>
    <w:unhideWhenUsed/>
    <w:qFormat/>
    <w:uiPriority w:val="99"/>
    <w:rPr>
      <w:rFonts w:ascii="宋体" w:hAnsi="Courier New"/>
    </w:rPr>
  </w:style>
  <w:style w:type="character" w:customStyle="1" w:styleId="77">
    <w:name w:val="HTML 预设格式 Char8"/>
    <w:unhideWhenUsed/>
    <w:qFormat/>
    <w:uiPriority w:val="99"/>
    <w:rPr>
      <w:rFonts w:ascii="Courier New" w:cs="Courier New"/>
      <w:sz w:val="20"/>
      <w:szCs w:val="20"/>
    </w:rPr>
  </w:style>
  <w:style w:type="character" w:customStyle="1" w:styleId="78">
    <w:name w:val="批注主题 Char1"/>
    <w:unhideWhenUsed/>
    <w:qFormat/>
    <w:uiPriority w:val="99"/>
    <w:rPr>
      <w:rFonts w:ascii="宋体" w:cs="宋体"/>
      <w:b/>
      <w:bCs/>
      <w:sz w:val="20"/>
      <w:szCs w:val="20"/>
    </w:rPr>
  </w:style>
  <w:style w:type="character" w:customStyle="1" w:styleId="79">
    <w:name w:val="页脚 Char52"/>
    <w:unhideWhenUsed/>
    <w:qFormat/>
    <w:uiPriority w:val="99"/>
    <w:rPr>
      <w:rFonts w:ascii="Calibri"/>
      <w:sz w:val="18"/>
    </w:rPr>
  </w:style>
  <w:style w:type="character" w:customStyle="1" w:styleId="80">
    <w:name w:val="批注文字 Char41"/>
    <w:unhideWhenUsed/>
    <w:uiPriority w:val="99"/>
    <w:rPr>
      <w:rFonts w:ascii="Calibri"/>
      <w:sz w:val="21"/>
    </w:rPr>
  </w:style>
  <w:style w:type="character" w:customStyle="1" w:styleId="81">
    <w:name w:val="页脚 Char74"/>
    <w:unhideWhenUsed/>
    <w:qFormat/>
    <w:uiPriority w:val="99"/>
    <w:rPr>
      <w:sz w:val="18"/>
    </w:rPr>
  </w:style>
  <w:style w:type="character" w:customStyle="1" w:styleId="82">
    <w:name w:val="正文文本_"/>
    <w:link w:val="83"/>
    <w:unhideWhenUsed/>
    <w:qFormat/>
    <w:locked/>
    <w:uiPriority w:val="99"/>
    <w:rPr>
      <w:rFonts w:ascii="MingLiU" w:hAnsi="MingLiU" w:eastAsia="MingLiU"/>
      <w:spacing w:val="20"/>
      <w:sz w:val="15"/>
      <w:shd w:val="clear" w:color="auto" w:fill="FFFFFF"/>
    </w:rPr>
  </w:style>
  <w:style w:type="paragraph" w:customStyle="1" w:styleId="83">
    <w:name w:val="正文文本1"/>
    <w:basedOn w:val="1"/>
    <w:link w:val="82"/>
    <w:unhideWhenUsed/>
    <w:qFormat/>
    <w:uiPriority w:val="99"/>
    <w:pPr>
      <w:widowControl w:val="0"/>
      <w:shd w:val="clear" w:color="auto" w:fill="FFFFFF"/>
      <w:spacing w:line="282" w:lineRule="exact"/>
      <w:ind w:hanging="280"/>
      <w:jc w:val="distribute"/>
    </w:pPr>
    <w:rPr>
      <w:rFonts w:ascii="MingLiU" w:hAnsi="MingLiU" w:eastAsia="MingLiU" w:cs="MingLiU"/>
      <w:spacing w:val="20"/>
      <w:sz w:val="15"/>
      <w:szCs w:val="15"/>
    </w:rPr>
  </w:style>
  <w:style w:type="character" w:customStyle="1" w:styleId="84">
    <w:name w:val="标题 Char41"/>
    <w:unhideWhenUsed/>
    <w:uiPriority w:val="10"/>
    <w:rPr>
      <w:rFonts w:ascii="Cambria"/>
      <w:b/>
      <w:sz w:val="32"/>
    </w:rPr>
  </w:style>
  <w:style w:type="character" w:customStyle="1" w:styleId="85">
    <w:name w:val="日期 Char"/>
    <w:link w:val="13"/>
    <w:unhideWhenUsed/>
    <w:qFormat/>
    <w:locked/>
    <w:uiPriority w:val="99"/>
    <w:rPr>
      <w:rFonts w:ascii="仿宋_GB2312" w:eastAsia="仿宋_GB2312"/>
      <w:sz w:val="20"/>
    </w:rPr>
  </w:style>
  <w:style w:type="character" w:customStyle="1" w:styleId="86">
    <w:name w:val="页眉 Char41"/>
    <w:unhideWhenUsed/>
    <w:qFormat/>
    <w:uiPriority w:val="99"/>
    <w:rPr>
      <w:rFonts w:ascii="Calibri"/>
      <w:sz w:val="18"/>
    </w:rPr>
  </w:style>
  <w:style w:type="character" w:customStyle="1" w:styleId="87">
    <w:name w:val="批注框文本 Char3"/>
    <w:unhideWhenUsed/>
    <w:uiPriority w:val="99"/>
    <w:rPr>
      <w:rFonts w:ascii="Calibri"/>
      <w:sz w:val="18"/>
    </w:rPr>
  </w:style>
  <w:style w:type="character" w:customStyle="1" w:styleId="88">
    <w:name w:val="页脚 Char72"/>
    <w:unhideWhenUsed/>
    <w:qFormat/>
    <w:uiPriority w:val="99"/>
    <w:rPr>
      <w:sz w:val="18"/>
    </w:rPr>
  </w:style>
  <w:style w:type="character" w:customStyle="1" w:styleId="89">
    <w:name w:val="纯文本 Char81"/>
    <w:unhideWhenUsed/>
    <w:qFormat/>
    <w:uiPriority w:val="99"/>
    <w:rPr>
      <w:rFonts w:ascii="宋体" w:hAnsi="Courier New" w:cs="宋体"/>
      <w:sz w:val="21"/>
      <w:szCs w:val="21"/>
    </w:rPr>
  </w:style>
  <w:style w:type="character" w:customStyle="1" w:styleId="90">
    <w:name w:val="日期 Char71"/>
    <w:unhideWhenUsed/>
    <w:qFormat/>
    <w:uiPriority w:val="99"/>
    <w:rPr>
      <w:sz w:val="21"/>
    </w:rPr>
  </w:style>
  <w:style w:type="character" w:customStyle="1" w:styleId="91">
    <w:name w:val="批注文字 Char73"/>
    <w:unhideWhenUsed/>
    <w:uiPriority w:val="99"/>
  </w:style>
  <w:style w:type="character" w:customStyle="1" w:styleId="92">
    <w:name w:val="日期 Char3"/>
    <w:unhideWhenUsed/>
    <w:qFormat/>
    <w:uiPriority w:val="99"/>
    <w:rPr>
      <w:rFonts w:ascii="Calibri"/>
      <w:sz w:val="21"/>
    </w:rPr>
  </w:style>
  <w:style w:type="character" w:customStyle="1" w:styleId="93">
    <w:name w:val="文档结构图 Char3"/>
    <w:unhideWhenUsed/>
    <w:qFormat/>
    <w:uiPriority w:val="99"/>
    <w:rPr>
      <w:rFonts w:ascii="宋体" w:hAnsi="Calibri"/>
      <w:sz w:val="18"/>
    </w:rPr>
  </w:style>
  <w:style w:type="character" w:customStyle="1" w:styleId="94">
    <w:name w:val="HTML 预设格式 Char52"/>
    <w:unhideWhenUsed/>
    <w:uiPriority w:val="99"/>
    <w:rPr>
      <w:rFonts w:ascii="Courier New"/>
      <w:sz w:val="20"/>
    </w:rPr>
  </w:style>
  <w:style w:type="character" w:customStyle="1" w:styleId="95">
    <w:name w:val="标题 Char7"/>
    <w:unhideWhenUsed/>
    <w:uiPriority w:val="10"/>
    <w:rPr>
      <w:rFonts w:ascii="Cambria" w:cs="Cambria"/>
      <w:b/>
      <w:bCs/>
      <w:kern w:val="2"/>
      <w:sz w:val="32"/>
      <w:szCs w:val="32"/>
    </w:rPr>
  </w:style>
  <w:style w:type="character" w:customStyle="1" w:styleId="96">
    <w:name w:val="批注文字 Char1"/>
    <w:unhideWhenUsed/>
    <w:qFormat/>
    <w:uiPriority w:val="99"/>
    <w:rPr>
      <w:rFonts w:ascii="Calibri"/>
      <w:sz w:val="21"/>
    </w:rPr>
  </w:style>
  <w:style w:type="character" w:customStyle="1" w:styleId="97">
    <w:name w:val="文档结构图 Char72"/>
    <w:unhideWhenUsed/>
    <w:uiPriority w:val="99"/>
    <w:rPr>
      <w:rFonts w:ascii="宋体"/>
      <w:sz w:val="18"/>
    </w:rPr>
  </w:style>
  <w:style w:type="character" w:customStyle="1" w:styleId="98">
    <w:name w:val="HTML 预设格式 Char82"/>
    <w:unhideWhenUsed/>
    <w:uiPriority w:val="99"/>
    <w:rPr>
      <w:rFonts w:ascii="Courier New" w:cs="Courier New"/>
      <w:sz w:val="20"/>
      <w:szCs w:val="20"/>
    </w:rPr>
  </w:style>
  <w:style w:type="character" w:customStyle="1" w:styleId="99">
    <w:name w:val="标题 Char23"/>
    <w:unhideWhenUsed/>
    <w:uiPriority w:val="10"/>
    <w:rPr>
      <w:rFonts w:ascii="Cambria"/>
      <w:b/>
      <w:sz w:val="32"/>
    </w:rPr>
  </w:style>
  <w:style w:type="character" w:customStyle="1" w:styleId="100">
    <w:name w:val="日期 Char8"/>
    <w:unhideWhenUsed/>
    <w:qFormat/>
    <w:uiPriority w:val="99"/>
    <w:rPr>
      <w:rFonts w:ascii="宋体" w:cs="宋体"/>
    </w:rPr>
  </w:style>
  <w:style w:type="character" w:customStyle="1" w:styleId="101">
    <w:name w:val="文档结构图 Char2"/>
    <w:unhideWhenUsed/>
    <w:qFormat/>
    <w:uiPriority w:val="99"/>
    <w:rPr>
      <w:rFonts w:ascii="宋体" w:hAnsi="Calibri"/>
      <w:sz w:val="18"/>
    </w:rPr>
  </w:style>
  <w:style w:type="character" w:customStyle="1" w:styleId="102">
    <w:name w:val="文档结构图 Char81"/>
    <w:unhideWhenUsed/>
    <w:qFormat/>
    <w:uiPriority w:val="99"/>
    <w:rPr>
      <w:rFonts w:ascii="宋体" w:cs="宋体"/>
      <w:sz w:val="18"/>
      <w:szCs w:val="18"/>
    </w:rPr>
  </w:style>
  <w:style w:type="character" w:customStyle="1" w:styleId="103">
    <w:name w:val="页脚 Char6"/>
    <w:unhideWhenUsed/>
    <w:uiPriority w:val="99"/>
    <w:rPr>
      <w:rFonts w:ascii="宋体"/>
      <w:sz w:val="18"/>
    </w:rPr>
  </w:style>
  <w:style w:type="character" w:customStyle="1" w:styleId="104">
    <w:name w:val="批注框文本 Char2"/>
    <w:unhideWhenUsed/>
    <w:qFormat/>
    <w:uiPriority w:val="99"/>
    <w:rPr>
      <w:rFonts w:ascii="Calibri"/>
      <w:sz w:val="18"/>
    </w:rPr>
  </w:style>
  <w:style w:type="character" w:customStyle="1" w:styleId="105">
    <w:name w:val="文档结构图 Char71"/>
    <w:unhideWhenUsed/>
    <w:uiPriority w:val="99"/>
    <w:rPr>
      <w:rFonts w:ascii="宋体"/>
      <w:sz w:val="18"/>
    </w:rPr>
  </w:style>
  <w:style w:type="character" w:customStyle="1" w:styleId="106">
    <w:name w:val="HTML 预设格式 Char23"/>
    <w:unhideWhenUsed/>
    <w:qFormat/>
    <w:uiPriority w:val="99"/>
    <w:rPr>
      <w:rFonts w:ascii="Courier New"/>
      <w:sz w:val="20"/>
    </w:rPr>
  </w:style>
  <w:style w:type="character" w:customStyle="1" w:styleId="107">
    <w:name w:val="纯文本 Char21"/>
    <w:unhideWhenUsed/>
    <w:uiPriority w:val="99"/>
    <w:rPr>
      <w:rFonts w:ascii="宋体" w:hAnsi="Courier New"/>
      <w:sz w:val="21"/>
    </w:rPr>
  </w:style>
  <w:style w:type="character" w:customStyle="1" w:styleId="108">
    <w:name w:val="批注框文本 Char5"/>
    <w:unhideWhenUsed/>
    <w:qFormat/>
    <w:uiPriority w:val="99"/>
    <w:rPr>
      <w:sz w:val="18"/>
    </w:rPr>
  </w:style>
  <w:style w:type="character" w:customStyle="1" w:styleId="109">
    <w:name w:val="页脚 Char7"/>
    <w:unhideWhenUsed/>
    <w:qFormat/>
    <w:uiPriority w:val="99"/>
    <w:rPr>
      <w:rFonts w:ascii="宋体" w:cs="宋体"/>
      <w:kern w:val="2"/>
      <w:sz w:val="18"/>
      <w:szCs w:val="18"/>
    </w:rPr>
  </w:style>
  <w:style w:type="character" w:customStyle="1" w:styleId="110">
    <w:name w:val="批注框文本 Char74"/>
    <w:unhideWhenUsed/>
    <w:qFormat/>
    <w:uiPriority w:val="99"/>
    <w:rPr>
      <w:sz w:val="18"/>
    </w:rPr>
  </w:style>
  <w:style w:type="character" w:customStyle="1" w:styleId="111">
    <w:name w:val="页眉 Char4"/>
    <w:unhideWhenUsed/>
    <w:uiPriority w:val="99"/>
    <w:rPr>
      <w:rFonts w:ascii="Calibri"/>
      <w:sz w:val="18"/>
    </w:rPr>
  </w:style>
  <w:style w:type="character" w:customStyle="1" w:styleId="112">
    <w:name w:val="标题 Char8"/>
    <w:unhideWhenUsed/>
    <w:qFormat/>
    <w:uiPriority w:val="10"/>
    <w:rPr>
      <w:rFonts w:ascii="Cambria" w:cs="Cambria"/>
      <w:b/>
      <w:bCs/>
      <w:sz w:val="32"/>
      <w:szCs w:val="32"/>
    </w:rPr>
  </w:style>
  <w:style w:type="character" w:customStyle="1" w:styleId="113">
    <w:name w:val="页眉 Char5"/>
    <w:unhideWhenUsed/>
    <w:uiPriority w:val="99"/>
    <w:rPr>
      <w:sz w:val="18"/>
    </w:rPr>
  </w:style>
  <w:style w:type="character" w:customStyle="1" w:styleId="114">
    <w:name w:val="标题 Char"/>
    <w:link w:val="24"/>
    <w:unhideWhenUsed/>
    <w:qFormat/>
    <w:locked/>
    <w:uiPriority w:val="99"/>
    <w:rPr>
      <w:rFonts w:ascii="Cambria"/>
      <w:b/>
      <w:sz w:val="32"/>
    </w:rPr>
  </w:style>
  <w:style w:type="character" w:customStyle="1" w:styleId="115">
    <w:name w:val="页眉 Char8"/>
    <w:unhideWhenUsed/>
    <w:uiPriority w:val="99"/>
    <w:rPr>
      <w:rFonts w:ascii="宋体" w:cs="宋体"/>
      <w:sz w:val="18"/>
      <w:szCs w:val="18"/>
    </w:rPr>
  </w:style>
  <w:style w:type="character" w:customStyle="1" w:styleId="116">
    <w:name w:val="批注框文本 Char41"/>
    <w:unhideWhenUsed/>
    <w:qFormat/>
    <w:uiPriority w:val="99"/>
    <w:rPr>
      <w:rFonts w:ascii="Calibri"/>
      <w:sz w:val="18"/>
    </w:rPr>
  </w:style>
  <w:style w:type="character" w:customStyle="1" w:styleId="117">
    <w:name w:val="批注框文本 Char7"/>
    <w:unhideWhenUsed/>
    <w:qFormat/>
    <w:uiPriority w:val="99"/>
    <w:rPr>
      <w:rFonts w:ascii="宋体" w:cs="宋体"/>
      <w:kern w:val="2"/>
      <w:sz w:val="18"/>
      <w:szCs w:val="18"/>
    </w:rPr>
  </w:style>
  <w:style w:type="character" w:customStyle="1" w:styleId="118">
    <w:name w:val="批注框文本 Char81"/>
    <w:unhideWhenUsed/>
    <w:qFormat/>
    <w:uiPriority w:val="99"/>
    <w:rPr>
      <w:rFonts w:ascii="宋体" w:cs="宋体"/>
      <w:sz w:val="18"/>
      <w:szCs w:val="18"/>
    </w:rPr>
  </w:style>
  <w:style w:type="character" w:customStyle="1" w:styleId="119">
    <w:name w:val="文档结构图 Char"/>
    <w:link w:val="7"/>
    <w:unhideWhenUsed/>
    <w:qFormat/>
    <w:locked/>
    <w:uiPriority w:val="99"/>
    <w:rPr>
      <w:rFonts w:ascii="宋体"/>
      <w:shd w:val="clear" w:color="auto" w:fill="000080"/>
    </w:rPr>
  </w:style>
  <w:style w:type="character" w:customStyle="1" w:styleId="120">
    <w:name w:val="文档结构图 Char23"/>
    <w:unhideWhenUsed/>
    <w:qFormat/>
    <w:uiPriority w:val="99"/>
    <w:rPr>
      <w:rFonts w:ascii="宋体" w:hAnsi="Calibri"/>
      <w:sz w:val="18"/>
    </w:rPr>
  </w:style>
  <w:style w:type="character" w:customStyle="1" w:styleId="121">
    <w:name w:val="HTML 预设格式 Char71"/>
    <w:unhideWhenUsed/>
    <w:qFormat/>
    <w:uiPriority w:val="99"/>
    <w:rPr>
      <w:rFonts w:ascii="Courier New"/>
      <w:sz w:val="20"/>
    </w:rPr>
  </w:style>
  <w:style w:type="character" w:customStyle="1" w:styleId="122">
    <w:name w:val="HTML 预设格式 Char22"/>
    <w:unhideWhenUsed/>
    <w:qFormat/>
    <w:uiPriority w:val="99"/>
    <w:rPr>
      <w:rFonts w:ascii="Courier New"/>
      <w:sz w:val="20"/>
    </w:rPr>
  </w:style>
  <w:style w:type="character" w:customStyle="1" w:styleId="123">
    <w:name w:val="标题 Char2"/>
    <w:unhideWhenUsed/>
    <w:qFormat/>
    <w:uiPriority w:val="10"/>
    <w:rPr>
      <w:rFonts w:ascii="Cambria"/>
      <w:b/>
      <w:sz w:val="32"/>
    </w:rPr>
  </w:style>
  <w:style w:type="character" w:customStyle="1" w:styleId="124">
    <w:name w:val="HTML 预设格式 Char5"/>
    <w:unhideWhenUsed/>
    <w:qFormat/>
    <w:uiPriority w:val="99"/>
    <w:rPr>
      <w:rFonts w:ascii="Courier New"/>
      <w:sz w:val="20"/>
    </w:rPr>
  </w:style>
  <w:style w:type="character" w:customStyle="1" w:styleId="125">
    <w:name w:val="日期 Char72"/>
    <w:unhideWhenUsed/>
    <w:qFormat/>
    <w:uiPriority w:val="99"/>
  </w:style>
  <w:style w:type="character" w:customStyle="1" w:styleId="126">
    <w:name w:val="页脚 Char82"/>
    <w:unhideWhenUsed/>
    <w:qFormat/>
    <w:uiPriority w:val="99"/>
    <w:rPr>
      <w:rFonts w:ascii="宋体" w:cs="宋体"/>
      <w:sz w:val="18"/>
      <w:szCs w:val="18"/>
    </w:rPr>
  </w:style>
  <w:style w:type="character" w:customStyle="1" w:styleId="127">
    <w:name w:val="页眉 Char81"/>
    <w:unhideWhenUsed/>
    <w:qFormat/>
    <w:uiPriority w:val="99"/>
    <w:rPr>
      <w:rFonts w:ascii="宋体" w:cs="宋体"/>
      <w:sz w:val="18"/>
      <w:szCs w:val="18"/>
    </w:rPr>
  </w:style>
  <w:style w:type="character" w:customStyle="1" w:styleId="128">
    <w:name w:val="页眉 Char2"/>
    <w:unhideWhenUsed/>
    <w:qFormat/>
    <w:uiPriority w:val="99"/>
    <w:rPr>
      <w:rFonts w:ascii="Calibri"/>
      <w:sz w:val="18"/>
    </w:rPr>
  </w:style>
  <w:style w:type="character" w:customStyle="1" w:styleId="129">
    <w:name w:val="批注框文本 Char51"/>
    <w:unhideWhenUsed/>
    <w:qFormat/>
    <w:uiPriority w:val="99"/>
    <w:rPr>
      <w:rFonts w:ascii="Calibri"/>
      <w:sz w:val="18"/>
    </w:rPr>
  </w:style>
  <w:style w:type="character" w:customStyle="1" w:styleId="130">
    <w:name w:val="标题 Char81"/>
    <w:unhideWhenUsed/>
    <w:qFormat/>
    <w:uiPriority w:val="10"/>
    <w:rPr>
      <w:rFonts w:ascii="Cambria" w:cs="Cambria"/>
      <w:b/>
      <w:bCs/>
      <w:sz w:val="32"/>
      <w:szCs w:val="32"/>
    </w:rPr>
  </w:style>
  <w:style w:type="character" w:customStyle="1" w:styleId="131">
    <w:name w:val="页眉 Char3"/>
    <w:unhideWhenUsed/>
    <w:qFormat/>
    <w:uiPriority w:val="99"/>
    <w:rPr>
      <w:rFonts w:ascii="Calibri"/>
      <w:sz w:val="18"/>
    </w:rPr>
  </w:style>
  <w:style w:type="character" w:customStyle="1" w:styleId="132">
    <w:name w:val="页眉 Char74"/>
    <w:unhideWhenUsed/>
    <w:qFormat/>
    <w:uiPriority w:val="99"/>
    <w:rPr>
      <w:sz w:val="18"/>
    </w:rPr>
  </w:style>
  <w:style w:type="character" w:customStyle="1" w:styleId="133">
    <w:name w:val="HTML 预设格式 Char2"/>
    <w:unhideWhenUsed/>
    <w:qFormat/>
    <w:uiPriority w:val="99"/>
    <w:rPr>
      <w:rFonts w:ascii="Courier New"/>
      <w:sz w:val="20"/>
    </w:rPr>
  </w:style>
  <w:style w:type="character" w:customStyle="1" w:styleId="134">
    <w:name w:val="纯文本 Char23"/>
    <w:unhideWhenUsed/>
    <w:qFormat/>
    <w:uiPriority w:val="99"/>
    <w:rPr>
      <w:rFonts w:ascii="宋体" w:hAnsi="Courier New"/>
    </w:rPr>
  </w:style>
  <w:style w:type="character" w:customStyle="1" w:styleId="135">
    <w:name w:val="日期 Char2"/>
    <w:unhideWhenUsed/>
    <w:qFormat/>
    <w:uiPriority w:val="99"/>
    <w:rPr>
      <w:rFonts w:ascii="Calibri"/>
    </w:rPr>
  </w:style>
  <w:style w:type="character" w:customStyle="1" w:styleId="136">
    <w:name w:val="批注文字 Char2"/>
    <w:unhideWhenUsed/>
    <w:qFormat/>
    <w:uiPriority w:val="99"/>
    <w:rPr>
      <w:rFonts w:ascii="Calibri"/>
    </w:rPr>
  </w:style>
  <w:style w:type="character" w:customStyle="1" w:styleId="137">
    <w:name w:val="日期 Char23"/>
    <w:unhideWhenUsed/>
    <w:qFormat/>
    <w:uiPriority w:val="99"/>
    <w:rPr>
      <w:rFonts w:ascii="Calibri"/>
    </w:rPr>
  </w:style>
  <w:style w:type="character" w:customStyle="1" w:styleId="138">
    <w:name w:val="文档结构图 Char21"/>
    <w:unhideWhenUsed/>
    <w:qFormat/>
    <w:uiPriority w:val="99"/>
    <w:rPr>
      <w:rFonts w:ascii="宋体" w:hAnsi="Calibri"/>
      <w:sz w:val="18"/>
    </w:rPr>
  </w:style>
  <w:style w:type="character" w:customStyle="1" w:styleId="139">
    <w:name w:val="批注文字 Char4"/>
    <w:unhideWhenUsed/>
    <w:qFormat/>
    <w:uiPriority w:val="99"/>
    <w:rPr>
      <w:rFonts w:ascii="Calibri"/>
    </w:rPr>
  </w:style>
  <w:style w:type="character" w:customStyle="1" w:styleId="140">
    <w:name w:val="页脚 Char81"/>
    <w:unhideWhenUsed/>
    <w:qFormat/>
    <w:uiPriority w:val="99"/>
    <w:rPr>
      <w:rFonts w:ascii="宋体" w:cs="宋体"/>
      <w:sz w:val="18"/>
      <w:szCs w:val="18"/>
    </w:rPr>
  </w:style>
  <w:style w:type="character" w:customStyle="1" w:styleId="141">
    <w:name w:val="页脚 Char23"/>
    <w:unhideWhenUsed/>
    <w:qFormat/>
    <w:uiPriority w:val="99"/>
    <w:rPr>
      <w:rFonts w:ascii="Calibri"/>
      <w:sz w:val="18"/>
    </w:rPr>
  </w:style>
  <w:style w:type="character" w:customStyle="1" w:styleId="142">
    <w:name w:val="批注文字 Char74"/>
    <w:unhideWhenUsed/>
    <w:qFormat/>
    <w:uiPriority w:val="99"/>
  </w:style>
  <w:style w:type="character" w:customStyle="1" w:styleId="143">
    <w:name w:val="日期 Char7"/>
    <w:unhideWhenUsed/>
    <w:qFormat/>
    <w:uiPriority w:val="99"/>
    <w:rPr>
      <w:rFonts w:ascii="宋体" w:cs="宋体"/>
      <w:kern w:val="2"/>
      <w:sz w:val="21"/>
      <w:szCs w:val="21"/>
    </w:rPr>
  </w:style>
  <w:style w:type="character" w:customStyle="1" w:styleId="144">
    <w:name w:val="纯文本 Char51"/>
    <w:unhideWhenUsed/>
    <w:qFormat/>
    <w:uiPriority w:val="99"/>
    <w:rPr>
      <w:rFonts w:ascii="宋体" w:hAnsi="Courier New"/>
      <w:sz w:val="21"/>
    </w:rPr>
  </w:style>
  <w:style w:type="character" w:customStyle="1" w:styleId="145">
    <w:name w:val="HTML 预设格式 Char41"/>
    <w:unhideWhenUsed/>
    <w:qFormat/>
    <w:uiPriority w:val="99"/>
    <w:rPr>
      <w:rFonts w:ascii="Courier New"/>
      <w:sz w:val="20"/>
    </w:rPr>
  </w:style>
  <w:style w:type="character" w:customStyle="1" w:styleId="146">
    <w:name w:val="批注文字 Char22"/>
    <w:unhideWhenUsed/>
    <w:qFormat/>
    <w:uiPriority w:val="99"/>
    <w:rPr>
      <w:rFonts w:ascii="Calibri"/>
    </w:rPr>
  </w:style>
  <w:style w:type="character" w:customStyle="1" w:styleId="147">
    <w:name w:val="页脚 Char2"/>
    <w:unhideWhenUsed/>
    <w:qFormat/>
    <w:uiPriority w:val="99"/>
    <w:rPr>
      <w:rFonts w:ascii="Calibri"/>
      <w:sz w:val="18"/>
    </w:rPr>
  </w:style>
  <w:style w:type="character" w:customStyle="1" w:styleId="148">
    <w:name w:val="纯文本 Char72"/>
    <w:unhideWhenUsed/>
    <w:qFormat/>
    <w:uiPriority w:val="99"/>
    <w:rPr>
      <w:rFonts w:ascii="宋体" w:hAnsi="Courier New"/>
    </w:rPr>
  </w:style>
  <w:style w:type="character" w:customStyle="1" w:styleId="149">
    <w:name w:val="批注文字 Char8"/>
    <w:unhideWhenUsed/>
    <w:qFormat/>
    <w:uiPriority w:val="99"/>
    <w:rPr>
      <w:rFonts w:ascii="宋体" w:cs="宋体"/>
    </w:rPr>
  </w:style>
  <w:style w:type="character" w:customStyle="1" w:styleId="150">
    <w:name w:val="批注文字 Char5"/>
    <w:unhideWhenUsed/>
    <w:qFormat/>
    <w:uiPriority w:val="99"/>
  </w:style>
  <w:style w:type="character" w:customStyle="1" w:styleId="151">
    <w:name w:val="日期 Char52"/>
    <w:unhideWhenUsed/>
    <w:qFormat/>
    <w:uiPriority w:val="99"/>
    <w:rPr>
      <w:rFonts w:ascii="Calibri"/>
    </w:rPr>
  </w:style>
  <w:style w:type="character" w:customStyle="1" w:styleId="152">
    <w:name w:val="页眉 Char73"/>
    <w:unhideWhenUsed/>
    <w:qFormat/>
    <w:uiPriority w:val="99"/>
    <w:rPr>
      <w:sz w:val="18"/>
    </w:rPr>
  </w:style>
  <w:style w:type="character" w:customStyle="1" w:styleId="153">
    <w:name w:val="日期 Char1"/>
    <w:unhideWhenUsed/>
    <w:qFormat/>
    <w:uiPriority w:val="99"/>
    <w:rPr>
      <w:rFonts w:ascii="Calibri"/>
      <w:sz w:val="21"/>
    </w:rPr>
  </w:style>
  <w:style w:type="character" w:customStyle="1" w:styleId="154">
    <w:name w:val="日期 Char41"/>
    <w:unhideWhenUsed/>
    <w:qFormat/>
    <w:uiPriority w:val="99"/>
    <w:rPr>
      <w:rFonts w:ascii="Calibri"/>
      <w:sz w:val="21"/>
    </w:rPr>
  </w:style>
  <w:style w:type="character" w:customStyle="1" w:styleId="155">
    <w:name w:val="批注框文本 Char"/>
    <w:link w:val="14"/>
    <w:unhideWhenUsed/>
    <w:qFormat/>
    <w:locked/>
    <w:uiPriority w:val="99"/>
    <w:rPr>
      <w:sz w:val="18"/>
    </w:rPr>
  </w:style>
  <w:style w:type="character" w:customStyle="1" w:styleId="156">
    <w:name w:val="批注框文本 Char23"/>
    <w:unhideWhenUsed/>
    <w:qFormat/>
    <w:uiPriority w:val="99"/>
    <w:rPr>
      <w:rFonts w:ascii="Calibri"/>
      <w:sz w:val="18"/>
    </w:rPr>
  </w:style>
  <w:style w:type="character" w:customStyle="1" w:styleId="157">
    <w:name w:val="标题 Char82"/>
    <w:unhideWhenUsed/>
    <w:qFormat/>
    <w:uiPriority w:val="10"/>
    <w:rPr>
      <w:rFonts w:ascii="Cambria" w:cs="Cambria"/>
      <w:b/>
      <w:bCs/>
      <w:sz w:val="32"/>
      <w:szCs w:val="32"/>
    </w:rPr>
  </w:style>
  <w:style w:type="character" w:customStyle="1" w:styleId="158">
    <w:name w:val="批注框文本 Char73"/>
    <w:unhideWhenUsed/>
    <w:qFormat/>
    <w:uiPriority w:val="99"/>
    <w:rPr>
      <w:sz w:val="18"/>
    </w:rPr>
  </w:style>
  <w:style w:type="character" w:customStyle="1" w:styleId="159">
    <w:name w:val="文档结构图 Char41"/>
    <w:unhideWhenUsed/>
    <w:qFormat/>
    <w:uiPriority w:val="99"/>
    <w:rPr>
      <w:rFonts w:ascii="宋体" w:hAnsi="Calibri"/>
      <w:sz w:val="18"/>
    </w:rPr>
  </w:style>
  <w:style w:type="character" w:customStyle="1" w:styleId="160">
    <w:name w:val="批注文字 Char23"/>
    <w:unhideWhenUsed/>
    <w:qFormat/>
    <w:uiPriority w:val="99"/>
    <w:rPr>
      <w:rFonts w:ascii="Calibri"/>
    </w:rPr>
  </w:style>
  <w:style w:type="character" w:customStyle="1" w:styleId="161">
    <w:name w:val="页脚 Char51"/>
    <w:unhideWhenUsed/>
    <w:qFormat/>
    <w:uiPriority w:val="99"/>
    <w:rPr>
      <w:rFonts w:ascii="Calibri"/>
      <w:sz w:val="18"/>
    </w:rPr>
  </w:style>
  <w:style w:type="character" w:customStyle="1" w:styleId="162">
    <w:name w:val="页眉 Char21"/>
    <w:unhideWhenUsed/>
    <w:qFormat/>
    <w:uiPriority w:val="99"/>
    <w:rPr>
      <w:rFonts w:ascii="Calibri"/>
      <w:sz w:val="18"/>
    </w:rPr>
  </w:style>
  <w:style w:type="character" w:customStyle="1" w:styleId="163">
    <w:name w:val="HTML 预设格式 Char73"/>
    <w:unhideWhenUsed/>
    <w:qFormat/>
    <w:uiPriority w:val="99"/>
    <w:rPr>
      <w:rFonts w:ascii="Courier New"/>
      <w:sz w:val="20"/>
    </w:rPr>
  </w:style>
  <w:style w:type="character" w:customStyle="1" w:styleId="164">
    <w:name w:val="HTML 预设格式 Char1"/>
    <w:unhideWhenUsed/>
    <w:qFormat/>
    <w:uiPriority w:val="99"/>
    <w:rPr>
      <w:rFonts w:ascii="Courier New"/>
      <w:sz w:val="20"/>
    </w:rPr>
  </w:style>
  <w:style w:type="character" w:customStyle="1" w:styleId="165">
    <w:name w:val="纯文本 Char22"/>
    <w:unhideWhenUsed/>
    <w:qFormat/>
    <w:uiPriority w:val="99"/>
    <w:rPr>
      <w:rFonts w:ascii="宋体" w:hAnsi="Courier New"/>
    </w:rPr>
  </w:style>
  <w:style w:type="character" w:customStyle="1" w:styleId="166">
    <w:name w:val="页眉 Char51"/>
    <w:unhideWhenUsed/>
    <w:qFormat/>
    <w:uiPriority w:val="99"/>
    <w:rPr>
      <w:rFonts w:ascii="Calibri"/>
      <w:sz w:val="18"/>
    </w:rPr>
  </w:style>
  <w:style w:type="character" w:customStyle="1" w:styleId="167">
    <w:name w:val="标题 Char21"/>
    <w:unhideWhenUsed/>
    <w:qFormat/>
    <w:uiPriority w:val="10"/>
    <w:rPr>
      <w:rFonts w:ascii="Cambria"/>
      <w:b/>
      <w:sz w:val="32"/>
    </w:rPr>
  </w:style>
  <w:style w:type="character" w:customStyle="1" w:styleId="168">
    <w:name w:val="页眉 Char"/>
    <w:link w:val="16"/>
    <w:unhideWhenUsed/>
    <w:qFormat/>
    <w:locked/>
    <w:uiPriority w:val="99"/>
    <w:rPr>
      <w:sz w:val="18"/>
    </w:rPr>
  </w:style>
  <w:style w:type="character" w:customStyle="1" w:styleId="169">
    <w:name w:val="页脚 Char41"/>
    <w:unhideWhenUsed/>
    <w:qFormat/>
    <w:uiPriority w:val="99"/>
    <w:rPr>
      <w:rFonts w:ascii="Calibri"/>
      <w:sz w:val="18"/>
    </w:rPr>
  </w:style>
  <w:style w:type="character" w:customStyle="1" w:styleId="170">
    <w:name w:val="批注文字 Char"/>
    <w:link w:val="8"/>
    <w:unhideWhenUsed/>
    <w:qFormat/>
    <w:locked/>
    <w:uiPriority w:val="99"/>
    <w:rPr>
      <w:rFonts w:ascii="宋体"/>
      <w:sz w:val="20"/>
    </w:rPr>
  </w:style>
  <w:style w:type="character" w:customStyle="1" w:styleId="171">
    <w:name w:val="HTML 预设格式 Char"/>
    <w:link w:val="22"/>
    <w:unhideWhenUsed/>
    <w:qFormat/>
    <w:locked/>
    <w:uiPriority w:val="99"/>
    <w:rPr>
      <w:rFonts w:ascii="宋体"/>
    </w:rPr>
  </w:style>
  <w:style w:type="character" w:customStyle="1" w:styleId="172">
    <w:name w:val="文档结构图 Char7"/>
    <w:unhideWhenUsed/>
    <w:qFormat/>
    <w:uiPriority w:val="99"/>
    <w:rPr>
      <w:rFonts w:ascii="宋体" w:cs="宋体"/>
      <w:kern w:val="2"/>
      <w:sz w:val="18"/>
      <w:szCs w:val="18"/>
    </w:rPr>
  </w:style>
  <w:style w:type="character" w:customStyle="1" w:styleId="173">
    <w:name w:val="文档结构图 Char4"/>
    <w:unhideWhenUsed/>
    <w:qFormat/>
    <w:uiPriority w:val="99"/>
    <w:rPr>
      <w:rFonts w:ascii="宋体" w:hAnsi="Calibri"/>
      <w:sz w:val="18"/>
    </w:rPr>
  </w:style>
  <w:style w:type="character" w:customStyle="1" w:styleId="174">
    <w:name w:val="批注文字 Char51"/>
    <w:unhideWhenUsed/>
    <w:qFormat/>
    <w:uiPriority w:val="99"/>
    <w:rPr>
      <w:rFonts w:ascii="Calibri"/>
      <w:sz w:val="21"/>
    </w:rPr>
  </w:style>
  <w:style w:type="character" w:customStyle="1" w:styleId="175">
    <w:name w:val="批注文字 Char6"/>
    <w:unhideWhenUsed/>
    <w:qFormat/>
    <w:uiPriority w:val="99"/>
    <w:rPr>
      <w:rFonts w:ascii="宋体"/>
      <w:sz w:val="21"/>
    </w:rPr>
  </w:style>
  <w:style w:type="character" w:customStyle="1" w:styleId="176">
    <w:name w:val="HTML 预设格式 Char81"/>
    <w:unhideWhenUsed/>
    <w:qFormat/>
    <w:uiPriority w:val="99"/>
    <w:rPr>
      <w:rFonts w:ascii="Courier New" w:cs="Courier New"/>
      <w:sz w:val="20"/>
      <w:szCs w:val="20"/>
    </w:rPr>
  </w:style>
  <w:style w:type="character" w:customStyle="1" w:styleId="177">
    <w:name w:val="日期 Char4"/>
    <w:unhideWhenUsed/>
    <w:qFormat/>
    <w:uiPriority w:val="99"/>
    <w:rPr>
      <w:rFonts w:ascii="Calibri"/>
    </w:rPr>
  </w:style>
  <w:style w:type="character" w:customStyle="1" w:styleId="178">
    <w:name w:val="正文文本 + Dotum"/>
    <w:unhideWhenUsed/>
    <w:qFormat/>
    <w:uiPriority w:val="99"/>
    <w:rPr>
      <w:rFonts w:ascii="Dotum" w:hAnsi="Dotum" w:eastAsia="Dotum"/>
      <w:color w:val="000000"/>
      <w:sz w:val="16"/>
      <w:shd w:val="clear" w:color="auto" w:fill="FFFFFF"/>
    </w:rPr>
  </w:style>
  <w:style w:type="character" w:customStyle="1" w:styleId="179">
    <w:name w:val="日期 Char5"/>
    <w:unhideWhenUsed/>
    <w:uiPriority w:val="99"/>
  </w:style>
  <w:style w:type="character" w:customStyle="1" w:styleId="180">
    <w:name w:val="纯文本 Char4"/>
    <w:unhideWhenUsed/>
    <w:qFormat/>
    <w:uiPriority w:val="99"/>
    <w:rPr>
      <w:rFonts w:ascii="宋体" w:hAnsi="Courier New"/>
    </w:rPr>
  </w:style>
  <w:style w:type="character" w:customStyle="1" w:styleId="181">
    <w:name w:val="页眉 Char22"/>
    <w:unhideWhenUsed/>
    <w:uiPriority w:val="99"/>
    <w:rPr>
      <w:rFonts w:ascii="Calibri"/>
      <w:sz w:val="18"/>
    </w:rPr>
  </w:style>
  <w:style w:type="character" w:customStyle="1" w:styleId="182">
    <w:name w:val="日期 Char81"/>
    <w:unhideWhenUsed/>
    <w:qFormat/>
    <w:uiPriority w:val="99"/>
    <w:rPr>
      <w:rFonts w:ascii="宋体" w:cs="宋体"/>
      <w:sz w:val="21"/>
      <w:szCs w:val="21"/>
    </w:rPr>
  </w:style>
  <w:style w:type="character" w:customStyle="1" w:styleId="183">
    <w:name w:val="批注框文本 Char8"/>
    <w:unhideWhenUsed/>
    <w:uiPriority w:val="99"/>
    <w:rPr>
      <w:rFonts w:ascii="宋体" w:cs="宋体"/>
      <w:sz w:val="18"/>
      <w:szCs w:val="18"/>
    </w:rPr>
  </w:style>
  <w:style w:type="character" w:customStyle="1" w:styleId="184">
    <w:name w:val="批注文字 Char71"/>
    <w:unhideWhenUsed/>
    <w:qFormat/>
    <w:uiPriority w:val="99"/>
    <w:rPr>
      <w:sz w:val="21"/>
    </w:rPr>
  </w:style>
  <w:style w:type="character" w:customStyle="1" w:styleId="185">
    <w:name w:val="HTML 预设格式 Char3"/>
    <w:unhideWhenUsed/>
    <w:qFormat/>
    <w:uiPriority w:val="99"/>
    <w:rPr>
      <w:rFonts w:ascii="Courier New"/>
      <w:sz w:val="20"/>
    </w:rPr>
  </w:style>
  <w:style w:type="character" w:customStyle="1" w:styleId="186">
    <w:name w:val="日期 Char51"/>
    <w:unhideWhenUsed/>
    <w:qFormat/>
    <w:uiPriority w:val="99"/>
    <w:rPr>
      <w:rFonts w:ascii="Calibri"/>
      <w:sz w:val="21"/>
    </w:rPr>
  </w:style>
  <w:style w:type="character" w:customStyle="1" w:styleId="187">
    <w:name w:val="文档结构图 Char5"/>
    <w:unhideWhenUsed/>
    <w:qFormat/>
    <w:uiPriority w:val="99"/>
    <w:rPr>
      <w:rFonts w:ascii="宋体"/>
      <w:sz w:val="18"/>
    </w:rPr>
  </w:style>
  <w:style w:type="character" w:customStyle="1" w:styleId="188">
    <w:name w:val="纯文本 Char82"/>
    <w:unhideWhenUsed/>
    <w:uiPriority w:val="99"/>
    <w:rPr>
      <w:rFonts w:ascii="宋体" w:hAnsi="Courier New" w:cs="宋体"/>
    </w:rPr>
  </w:style>
  <w:style w:type="character" w:customStyle="1" w:styleId="189">
    <w:name w:val="文档结构图 Char8"/>
    <w:unhideWhenUsed/>
    <w:qFormat/>
    <w:uiPriority w:val="99"/>
    <w:rPr>
      <w:rFonts w:ascii="宋体" w:cs="宋体"/>
      <w:sz w:val="18"/>
      <w:szCs w:val="18"/>
    </w:rPr>
  </w:style>
  <w:style w:type="character" w:customStyle="1" w:styleId="190">
    <w:name w:val="页眉 Char6"/>
    <w:unhideWhenUsed/>
    <w:qFormat/>
    <w:uiPriority w:val="99"/>
    <w:rPr>
      <w:rFonts w:ascii="宋体"/>
      <w:sz w:val="18"/>
    </w:rPr>
  </w:style>
  <w:style w:type="character" w:customStyle="1" w:styleId="191">
    <w:name w:val="文档结构图 Char52"/>
    <w:unhideWhenUsed/>
    <w:qFormat/>
    <w:uiPriority w:val="99"/>
    <w:rPr>
      <w:rFonts w:ascii="宋体" w:hAnsi="Calibri"/>
      <w:sz w:val="18"/>
    </w:rPr>
  </w:style>
  <w:style w:type="character" w:customStyle="1" w:styleId="192">
    <w:name w:val="文档结构图 Char6"/>
    <w:unhideWhenUsed/>
    <w:qFormat/>
    <w:uiPriority w:val="99"/>
    <w:rPr>
      <w:rFonts w:ascii="宋体"/>
      <w:sz w:val="18"/>
    </w:rPr>
  </w:style>
  <w:style w:type="character" w:customStyle="1" w:styleId="193">
    <w:name w:val="HTML 预设格式 Char51"/>
    <w:unhideWhenUsed/>
    <w:uiPriority w:val="99"/>
    <w:rPr>
      <w:rFonts w:ascii="Courier New"/>
      <w:sz w:val="20"/>
    </w:rPr>
  </w:style>
  <w:style w:type="character" w:customStyle="1" w:styleId="194">
    <w:name w:val="页脚 Char3"/>
    <w:unhideWhenUsed/>
    <w:uiPriority w:val="99"/>
    <w:rPr>
      <w:rFonts w:ascii="Calibri"/>
      <w:sz w:val="18"/>
    </w:rPr>
  </w:style>
  <w:style w:type="character" w:customStyle="1" w:styleId="195">
    <w:name w:val="批注框文本 Char21"/>
    <w:unhideWhenUsed/>
    <w:qFormat/>
    <w:uiPriority w:val="99"/>
    <w:rPr>
      <w:rFonts w:ascii="Calibri"/>
      <w:sz w:val="18"/>
    </w:rPr>
  </w:style>
  <w:style w:type="character" w:customStyle="1" w:styleId="196">
    <w:name w:val="标题 Char51"/>
    <w:unhideWhenUsed/>
    <w:qFormat/>
    <w:uiPriority w:val="10"/>
    <w:rPr>
      <w:rFonts w:ascii="Cambria"/>
      <w:b/>
      <w:sz w:val="32"/>
    </w:rPr>
  </w:style>
  <w:style w:type="character" w:customStyle="1" w:styleId="197">
    <w:name w:val="日期 Char74"/>
    <w:unhideWhenUsed/>
    <w:qFormat/>
    <w:uiPriority w:val="99"/>
  </w:style>
  <w:style w:type="character" w:customStyle="1" w:styleId="198">
    <w:name w:val="批注文字 Char21"/>
    <w:unhideWhenUsed/>
    <w:qFormat/>
    <w:uiPriority w:val="99"/>
    <w:rPr>
      <w:rFonts w:ascii="Calibri"/>
      <w:sz w:val="21"/>
    </w:rPr>
  </w:style>
  <w:style w:type="character" w:customStyle="1" w:styleId="199">
    <w:name w:val="页脚 Char22"/>
    <w:unhideWhenUsed/>
    <w:qFormat/>
    <w:uiPriority w:val="99"/>
    <w:rPr>
      <w:rFonts w:ascii="Calibri"/>
      <w:sz w:val="18"/>
    </w:rPr>
  </w:style>
  <w:style w:type="character" w:customStyle="1" w:styleId="200">
    <w:name w:val="纯文本 Char2"/>
    <w:unhideWhenUsed/>
    <w:qFormat/>
    <w:uiPriority w:val="99"/>
    <w:rPr>
      <w:rFonts w:ascii="宋体" w:hAnsi="Courier New"/>
    </w:rPr>
  </w:style>
  <w:style w:type="character" w:customStyle="1" w:styleId="201">
    <w:name w:val="批注框文本 Char82"/>
    <w:unhideWhenUsed/>
    <w:qFormat/>
    <w:uiPriority w:val="99"/>
    <w:rPr>
      <w:rFonts w:ascii="宋体" w:cs="宋体"/>
      <w:sz w:val="18"/>
      <w:szCs w:val="18"/>
    </w:rPr>
  </w:style>
  <w:style w:type="character" w:customStyle="1" w:styleId="202">
    <w:name w:val="批注框文本 Char72"/>
    <w:unhideWhenUsed/>
    <w:qFormat/>
    <w:uiPriority w:val="99"/>
    <w:rPr>
      <w:sz w:val="18"/>
    </w:rPr>
  </w:style>
  <w:style w:type="character" w:customStyle="1" w:styleId="203">
    <w:name w:val="纯文本 Char"/>
    <w:link w:val="11"/>
    <w:unhideWhenUsed/>
    <w:qFormat/>
    <w:locked/>
    <w:uiPriority w:val="99"/>
    <w:rPr>
      <w:rFonts w:ascii="宋体" w:hAnsi="Courier New"/>
      <w:sz w:val="20"/>
    </w:rPr>
  </w:style>
  <w:style w:type="character" w:customStyle="1" w:styleId="204">
    <w:name w:val="文档结构图 Char82"/>
    <w:unhideWhenUsed/>
    <w:qFormat/>
    <w:uiPriority w:val="99"/>
    <w:rPr>
      <w:rFonts w:ascii="宋体" w:cs="宋体"/>
      <w:sz w:val="18"/>
      <w:szCs w:val="18"/>
    </w:rPr>
  </w:style>
  <w:style w:type="character" w:customStyle="1" w:styleId="205">
    <w:name w:val="文档结构图 Char22"/>
    <w:unhideWhenUsed/>
    <w:qFormat/>
    <w:uiPriority w:val="99"/>
    <w:rPr>
      <w:rFonts w:ascii="宋体" w:hAnsi="Calibri"/>
      <w:sz w:val="18"/>
    </w:rPr>
  </w:style>
  <w:style w:type="character" w:customStyle="1" w:styleId="206">
    <w:name w:val="日期 Char6"/>
    <w:unhideWhenUsed/>
    <w:qFormat/>
    <w:uiPriority w:val="99"/>
    <w:rPr>
      <w:rFonts w:ascii="宋体"/>
      <w:sz w:val="21"/>
    </w:rPr>
  </w:style>
  <w:style w:type="character" w:customStyle="1" w:styleId="207">
    <w:name w:val="页脚 Char8"/>
    <w:unhideWhenUsed/>
    <w:qFormat/>
    <w:uiPriority w:val="99"/>
    <w:rPr>
      <w:rFonts w:ascii="宋体" w:cs="宋体"/>
      <w:sz w:val="18"/>
      <w:szCs w:val="18"/>
    </w:rPr>
  </w:style>
  <w:style w:type="character" w:customStyle="1" w:styleId="208">
    <w:name w:val="纯文本 Char73"/>
    <w:unhideWhenUsed/>
    <w:qFormat/>
    <w:uiPriority w:val="99"/>
    <w:rPr>
      <w:rFonts w:ascii="宋体" w:hAnsi="Courier New"/>
    </w:rPr>
  </w:style>
  <w:style w:type="character" w:customStyle="1" w:styleId="209">
    <w:name w:val="文档结构图 Char51"/>
    <w:unhideWhenUsed/>
    <w:qFormat/>
    <w:uiPriority w:val="99"/>
    <w:rPr>
      <w:rFonts w:ascii="宋体" w:hAnsi="Calibri"/>
      <w:sz w:val="18"/>
    </w:rPr>
  </w:style>
  <w:style w:type="character" w:customStyle="1" w:styleId="210">
    <w:name w:val="日期 Char82"/>
    <w:unhideWhenUsed/>
    <w:qFormat/>
    <w:uiPriority w:val="99"/>
    <w:rPr>
      <w:rFonts w:ascii="宋体" w:cs="宋体"/>
    </w:rPr>
  </w:style>
  <w:style w:type="character" w:customStyle="1" w:styleId="211">
    <w:name w:val="日期 Char22"/>
    <w:unhideWhenUsed/>
    <w:qFormat/>
    <w:uiPriority w:val="99"/>
    <w:rPr>
      <w:rFonts w:ascii="Calibri"/>
    </w:rPr>
  </w:style>
  <w:style w:type="character" w:customStyle="1" w:styleId="212">
    <w:name w:val="纯文本 Char3"/>
    <w:unhideWhenUsed/>
    <w:qFormat/>
    <w:uiPriority w:val="99"/>
    <w:rPr>
      <w:rFonts w:ascii="宋体" w:hAnsi="Courier New"/>
      <w:sz w:val="21"/>
    </w:rPr>
  </w:style>
  <w:style w:type="character" w:customStyle="1" w:styleId="213">
    <w:name w:val="标题 Char5"/>
    <w:unhideWhenUsed/>
    <w:qFormat/>
    <w:uiPriority w:val="10"/>
    <w:rPr>
      <w:rFonts w:ascii="Cambria"/>
      <w:b/>
      <w:sz w:val="32"/>
    </w:rPr>
  </w:style>
  <w:style w:type="character" w:customStyle="1" w:styleId="214">
    <w:name w:val="页眉 Char71"/>
    <w:unhideWhenUsed/>
    <w:qFormat/>
    <w:uiPriority w:val="99"/>
    <w:rPr>
      <w:sz w:val="18"/>
    </w:rPr>
  </w:style>
  <w:style w:type="character" w:customStyle="1" w:styleId="215">
    <w:name w:val="批注文字 Char72"/>
    <w:unhideWhenUsed/>
    <w:qFormat/>
    <w:uiPriority w:val="99"/>
  </w:style>
  <w:style w:type="character" w:customStyle="1" w:styleId="216">
    <w:name w:val="标题 Char1"/>
    <w:unhideWhenUsed/>
    <w:qFormat/>
    <w:uiPriority w:val="10"/>
    <w:rPr>
      <w:rFonts w:ascii="Cambria"/>
      <w:b/>
      <w:sz w:val="32"/>
    </w:rPr>
  </w:style>
  <w:style w:type="character" w:customStyle="1" w:styleId="217">
    <w:name w:val="批注主题 Char11"/>
    <w:unhideWhenUsed/>
    <w:qFormat/>
    <w:uiPriority w:val="99"/>
    <w:rPr>
      <w:rFonts w:ascii="宋体" w:cs="宋体"/>
      <w:b/>
      <w:bCs/>
      <w:sz w:val="21"/>
      <w:szCs w:val="21"/>
    </w:rPr>
  </w:style>
  <w:style w:type="character" w:customStyle="1" w:styleId="218">
    <w:name w:val="文档结构图 Char1"/>
    <w:unhideWhenUsed/>
    <w:qFormat/>
    <w:uiPriority w:val="99"/>
    <w:rPr>
      <w:rFonts w:ascii="宋体" w:hAnsi="Calibri"/>
      <w:sz w:val="18"/>
    </w:rPr>
  </w:style>
  <w:style w:type="character" w:customStyle="1" w:styleId="219">
    <w:name w:val="HTML 预设格式 Char7"/>
    <w:unhideWhenUsed/>
    <w:qFormat/>
    <w:uiPriority w:val="99"/>
    <w:rPr>
      <w:rFonts w:ascii="Courier New" w:cs="Courier New"/>
      <w:kern w:val="2"/>
    </w:rPr>
  </w:style>
  <w:style w:type="character" w:customStyle="1" w:styleId="220">
    <w:name w:val="页眉 Char23"/>
    <w:unhideWhenUsed/>
    <w:qFormat/>
    <w:uiPriority w:val="99"/>
    <w:rPr>
      <w:rFonts w:ascii="Calibri"/>
      <w:sz w:val="18"/>
    </w:rPr>
  </w:style>
  <w:style w:type="character" w:customStyle="1" w:styleId="221">
    <w:name w:val="页脚 Char1"/>
    <w:unhideWhenUsed/>
    <w:qFormat/>
    <w:uiPriority w:val="99"/>
    <w:rPr>
      <w:rFonts w:ascii="Calibri"/>
      <w:sz w:val="18"/>
    </w:rPr>
  </w:style>
  <w:style w:type="character" w:customStyle="1" w:styleId="222">
    <w:name w:val="批注主题 Char"/>
    <w:link w:val="25"/>
    <w:unhideWhenUsed/>
    <w:qFormat/>
    <w:locked/>
    <w:uiPriority w:val="99"/>
    <w:rPr>
      <w:rFonts w:ascii="宋体" w:cs="宋体"/>
      <w:b/>
      <w:bCs/>
      <w:sz w:val="20"/>
      <w:szCs w:val="20"/>
    </w:rPr>
  </w:style>
  <w:style w:type="character" w:customStyle="1" w:styleId="223">
    <w:name w:val="纯文本 Char74"/>
    <w:unhideWhenUsed/>
    <w:qFormat/>
    <w:uiPriority w:val="99"/>
    <w:rPr>
      <w:rFonts w:ascii="宋体" w:hAnsi="Courier New"/>
    </w:rPr>
  </w:style>
  <w:style w:type="character" w:customStyle="1" w:styleId="224">
    <w:name w:val="HTML 预设格式 Char72"/>
    <w:unhideWhenUsed/>
    <w:qFormat/>
    <w:uiPriority w:val="99"/>
    <w:rPr>
      <w:rFonts w:ascii="Courier New"/>
      <w:sz w:val="20"/>
    </w:rPr>
  </w:style>
  <w:style w:type="character" w:customStyle="1" w:styleId="225">
    <w:name w:val="HTML 预设格式 Char74"/>
    <w:unhideWhenUsed/>
    <w:qFormat/>
    <w:uiPriority w:val="99"/>
    <w:rPr>
      <w:rFonts w:ascii="Courier New"/>
      <w:sz w:val="20"/>
    </w:rPr>
  </w:style>
  <w:style w:type="character" w:customStyle="1" w:styleId="226">
    <w:name w:val="批注主题 Char12"/>
    <w:unhideWhenUsed/>
    <w:qFormat/>
    <w:uiPriority w:val="99"/>
    <w:rPr>
      <w:rFonts w:ascii="宋体" w:cs="宋体"/>
      <w:b/>
      <w:bCs/>
      <w:sz w:val="20"/>
      <w:szCs w:val="20"/>
    </w:rPr>
  </w:style>
  <w:style w:type="character" w:customStyle="1" w:styleId="227">
    <w:name w:val="页脚 Char71"/>
    <w:unhideWhenUsed/>
    <w:qFormat/>
    <w:uiPriority w:val="99"/>
    <w:rPr>
      <w:sz w:val="18"/>
    </w:rPr>
  </w:style>
  <w:style w:type="character" w:customStyle="1" w:styleId="228">
    <w:name w:val="页眉 Char82"/>
    <w:unhideWhenUsed/>
    <w:qFormat/>
    <w:uiPriority w:val="99"/>
    <w:rPr>
      <w:rFonts w:ascii="宋体" w:cs="宋体"/>
      <w:sz w:val="18"/>
      <w:szCs w:val="18"/>
    </w:rPr>
  </w:style>
  <w:style w:type="character" w:customStyle="1" w:styleId="229">
    <w:name w:val="批注框文本 Char6"/>
    <w:unhideWhenUsed/>
    <w:qFormat/>
    <w:uiPriority w:val="99"/>
    <w:rPr>
      <w:rFonts w:ascii="宋体"/>
      <w:sz w:val="18"/>
    </w:rPr>
  </w:style>
  <w:style w:type="character" w:customStyle="1" w:styleId="230">
    <w:name w:val="批注文字 Char7"/>
    <w:unhideWhenUsed/>
    <w:qFormat/>
    <w:uiPriority w:val="99"/>
    <w:rPr>
      <w:rFonts w:ascii="宋体" w:cs="宋体"/>
      <w:kern w:val="2"/>
      <w:sz w:val="21"/>
      <w:szCs w:val="21"/>
    </w:rPr>
  </w:style>
  <w:style w:type="character" w:customStyle="1" w:styleId="231">
    <w:name w:val="页脚 Char5"/>
    <w:unhideWhenUsed/>
    <w:qFormat/>
    <w:uiPriority w:val="99"/>
    <w:rPr>
      <w:sz w:val="18"/>
    </w:rPr>
  </w:style>
  <w:style w:type="character" w:customStyle="1" w:styleId="232">
    <w:name w:val="纯文本 Char7"/>
    <w:unhideWhenUsed/>
    <w:qFormat/>
    <w:uiPriority w:val="99"/>
    <w:rPr>
      <w:rFonts w:ascii="宋体" w:hAnsi="Courier New" w:cs="宋体"/>
      <w:kern w:val="2"/>
      <w:sz w:val="21"/>
      <w:szCs w:val="21"/>
    </w:rPr>
  </w:style>
  <w:style w:type="paragraph" w:customStyle="1" w:styleId="233">
    <w:name w:val="Char"/>
    <w:basedOn w:val="1"/>
    <w:unhideWhenUsed/>
    <w:qFormat/>
    <w:uiPriority w:val="99"/>
    <w:pPr>
      <w:widowControl w:val="0"/>
      <w:tabs>
        <w:tab w:val="left" w:pos="4665"/>
        <w:tab w:val="left" w:pos="8970"/>
      </w:tabs>
      <w:ind w:firstLine="400"/>
    </w:pPr>
    <w:rPr>
      <w:rFonts w:ascii="Tahoma" w:hAnsi="Tahoma"/>
      <w:sz w:val="24"/>
      <w:szCs w:val="24"/>
    </w:rPr>
  </w:style>
  <w:style w:type="character" w:customStyle="1" w:styleId="234">
    <w:name w:val="页眉 Char9"/>
    <w:semiHidden/>
    <w:qFormat/>
    <w:uiPriority w:val="99"/>
    <w:rPr>
      <w:rFonts w:cs="宋体"/>
      <w:sz w:val="18"/>
      <w:szCs w:val="18"/>
    </w:rPr>
  </w:style>
  <w:style w:type="character" w:customStyle="1" w:styleId="235">
    <w:name w:val="页眉 Char91"/>
    <w:semiHidden/>
    <w:qFormat/>
    <w:uiPriority w:val="99"/>
    <w:rPr>
      <w:rFonts w:cs="宋体"/>
      <w:sz w:val="18"/>
      <w:szCs w:val="18"/>
    </w:rPr>
  </w:style>
  <w:style w:type="character" w:customStyle="1" w:styleId="236">
    <w:name w:val="批注框文本 Char9"/>
    <w:semiHidden/>
    <w:qFormat/>
    <w:uiPriority w:val="99"/>
    <w:rPr>
      <w:rFonts w:cs="宋体"/>
      <w:sz w:val="18"/>
      <w:szCs w:val="18"/>
    </w:rPr>
  </w:style>
  <w:style w:type="character" w:customStyle="1" w:styleId="237">
    <w:name w:val="批注框文本 Char91"/>
    <w:semiHidden/>
    <w:qFormat/>
    <w:uiPriority w:val="99"/>
    <w:rPr>
      <w:rFonts w:cs="宋体"/>
      <w:sz w:val="18"/>
      <w:szCs w:val="18"/>
    </w:rPr>
  </w:style>
  <w:style w:type="character" w:customStyle="1" w:styleId="238">
    <w:name w:val="文档结构图 Char9"/>
    <w:semiHidden/>
    <w:qFormat/>
    <w:uiPriority w:val="99"/>
    <w:rPr>
      <w:rFonts w:ascii="Microsoft YaHei UI" w:eastAsia="Microsoft YaHei UI" w:cs="宋体"/>
      <w:sz w:val="18"/>
      <w:szCs w:val="18"/>
    </w:rPr>
  </w:style>
  <w:style w:type="character" w:customStyle="1" w:styleId="239">
    <w:name w:val="文档结构图 Char91"/>
    <w:semiHidden/>
    <w:qFormat/>
    <w:uiPriority w:val="99"/>
    <w:rPr>
      <w:rFonts w:ascii="Microsoft YaHei UI" w:eastAsia="Microsoft YaHei UI" w:cs="宋体"/>
      <w:sz w:val="18"/>
      <w:szCs w:val="18"/>
    </w:rPr>
  </w:style>
  <w:style w:type="paragraph" w:customStyle="1" w:styleId="240">
    <w:name w:val="条文"/>
    <w:basedOn w:val="1"/>
    <w:unhideWhenUsed/>
    <w:qFormat/>
    <w:uiPriority w:val="0"/>
    <w:pPr>
      <w:widowControl w:val="0"/>
      <w:spacing w:line="300" w:lineRule="auto"/>
      <w:outlineLvl w:val="2"/>
    </w:pPr>
    <w:rPr>
      <w:sz w:val="24"/>
      <w:szCs w:val="24"/>
    </w:rPr>
  </w:style>
  <w:style w:type="character" w:customStyle="1" w:styleId="241">
    <w:name w:val="页脚 Char9"/>
    <w:semiHidden/>
    <w:qFormat/>
    <w:uiPriority w:val="99"/>
    <w:rPr>
      <w:rFonts w:cs="宋体"/>
      <w:sz w:val="18"/>
      <w:szCs w:val="18"/>
    </w:rPr>
  </w:style>
  <w:style w:type="character" w:customStyle="1" w:styleId="242">
    <w:name w:val="页脚 Char91"/>
    <w:semiHidden/>
    <w:qFormat/>
    <w:uiPriority w:val="99"/>
    <w:rPr>
      <w:rFonts w:cs="宋体"/>
      <w:sz w:val="18"/>
      <w:szCs w:val="18"/>
    </w:rPr>
  </w:style>
  <w:style w:type="character" w:customStyle="1" w:styleId="243">
    <w:name w:val="HTML 预设格式 Char9"/>
    <w:semiHidden/>
    <w:qFormat/>
    <w:uiPriority w:val="99"/>
    <w:rPr>
      <w:rFonts w:ascii="Courier New" w:hAnsi="Courier New" w:cs="Courier New"/>
      <w:sz w:val="20"/>
      <w:szCs w:val="20"/>
    </w:rPr>
  </w:style>
  <w:style w:type="character" w:customStyle="1" w:styleId="244">
    <w:name w:val="HTML 预设格式 Char91"/>
    <w:semiHidden/>
    <w:qFormat/>
    <w:uiPriority w:val="99"/>
    <w:rPr>
      <w:rFonts w:ascii="Courier New" w:hAnsi="Courier New" w:cs="Courier New"/>
      <w:sz w:val="20"/>
      <w:szCs w:val="20"/>
    </w:rPr>
  </w:style>
  <w:style w:type="character" w:customStyle="1" w:styleId="245">
    <w:name w:val="批注文字 Char9"/>
    <w:semiHidden/>
    <w:qFormat/>
    <w:uiPriority w:val="99"/>
    <w:rPr>
      <w:rFonts w:cs="宋体"/>
    </w:rPr>
  </w:style>
  <w:style w:type="character" w:customStyle="1" w:styleId="246">
    <w:name w:val="批注文字 Char91"/>
    <w:semiHidden/>
    <w:qFormat/>
    <w:uiPriority w:val="99"/>
    <w:rPr>
      <w:rFonts w:cs="宋体"/>
      <w:sz w:val="21"/>
      <w:szCs w:val="21"/>
    </w:rPr>
  </w:style>
  <w:style w:type="paragraph" w:customStyle="1" w:styleId="247">
    <w:name w:val="列出段落1"/>
    <w:basedOn w:val="1"/>
    <w:unhideWhenUsed/>
    <w:qFormat/>
    <w:uiPriority w:val="99"/>
    <w:pPr>
      <w:widowControl w:val="0"/>
      <w:ind w:firstLine="420" w:firstLineChars="200"/>
    </w:pPr>
    <w:rPr>
      <w:rFonts w:ascii="Calibri" w:hAnsi="Calibri"/>
    </w:rPr>
  </w:style>
  <w:style w:type="paragraph" w:customStyle="1" w:styleId="248">
    <w:name w:val="Char Char Char Char Char Char Char Char Char Char"/>
    <w:basedOn w:val="1"/>
    <w:unhideWhenUsed/>
    <w:qFormat/>
    <w:uiPriority w:val="99"/>
    <w:pPr>
      <w:widowControl w:val="0"/>
      <w:spacing w:line="240" w:lineRule="exact"/>
      <w:ind w:firstLine="200" w:firstLineChars="200"/>
    </w:pPr>
    <w:rPr>
      <w:color w:val="000000"/>
      <w:sz w:val="24"/>
      <w:szCs w:val="24"/>
      <w:lang w:val="zh-CN"/>
    </w:rPr>
  </w:style>
  <w:style w:type="character" w:customStyle="1" w:styleId="249">
    <w:name w:val="日期 Char9"/>
    <w:semiHidden/>
    <w:qFormat/>
    <w:uiPriority w:val="99"/>
    <w:rPr>
      <w:rFonts w:cs="宋体"/>
    </w:rPr>
  </w:style>
  <w:style w:type="character" w:customStyle="1" w:styleId="250">
    <w:name w:val="日期 Char91"/>
    <w:semiHidden/>
    <w:qFormat/>
    <w:uiPriority w:val="99"/>
    <w:rPr>
      <w:rFonts w:cs="宋体"/>
      <w:sz w:val="21"/>
      <w:szCs w:val="21"/>
    </w:rPr>
  </w:style>
  <w:style w:type="character" w:customStyle="1" w:styleId="251">
    <w:name w:val="标题 Char9"/>
    <w:qFormat/>
    <w:uiPriority w:val="10"/>
    <w:rPr>
      <w:rFonts w:ascii="Calibri Light" w:hAnsi="Calibri Light" w:cs="Times New Roman"/>
      <w:b/>
      <w:bCs/>
      <w:sz w:val="32"/>
      <w:szCs w:val="32"/>
    </w:rPr>
  </w:style>
  <w:style w:type="character" w:customStyle="1" w:styleId="252">
    <w:name w:val="标题 Char91"/>
    <w:qFormat/>
    <w:uiPriority w:val="10"/>
    <w:rPr>
      <w:rFonts w:ascii="Calibri Light" w:hAnsi="Calibri Light" w:cs="Times New Roman"/>
      <w:b/>
      <w:bCs/>
      <w:sz w:val="32"/>
      <w:szCs w:val="32"/>
    </w:rPr>
  </w:style>
  <w:style w:type="paragraph" w:customStyle="1" w:styleId="253">
    <w:name w:val="Char Char Char Char Char Char Char"/>
    <w:basedOn w:val="1"/>
    <w:unhideWhenUsed/>
    <w:qFormat/>
    <w:uiPriority w:val="99"/>
    <w:pPr>
      <w:spacing w:after="160" w:line="240" w:lineRule="exact"/>
      <w:jc w:val="left"/>
    </w:pPr>
    <w:rPr>
      <w:rFonts w:ascii="Arial" w:hAnsi="Arial"/>
      <w:b/>
      <w:bCs/>
      <w:sz w:val="24"/>
      <w:szCs w:val="24"/>
      <w:lang w:eastAsia="en-US"/>
    </w:rPr>
  </w:style>
  <w:style w:type="character" w:customStyle="1" w:styleId="254">
    <w:name w:val="批注主题 Char2"/>
    <w:semiHidden/>
    <w:qFormat/>
    <w:uiPriority w:val="99"/>
    <w:rPr>
      <w:rFonts w:ascii="宋体" w:cs="宋体"/>
      <w:b/>
      <w:bCs/>
      <w:sz w:val="20"/>
    </w:rPr>
  </w:style>
  <w:style w:type="character" w:customStyle="1" w:styleId="255">
    <w:name w:val="批注主题 Char21"/>
    <w:semiHidden/>
    <w:qFormat/>
    <w:uiPriority w:val="99"/>
    <w:rPr>
      <w:rFonts w:ascii="宋体" w:cs="宋体"/>
      <w:b/>
      <w:bCs/>
      <w:sz w:val="21"/>
      <w:szCs w:val="21"/>
    </w:rPr>
  </w:style>
  <w:style w:type="paragraph" w:customStyle="1" w:styleId="256">
    <w:name w:val="列出段落2"/>
    <w:basedOn w:val="1"/>
    <w:unhideWhenUsed/>
    <w:qFormat/>
    <w:uiPriority w:val="99"/>
    <w:pPr>
      <w:widowControl w:val="0"/>
      <w:ind w:firstLine="420" w:firstLineChars="200"/>
    </w:pPr>
    <w:rPr>
      <w:rFonts w:ascii="Calibri" w:hAnsi="Calibri"/>
    </w:rPr>
  </w:style>
  <w:style w:type="paragraph" w:customStyle="1" w:styleId="257">
    <w:name w:val="TOC Heading"/>
    <w:basedOn w:val="2"/>
    <w:next w:val="1"/>
    <w:qFormat/>
    <w:uiPriority w:val="99"/>
    <w:pPr>
      <w:widowControl/>
      <w:spacing w:before="480" w:after="0" w:line="276" w:lineRule="auto"/>
      <w:jc w:val="left"/>
    </w:pPr>
    <w:rPr>
      <w:rFonts w:ascii="Cambria" w:hAnsi="Cambria"/>
      <w:sz w:val="28"/>
      <w:szCs w:val="28"/>
    </w:rPr>
  </w:style>
  <w:style w:type="paragraph" w:customStyle="1" w:styleId="258">
    <w:name w:val="Default"/>
    <w:unhideWhenUsed/>
    <w:qFormat/>
    <w:uiPriority w:val="0"/>
    <w:pPr>
      <w:widowControl w:val="0"/>
      <w:autoSpaceDE w:val="0"/>
      <w:autoSpaceDN w:val="0"/>
      <w:adjustRightInd w:val="0"/>
    </w:pPr>
    <w:rPr>
      <w:rFonts w:ascii="Sim Sun" w:hAnsi="Times New Roman" w:eastAsia="Sim Sun" w:cs="Sim Sun"/>
      <w:color w:val="000000"/>
      <w:sz w:val="24"/>
      <w:szCs w:val="24"/>
      <w:lang w:val="en-US" w:eastAsia="zh-CN" w:bidi="ar-SA"/>
    </w:rPr>
  </w:style>
  <w:style w:type="character" w:customStyle="1" w:styleId="259">
    <w:name w:val="纯文本 Char9"/>
    <w:semiHidden/>
    <w:qFormat/>
    <w:uiPriority w:val="99"/>
    <w:rPr>
      <w:rFonts w:ascii="宋体" w:hAnsi="Courier New" w:cs="Courier New"/>
    </w:rPr>
  </w:style>
  <w:style w:type="character" w:customStyle="1" w:styleId="260">
    <w:name w:val="纯文本 Char91"/>
    <w:semiHidden/>
    <w:qFormat/>
    <w:uiPriority w:val="99"/>
    <w:rPr>
      <w:rFonts w:ascii="宋体" w:hAnsi="Courier New" w:cs="Courier New"/>
      <w:sz w:val="21"/>
      <w:szCs w:val="21"/>
    </w:rPr>
  </w:style>
  <w:style w:type="paragraph" w:styleId="261">
    <w:name w:val="List Paragraph"/>
    <w:basedOn w:val="1"/>
    <w:qFormat/>
    <w:uiPriority w:val="99"/>
    <w:pPr>
      <w:widowControl w:val="0"/>
      <w:ind w:firstLine="420" w:firstLineChars="200"/>
    </w:pPr>
    <w:rPr>
      <w:rFonts w:ascii="Calibri" w:hAnsi="Calibri"/>
    </w:rPr>
  </w:style>
  <w:style w:type="paragraph" w:customStyle="1" w:styleId="262">
    <w:name w:val="段落正文"/>
    <w:basedOn w:val="1"/>
    <w:unhideWhenUsed/>
    <w:qFormat/>
    <w:uiPriority w:val="99"/>
    <w:pPr>
      <w:widowControl w:val="0"/>
      <w:spacing w:line="300" w:lineRule="auto"/>
      <w:ind w:firstLine="482" w:firstLineChars="200"/>
    </w:pPr>
    <w:rPr>
      <w:sz w:val="24"/>
      <w:szCs w:val="24"/>
    </w:rPr>
  </w:style>
  <w:style w:type="paragraph" w:customStyle="1" w:styleId="263">
    <w:name w:val="lj正文"/>
    <w:unhideWhenUsed/>
    <w:qFormat/>
    <w:uiPriority w:val="0"/>
    <w:pPr>
      <w:spacing w:line="360" w:lineRule="auto"/>
      <w:ind w:firstLine="200" w:firstLineChars="200"/>
    </w:pPr>
    <w:rPr>
      <w:rFonts w:ascii="宋体" w:hAnsi="宋体" w:eastAsia="宋体" w:cs="宋体"/>
      <w:color w:val="000000"/>
      <w:sz w:val="24"/>
      <w:szCs w:val="24"/>
      <w:shd w:val="clear" w:color="auto" w:fill="FFFFFF"/>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1.&#22522;&#30784;&#36164;&#26009;\2.&#32511;&#33394;&#24314;&#31569;&#35774;&#35745;&#35828;&#26126;&#19987;&#31687;\&#32511;&#33394;&#24314;&#31569;&#35774;&#35745;&#35828;&#26126;&#19987;&#31687;&#34013;&#33394;.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绿色建筑设计说明专篇蓝色.dot</Template>
  <Pages>5</Pages>
  <Words>2056</Words>
  <Characters>11723</Characters>
  <Lines>97</Lines>
  <Paragraphs>27</Paragraphs>
  <TotalTime>21</TotalTime>
  <ScaleCrop>false</ScaleCrop>
  <LinksUpToDate>false</LinksUpToDate>
  <CharactersWithSpaces>13752</CharactersWithSpaces>
  <Application>WPS Office_11.1.0.8888_F1E327BC-269C-435d-A152-05C5408002CA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2018-09-11T08:54:00Z</dcterms:created>
  <dc:creator>Windows 用户</dc:creator>
  <cp:lastModifiedBy>The one</cp:lastModifiedBy>
  <dcterms:modified xsi:type="dcterms:W3CDTF">2019-07-11T09:09:33Z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