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黑体" w:hAnsi="黑体" w:eastAsia="黑体" w:cs="黑体"/>
          <w:b/>
          <w:bCs/>
          <w:sz w:val="44"/>
          <w:szCs w:val="44"/>
          <w:u w:val="none"/>
          <w:lang w:eastAsia="zh-CN"/>
        </w:rPr>
      </w:pPr>
      <w:r>
        <w:rPr>
          <w:rFonts w:hint="eastAsia" w:ascii="黑体" w:hAnsi="黑体" w:eastAsia="黑体" w:cs="黑体"/>
          <w:b/>
          <w:bCs/>
          <w:sz w:val="44"/>
          <w:szCs w:val="44"/>
          <w:u w:val="none"/>
          <w:lang w:eastAsia="zh-CN"/>
        </w:rPr>
        <w:t>新津河堤景结合工程（高端人才引致区片段）</w:t>
      </w:r>
    </w:p>
    <w:p>
      <w:pPr>
        <w:jc w:val="center"/>
        <w:rPr>
          <w:rFonts w:hint="eastAsia" w:ascii="黑体" w:hAnsi="黑体" w:eastAsia="黑体" w:cs="黑体"/>
          <w:b/>
          <w:bCs/>
          <w:sz w:val="44"/>
          <w:szCs w:val="44"/>
          <w:u w:val="none"/>
          <w:lang w:eastAsia="zh-CN"/>
        </w:rPr>
      </w:pPr>
      <w:r>
        <w:rPr>
          <w:rFonts w:hint="eastAsia" w:ascii="黑体" w:hAnsi="黑体" w:eastAsia="黑体" w:cs="黑体"/>
          <w:b/>
          <w:bCs/>
          <w:sz w:val="44"/>
          <w:szCs w:val="44"/>
          <w:u w:val="none"/>
          <w:lang w:eastAsia="zh-CN"/>
        </w:rPr>
        <w:t>概</w:t>
      </w:r>
      <w:r>
        <w:rPr>
          <w:rFonts w:hint="eastAsia" w:ascii="黑体" w:hAnsi="黑体" w:eastAsia="黑体" w:cs="黑体"/>
          <w:b/>
          <w:bCs/>
          <w:sz w:val="44"/>
          <w:szCs w:val="44"/>
          <w:u w:val="none"/>
        </w:rPr>
        <w:t>算</w:t>
      </w:r>
      <w:r>
        <w:rPr>
          <w:rFonts w:hint="eastAsia" w:ascii="黑体" w:hAnsi="黑体" w:eastAsia="黑体" w:cs="黑体"/>
          <w:b/>
          <w:bCs/>
          <w:sz w:val="44"/>
          <w:szCs w:val="44"/>
          <w:u w:val="none"/>
          <w:lang w:eastAsia="zh-CN"/>
        </w:rPr>
        <w:t>编制</w:t>
      </w:r>
    </w:p>
    <w:p>
      <w:pPr>
        <w:jc w:val="center"/>
        <w:rPr>
          <w:rFonts w:hint="eastAsia" w:ascii="宋体"/>
          <w:b/>
          <w:sz w:val="44"/>
          <w:szCs w:val="44"/>
          <w:u w:val="single"/>
        </w:rPr>
      </w:pPr>
    </w:p>
    <w:p>
      <w:pPr>
        <w:spacing w:line="360" w:lineRule="auto"/>
        <w:ind w:firstLine="800" w:firstLineChars="200"/>
        <w:rPr>
          <w:rFonts w:hint="eastAsia"/>
          <w:b/>
          <w:bCs/>
          <w:sz w:val="40"/>
          <w:u w:val="single"/>
        </w:rPr>
      </w:pPr>
    </w:p>
    <w:p>
      <w:pPr>
        <w:ind w:firstLine="396" w:firstLineChars="99"/>
        <w:rPr>
          <w:rFonts w:hint="eastAsia"/>
          <w:b/>
          <w:bCs/>
          <w:sz w:val="40"/>
          <w:u w:val="single"/>
        </w:rPr>
      </w:pPr>
    </w:p>
    <w:p>
      <w:pPr>
        <w:tabs>
          <w:tab w:val="left" w:pos="2040"/>
        </w:tabs>
        <w:jc w:val="center"/>
        <w:rPr>
          <w:rFonts w:hint="eastAsia" w:ascii="宋体" w:hAnsi="宋体"/>
          <w:b/>
          <w:bCs/>
          <w:sz w:val="96"/>
        </w:rPr>
      </w:pPr>
      <w:r>
        <w:rPr>
          <w:rFonts w:hint="eastAsia" w:ascii="宋体" w:hAnsi="宋体"/>
          <w:b/>
          <w:bCs/>
          <w:sz w:val="96"/>
        </w:rPr>
        <w:t>报 告 书</w:t>
      </w:r>
    </w:p>
    <w:p/>
    <w:p/>
    <w:p/>
    <w:p/>
    <w:p/>
    <w:p/>
    <w:p/>
    <w:p/>
    <w:p>
      <w:pPr>
        <w:spacing w:line="360" w:lineRule="auto"/>
        <w:jc w:val="center"/>
        <w:rPr>
          <w:rFonts w:hint="eastAsia" w:ascii="宋体" w:hAnsi="宋体" w:eastAsia="宋体"/>
          <w:b/>
          <w:sz w:val="44"/>
          <w:szCs w:val="44"/>
          <w:lang w:eastAsia="zh-CN"/>
        </w:rPr>
        <w:sectPr>
          <w:headerReference r:id="rId5" w:type="first"/>
          <w:headerReference r:id="rId3" w:type="default"/>
          <w:footerReference r:id="rId6" w:type="default"/>
          <w:headerReference r:id="rId4" w:type="even"/>
          <w:pgSz w:w="11900" w:h="16840"/>
          <w:pgMar w:top="1440" w:right="1417" w:bottom="1440" w:left="1417" w:header="794" w:footer="227" w:gutter="0"/>
          <w:cols w:space="0" w:num="1"/>
          <w:rtlGutter w:val="0"/>
          <w:docGrid w:type="lines" w:linePitch="423" w:charSpace="0"/>
        </w:sectPr>
      </w:pPr>
    </w:p>
    <w:p>
      <w:pPr>
        <w:spacing w:line="360" w:lineRule="auto"/>
        <w:jc w:val="center"/>
        <w:rPr>
          <w:rFonts w:hint="eastAsia" w:ascii="宋体" w:hAnsi="宋体"/>
          <w:b/>
          <w:sz w:val="44"/>
          <w:szCs w:val="44"/>
        </w:rPr>
      </w:pPr>
      <w:r>
        <w:rPr>
          <w:rFonts w:hint="eastAsia" w:ascii="宋体" w:hAnsi="宋体" w:eastAsia="宋体"/>
          <w:b/>
          <w:sz w:val="44"/>
          <w:szCs w:val="44"/>
          <w:lang w:eastAsia="zh-CN"/>
        </w:rPr>
        <w:t>编制</w:t>
      </w:r>
      <w:r>
        <w:rPr>
          <w:rFonts w:hint="eastAsia" w:ascii="宋体" w:hAnsi="宋体"/>
          <w:b/>
          <w:sz w:val="44"/>
          <w:szCs w:val="44"/>
        </w:rPr>
        <w:t>说明</w:t>
      </w:r>
    </w:p>
    <w:p>
      <w:pPr>
        <w:jc w:val="right"/>
        <w:rPr>
          <w:rFonts w:hint="eastAsia" w:ascii="宋体" w:hAnsi="宋体"/>
          <w:sz w:val="28"/>
          <w:szCs w:val="28"/>
        </w:rPr>
      </w:pPr>
      <w:r>
        <w:rPr>
          <w:rFonts w:hint="eastAsia" w:ascii="宋体" w:hAnsi="宋体"/>
          <w:sz w:val="28"/>
          <w:szCs w:val="28"/>
        </w:rPr>
        <w:t>晖达建</w:t>
      </w:r>
      <w:r>
        <w:rPr>
          <w:rFonts w:hint="eastAsia" w:ascii="宋体" w:hAnsi="宋体" w:eastAsia="宋体"/>
          <w:sz w:val="28"/>
          <w:szCs w:val="28"/>
          <w:lang w:eastAsia="zh-CN"/>
        </w:rPr>
        <w:t>编</w:t>
      </w:r>
      <w:r>
        <w:rPr>
          <w:rFonts w:hint="eastAsia" w:ascii="宋体" w:hAnsi="宋体"/>
          <w:sz w:val="28"/>
          <w:szCs w:val="28"/>
        </w:rPr>
        <w:t>2018【</w:t>
      </w:r>
      <w:r>
        <w:rPr>
          <w:rFonts w:hint="eastAsia" w:ascii="宋体" w:hAnsi="宋体" w:eastAsia="宋体"/>
          <w:sz w:val="28"/>
          <w:szCs w:val="28"/>
          <w:lang w:val="en-US" w:eastAsia="zh-CN"/>
        </w:rPr>
        <w:t>251</w:t>
      </w:r>
      <w:r>
        <w:rPr>
          <w:rFonts w:hint="eastAsia" w:ascii="宋体" w:hAnsi="宋体"/>
          <w:sz w:val="28"/>
          <w:szCs w:val="28"/>
        </w:rPr>
        <w:t>】</w:t>
      </w:r>
    </w:p>
    <w:p>
      <w:pPr>
        <w:jc w:val="right"/>
        <w:rPr>
          <w:rFonts w:hint="eastAsia" w:ascii="宋体" w:hAnsi="宋体"/>
          <w:sz w:val="28"/>
          <w:szCs w:val="28"/>
        </w:rPr>
      </w:pPr>
    </w:p>
    <w:p>
      <w:pPr>
        <w:spacing w:line="360" w:lineRule="auto"/>
        <w:jc w:val="both"/>
        <w:rPr>
          <w:rFonts w:hint="eastAsia" w:ascii="宋体" w:hAnsi="宋体" w:eastAsia="宋体" w:cs="宋体"/>
          <w:sz w:val="28"/>
          <w:szCs w:val="28"/>
          <w:lang w:eastAsia="zh-CN"/>
        </w:rPr>
      </w:pPr>
      <w:r>
        <w:rPr>
          <w:rFonts w:hint="eastAsia" w:ascii="宋体" w:hAnsi="宋体" w:eastAsia="宋体" w:cs="宋体"/>
          <w:sz w:val="28"/>
          <w:szCs w:val="28"/>
          <w:lang w:eastAsia="zh-CN"/>
        </w:rPr>
        <w:t>汕头市龙湖区住房和城乡建设局：</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受贵单位委托，我司对“新津河堤景结合工程（高端人才引致区片段）”进行概算进编制。现将编制情况说明如下：</w:t>
      </w:r>
    </w:p>
    <w:p>
      <w:pPr>
        <w:spacing w:line="360" w:lineRule="auto"/>
        <w:ind w:firstLine="360" w:firstLineChars="200"/>
        <w:rPr>
          <w:rFonts w:hint="eastAsia" w:ascii="宋体" w:hAnsi="宋体" w:eastAsia="宋体" w:cs="宋体"/>
          <w:sz w:val="18"/>
          <w:szCs w:val="18"/>
          <w:u w:val="none"/>
        </w:rPr>
      </w:pPr>
    </w:p>
    <w:p>
      <w:pPr>
        <w:numPr>
          <w:ilvl w:val="0"/>
          <w:numId w:val="1"/>
        </w:numPr>
        <w:spacing w:line="360" w:lineRule="auto"/>
        <w:ind w:firstLine="562" w:firstLineChars="200"/>
        <w:rPr>
          <w:rFonts w:hint="eastAsia" w:ascii="宋体" w:hAnsi="宋体" w:eastAsia="宋体" w:cs="宋体"/>
          <w:b/>
          <w:bCs/>
          <w:sz w:val="28"/>
          <w:szCs w:val="28"/>
          <w:u w:val="none"/>
          <w:lang w:eastAsia="zh-CN"/>
        </w:rPr>
      </w:pPr>
      <w:r>
        <w:rPr>
          <w:rFonts w:hint="eastAsia" w:ascii="宋体" w:hAnsi="宋体" w:eastAsia="宋体" w:cs="宋体"/>
          <w:b/>
          <w:bCs/>
          <w:sz w:val="28"/>
          <w:szCs w:val="28"/>
          <w:u w:val="none"/>
          <w:lang w:eastAsia="zh-CN"/>
        </w:rPr>
        <w:t>编制结果：</w:t>
      </w:r>
    </w:p>
    <w:p>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经编制，本项目建设总投资：¥</w:t>
      </w:r>
      <w:r>
        <w:rPr>
          <w:rFonts w:hint="eastAsia" w:ascii="宋体" w:hAnsi="宋体" w:eastAsia="宋体" w:cs="宋体"/>
          <w:color w:val="auto"/>
          <w:sz w:val="28"/>
          <w:szCs w:val="28"/>
          <w:lang w:val="en-US" w:eastAsia="zh-CN"/>
        </w:rPr>
        <w:t>28741215.20</w:t>
      </w:r>
      <w:r>
        <w:rPr>
          <w:rFonts w:hint="eastAsia" w:ascii="宋体" w:hAnsi="宋体" w:eastAsia="宋体" w:cs="宋体"/>
          <w:color w:val="auto"/>
          <w:sz w:val="28"/>
          <w:szCs w:val="28"/>
          <w:lang w:eastAsia="zh-CN"/>
        </w:rPr>
        <w:t>元(其中：建设工程费：¥</w:t>
      </w:r>
      <w:r>
        <w:rPr>
          <w:rFonts w:hint="eastAsia" w:ascii="宋体" w:hAnsi="宋体" w:eastAsia="宋体" w:cs="宋体"/>
          <w:color w:val="auto"/>
          <w:sz w:val="28"/>
          <w:szCs w:val="28"/>
          <w:lang w:val="en-US" w:eastAsia="zh-CN"/>
        </w:rPr>
        <w:t>23452468.06</w:t>
      </w:r>
      <w:r>
        <w:rPr>
          <w:rFonts w:hint="eastAsia" w:ascii="宋体" w:hAnsi="宋体" w:eastAsia="宋体" w:cs="宋体"/>
          <w:color w:val="auto"/>
          <w:sz w:val="28"/>
          <w:szCs w:val="28"/>
          <w:lang w:eastAsia="zh-CN"/>
        </w:rPr>
        <w:t>元，建设工程其他费：¥</w:t>
      </w:r>
      <w:r>
        <w:rPr>
          <w:rFonts w:hint="eastAsia" w:ascii="宋体" w:hAnsi="宋体" w:eastAsia="宋体" w:cs="宋体"/>
          <w:color w:val="auto"/>
          <w:sz w:val="28"/>
          <w:szCs w:val="28"/>
          <w:lang w:val="en-US" w:eastAsia="zh-CN"/>
        </w:rPr>
        <w:t>2579388.01</w:t>
      </w:r>
      <w:r>
        <w:rPr>
          <w:rFonts w:hint="eastAsia" w:ascii="宋体" w:hAnsi="宋体" w:eastAsia="宋体" w:cs="宋体"/>
          <w:color w:val="auto"/>
          <w:sz w:val="28"/>
          <w:szCs w:val="28"/>
          <w:lang w:eastAsia="zh-CN"/>
        </w:rPr>
        <w:t>元；预备费：¥</w:t>
      </w:r>
      <w:r>
        <w:rPr>
          <w:rFonts w:hint="eastAsia" w:ascii="宋体" w:hAnsi="宋体" w:eastAsia="宋体" w:cs="宋体"/>
          <w:color w:val="auto"/>
          <w:sz w:val="28"/>
          <w:szCs w:val="28"/>
          <w:lang w:val="en-US" w:eastAsia="zh-CN"/>
        </w:rPr>
        <w:t>2082548.49元；建设期贷款利息：626810.65。</w:t>
      </w:r>
      <w:r>
        <w:rPr>
          <w:rFonts w:hint="eastAsia" w:ascii="宋体" w:hAnsi="宋体" w:eastAsia="宋体" w:cs="宋体"/>
          <w:color w:val="auto"/>
          <w:sz w:val="28"/>
          <w:szCs w:val="28"/>
          <w:lang w:eastAsia="zh-CN"/>
        </w:rPr>
        <w:t>)（详见《工程概算编制汇总表》和《总概算表》）</w:t>
      </w:r>
    </w:p>
    <w:p>
      <w:pPr>
        <w:spacing w:line="360" w:lineRule="auto"/>
        <w:ind w:firstLine="360" w:firstLineChars="200"/>
        <w:rPr>
          <w:rFonts w:hint="eastAsia" w:ascii="宋体" w:hAnsi="宋体" w:eastAsia="宋体" w:cs="宋体"/>
          <w:sz w:val="18"/>
          <w:szCs w:val="18"/>
        </w:rPr>
      </w:pPr>
    </w:p>
    <w:p>
      <w:pPr>
        <w:numPr>
          <w:ilvl w:val="0"/>
          <w:numId w:val="1"/>
        </w:numPr>
        <w:spacing w:line="360" w:lineRule="auto"/>
        <w:ind w:firstLine="562" w:firstLineChars="200"/>
        <w:rPr>
          <w:rFonts w:hint="eastAsia" w:ascii="宋体" w:hAnsi="宋体" w:eastAsia="宋体" w:cs="宋体"/>
          <w:b/>
          <w:bCs/>
          <w:sz w:val="28"/>
          <w:szCs w:val="28"/>
          <w:u w:val="none"/>
          <w:lang w:eastAsia="zh-CN"/>
        </w:rPr>
      </w:pPr>
      <w:r>
        <w:rPr>
          <w:rFonts w:hint="eastAsia" w:ascii="宋体" w:hAnsi="宋体" w:eastAsia="宋体" w:cs="宋体"/>
          <w:b/>
          <w:bCs/>
          <w:sz w:val="28"/>
          <w:szCs w:val="28"/>
          <w:u w:val="none"/>
          <w:lang w:eastAsia="zh-CN"/>
        </w:rPr>
        <w:t>工程概况</w:t>
      </w:r>
      <w:bookmarkStart w:id="0" w:name="_GoBack"/>
      <w:bookmarkEnd w:id="0"/>
    </w:p>
    <w:p>
      <w:pPr>
        <w:numPr>
          <w:ilvl w:val="0"/>
          <w:numId w:val="0"/>
        </w:num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建设单位</w:t>
      </w:r>
      <w:r>
        <w:rPr>
          <w:rFonts w:hint="eastAsia" w:ascii="宋体" w:hAnsi="宋体" w:eastAsia="宋体" w:cs="宋体"/>
          <w:sz w:val="28"/>
          <w:szCs w:val="28"/>
          <w:lang w:eastAsia="zh-CN"/>
        </w:rPr>
        <w:t>：汕头市龙湖区住房和城乡建设局</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2.工程名称：</w:t>
      </w:r>
      <w:r>
        <w:rPr>
          <w:rFonts w:hint="eastAsia" w:ascii="宋体" w:hAnsi="宋体" w:eastAsia="宋体" w:cs="宋体"/>
          <w:sz w:val="28"/>
          <w:szCs w:val="28"/>
          <w:lang w:eastAsia="zh-CN"/>
        </w:rPr>
        <w:t>新津河堤景结合工程（高端人才引致区片段）</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3.设计单位：</w:t>
      </w:r>
      <w:r>
        <w:rPr>
          <w:rFonts w:hint="eastAsia" w:ascii="宋体" w:hAnsi="宋体" w:eastAsia="宋体" w:cs="宋体"/>
          <w:sz w:val="28"/>
          <w:szCs w:val="28"/>
          <w:lang w:eastAsia="zh-CN"/>
        </w:rPr>
        <w:t>广东鸿宇建筑与工程设计顾问有限公司</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4.工程地点：</w:t>
      </w:r>
      <w:r>
        <w:rPr>
          <w:rFonts w:hint="eastAsia" w:ascii="宋体" w:hAnsi="宋体" w:eastAsia="宋体" w:cs="宋体"/>
          <w:sz w:val="28"/>
          <w:szCs w:val="28"/>
          <w:lang w:eastAsia="zh-CN"/>
        </w:rPr>
        <w:t>汕头市</w:t>
      </w:r>
    </w:p>
    <w:p>
      <w:pPr>
        <w:spacing w:line="360" w:lineRule="auto"/>
        <w:ind w:firstLine="560" w:firstLineChars="200"/>
        <w:rPr>
          <w:rFonts w:hint="eastAsia" w:ascii="宋体" w:hAnsi="宋体" w:eastAsia="宋体" w:cs="宋体"/>
          <w:color w:val="FF0000"/>
          <w:sz w:val="28"/>
          <w:szCs w:val="28"/>
          <w:lang w:val="en-US" w:eastAsia="zh-CN"/>
        </w:rPr>
      </w:pPr>
      <w:r>
        <w:rPr>
          <w:rFonts w:hint="eastAsia" w:ascii="宋体" w:hAnsi="宋体" w:eastAsia="宋体" w:cs="宋体"/>
          <w:color w:val="auto"/>
          <w:sz w:val="28"/>
          <w:szCs w:val="28"/>
        </w:rPr>
        <w:t xml:space="preserve">5.工程主要内容: </w:t>
      </w:r>
      <w:r>
        <w:rPr>
          <w:rFonts w:hint="eastAsia" w:ascii="宋体" w:hAnsi="宋体" w:eastAsia="宋体" w:cs="宋体"/>
          <w:color w:val="auto"/>
          <w:sz w:val="28"/>
          <w:szCs w:val="28"/>
          <w:lang w:eastAsia="zh-CN"/>
        </w:rPr>
        <w:t>一区和二区栏杆和柱子的基础及面层铺设、园路基础及面层铺设、主景广场一和主景广场二的基础、面层及台阶铺设、雕塑和花池的制作安装、休闲平台</w:t>
      </w:r>
      <w:r>
        <w:rPr>
          <w:rFonts w:hint="eastAsia" w:ascii="宋体" w:hAnsi="宋体" w:eastAsia="宋体" w:cs="宋体"/>
          <w:color w:val="auto"/>
          <w:sz w:val="28"/>
          <w:szCs w:val="28"/>
          <w:lang w:val="en-US" w:eastAsia="zh-CN"/>
        </w:rPr>
        <w:t>1和休闲平台2坐凳的制作安装及树池的砌筑、垃圾箱、标志牌等；一区电排站景观改造；二区新建卫生间；一区和二区绿化种植；一区和二区的给排水及电气工程。</w:t>
      </w:r>
    </w:p>
    <w:p>
      <w:pPr>
        <w:spacing w:line="360" w:lineRule="auto"/>
        <w:ind w:firstLine="560" w:firstLineChars="200"/>
        <w:rPr>
          <w:rFonts w:hint="eastAsia" w:ascii="宋体" w:hAnsi="宋体" w:eastAsia="宋体" w:cs="宋体"/>
          <w:color w:val="FF0000"/>
          <w:sz w:val="28"/>
          <w:szCs w:val="28"/>
          <w:lang w:val="en-US" w:eastAsia="zh-CN"/>
        </w:rPr>
      </w:pPr>
    </w:p>
    <w:p>
      <w:pPr>
        <w:numPr>
          <w:ilvl w:val="0"/>
          <w:numId w:val="1"/>
        </w:numPr>
        <w:spacing w:line="360" w:lineRule="auto"/>
        <w:ind w:firstLine="562" w:firstLineChars="200"/>
        <w:rPr>
          <w:rFonts w:hint="eastAsia" w:ascii="宋体" w:hAnsi="宋体" w:eastAsia="宋体" w:cs="宋体"/>
          <w:b/>
          <w:bCs/>
          <w:sz w:val="28"/>
          <w:szCs w:val="28"/>
          <w:u w:val="none"/>
          <w:lang w:eastAsia="zh-CN"/>
        </w:rPr>
      </w:pPr>
      <w:r>
        <w:rPr>
          <w:rFonts w:hint="eastAsia" w:ascii="宋体" w:hAnsi="宋体" w:eastAsia="宋体" w:cs="宋体"/>
          <w:b/>
          <w:bCs/>
          <w:sz w:val="28"/>
          <w:szCs w:val="28"/>
          <w:u w:val="none"/>
          <w:lang w:eastAsia="zh-CN"/>
        </w:rPr>
        <w:t>编制依据</w:t>
      </w:r>
    </w:p>
    <w:p>
      <w:pPr>
        <w:spacing w:line="360" w:lineRule="auto"/>
        <w:ind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1、工程有关文件资料：</w:t>
      </w:r>
    </w:p>
    <w:p>
      <w:pPr>
        <w:spacing w:line="360" w:lineRule="auto"/>
        <w:ind w:firstLine="280" w:firstLineChars="100"/>
        <w:rPr>
          <w:rFonts w:hint="eastAsia" w:ascii="宋体" w:hAnsi="宋体" w:eastAsia="宋体" w:cs="宋体"/>
          <w:sz w:val="28"/>
          <w:szCs w:val="28"/>
          <w:lang w:eastAsia="zh-CN"/>
        </w:rPr>
      </w:pPr>
      <w:r>
        <w:rPr>
          <w:rFonts w:hint="eastAsia" w:ascii="宋体" w:hAnsi="宋体" w:eastAsia="宋体" w:cs="宋体"/>
          <w:sz w:val="28"/>
          <w:szCs w:val="28"/>
          <w:lang w:val="en-US" w:eastAsia="zh-CN"/>
        </w:rPr>
        <w:t>1.1、</w:t>
      </w:r>
      <w:r>
        <w:rPr>
          <w:rFonts w:hint="eastAsia" w:ascii="宋体" w:hAnsi="宋体" w:eastAsia="宋体" w:cs="宋体"/>
          <w:sz w:val="28"/>
          <w:szCs w:val="28"/>
          <w:lang w:eastAsia="zh-CN"/>
        </w:rPr>
        <w:t>广东鸿宇建筑与工程设计顾问有限公司的设计图纸。</w:t>
      </w:r>
    </w:p>
    <w:p>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2．计价依据：采用清单计价，编制依据为：</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2.1、《广东省建设工程计价通则》（2010年）</w:t>
      </w:r>
    </w:p>
    <w:p>
      <w:pPr>
        <w:spacing w:line="360" w:lineRule="auto"/>
        <w:ind w:left="70" w:leftChars="29" w:firstLine="280" w:firstLineChars="100"/>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2.2、《广东建设工程概算编制办法》（2014年）</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3</w:t>
      </w:r>
      <w:r>
        <w:rPr>
          <w:rFonts w:hint="eastAsia" w:ascii="宋体" w:hAnsi="宋体" w:eastAsia="宋体" w:cs="宋体"/>
          <w:sz w:val="28"/>
          <w:szCs w:val="28"/>
          <w:u w:val="none"/>
        </w:rPr>
        <w:t>、《建设工程工程量清单计价规范》（GB50500-2013）</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lang w:val="en-US" w:eastAsia="zh-CN"/>
        </w:rPr>
        <w:t>2.4、</w:t>
      </w:r>
      <w:r>
        <w:rPr>
          <w:rFonts w:hint="eastAsia" w:ascii="宋体" w:hAnsi="宋体" w:eastAsia="宋体" w:cs="宋体"/>
          <w:sz w:val="28"/>
          <w:szCs w:val="28"/>
          <w:u w:val="none"/>
        </w:rPr>
        <w:t>《房屋建筑与装饰工程工程量计算规范》(GB50854-2013)</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lang w:val="en-US" w:eastAsia="zh-CN"/>
        </w:rPr>
        <w:t>2.5、</w:t>
      </w:r>
      <w:r>
        <w:rPr>
          <w:rFonts w:hint="eastAsia" w:ascii="宋体" w:hAnsi="宋体" w:eastAsia="宋体" w:cs="宋体"/>
          <w:sz w:val="28"/>
          <w:szCs w:val="28"/>
          <w:u w:val="none"/>
        </w:rPr>
        <w:t>《市政工程工程量计算规范》（GB50857-2013）</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lang w:val="en-US" w:eastAsia="zh-CN"/>
        </w:rPr>
        <w:t>2.6、</w:t>
      </w:r>
      <w:r>
        <w:rPr>
          <w:rFonts w:hint="eastAsia" w:ascii="宋体" w:hAnsi="宋体" w:eastAsia="宋体" w:cs="宋体"/>
          <w:sz w:val="28"/>
          <w:szCs w:val="28"/>
          <w:u w:val="none"/>
        </w:rPr>
        <w:t>《通用安装工程工程量计算规范》（GB50856-2013）</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7</w:t>
      </w:r>
      <w:r>
        <w:rPr>
          <w:rFonts w:hint="eastAsia" w:ascii="宋体" w:hAnsi="宋体" w:eastAsia="宋体" w:cs="宋体"/>
          <w:sz w:val="28"/>
          <w:szCs w:val="28"/>
          <w:u w:val="none"/>
        </w:rPr>
        <w:t>、《广东省市政工程综合定额》（2010年）</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8</w:t>
      </w:r>
      <w:r>
        <w:rPr>
          <w:rFonts w:hint="eastAsia" w:ascii="宋体" w:hAnsi="宋体" w:eastAsia="宋体" w:cs="宋体"/>
          <w:sz w:val="28"/>
          <w:szCs w:val="28"/>
          <w:u w:val="none"/>
        </w:rPr>
        <w:t>、《广东省安装工程综合定额》（2010年）</w:t>
      </w:r>
    </w:p>
    <w:p>
      <w:pPr>
        <w:spacing w:line="360" w:lineRule="auto"/>
        <w:ind w:left="70" w:leftChars="29" w:firstLine="280" w:firstLineChars="100"/>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2.9、《广东省房屋建筑工程概算定额》（2014年）</w:t>
      </w:r>
    </w:p>
    <w:p>
      <w:pPr>
        <w:spacing w:line="360" w:lineRule="auto"/>
        <w:ind w:left="70" w:leftChars="29" w:firstLine="280" w:firstLineChars="100"/>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2.10、</w:t>
      </w:r>
      <w:r>
        <w:rPr>
          <w:rFonts w:hint="eastAsia" w:ascii="宋体" w:hAnsi="宋体" w:eastAsia="宋体" w:cs="宋体"/>
          <w:sz w:val="28"/>
          <w:szCs w:val="28"/>
          <w:u w:val="none"/>
        </w:rPr>
        <w:t>《广东省园林绿化工程综合定额》（2010年）</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11</w:t>
      </w:r>
      <w:r>
        <w:rPr>
          <w:rFonts w:hint="eastAsia" w:ascii="宋体" w:hAnsi="宋体" w:eastAsia="宋体" w:cs="宋体"/>
          <w:sz w:val="28"/>
          <w:szCs w:val="28"/>
          <w:u w:val="none"/>
        </w:rPr>
        <w:t>、营改增按粤建市函[2016]1113号及汕府建[2016]1号计算。</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12</w:t>
      </w:r>
      <w:r>
        <w:rPr>
          <w:rFonts w:hint="eastAsia" w:ascii="宋体" w:hAnsi="宋体" w:eastAsia="宋体" w:cs="宋体"/>
          <w:sz w:val="28"/>
          <w:szCs w:val="28"/>
          <w:u w:val="none"/>
        </w:rPr>
        <w:t>、《广东省住房和城乡建设厅关于调整广东省建设工程计价依据增值税税率的通知》粤建市函〔2018〕898号</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2.</w:t>
      </w:r>
      <w:r>
        <w:rPr>
          <w:rFonts w:hint="eastAsia" w:ascii="宋体" w:hAnsi="宋体" w:eastAsia="宋体" w:cs="宋体"/>
          <w:sz w:val="28"/>
          <w:szCs w:val="28"/>
          <w:u w:val="none"/>
          <w:lang w:val="en-US" w:eastAsia="zh-CN"/>
        </w:rPr>
        <w:t>13</w:t>
      </w:r>
      <w:r>
        <w:rPr>
          <w:rFonts w:hint="eastAsia" w:ascii="宋体" w:hAnsi="宋体" w:eastAsia="宋体" w:cs="宋体"/>
          <w:sz w:val="28"/>
          <w:szCs w:val="28"/>
          <w:u w:val="none"/>
        </w:rPr>
        <w:t>、《关于建设工程施工扬尘污染防治措施和用工实名管理费用计价有关事项的通知》粤建标函〔2018〕106号</w:t>
      </w:r>
    </w:p>
    <w:p>
      <w:pPr>
        <w:spacing w:line="360" w:lineRule="auto"/>
        <w:ind w:firstLine="280" w:firstLineChars="100"/>
        <w:rPr>
          <w:rFonts w:hint="eastAsia" w:ascii="宋体" w:hAnsi="宋体" w:eastAsia="宋体" w:cs="宋体"/>
          <w:sz w:val="28"/>
          <w:szCs w:val="28"/>
          <w:u w:val="none"/>
          <w:lang w:eastAsia="zh-CN"/>
        </w:rPr>
      </w:pPr>
      <w:r>
        <w:rPr>
          <w:rFonts w:hint="eastAsia" w:ascii="宋体" w:hAnsi="宋体" w:eastAsia="宋体" w:cs="宋体"/>
          <w:sz w:val="28"/>
          <w:szCs w:val="28"/>
          <w:u w:val="none"/>
        </w:rPr>
        <w:t>3、费用依据</w:t>
      </w:r>
      <w:r>
        <w:rPr>
          <w:rFonts w:hint="eastAsia" w:ascii="宋体" w:hAnsi="宋体" w:eastAsia="宋体" w:cs="宋体"/>
          <w:sz w:val="28"/>
          <w:szCs w:val="28"/>
          <w:u w:val="none"/>
          <w:lang w:eastAsia="zh-CN"/>
        </w:rPr>
        <w:t>：</w:t>
      </w:r>
    </w:p>
    <w:p>
      <w:pPr>
        <w:spacing w:line="360" w:lineRule="auto"/>
        <w:ind w:firstLine="560" w:firstLineChars="200"/>
        <w:rPr>
          <w:rFonts w:hint="eastAsia" w:ascii="宋体" w:hAnsi="宋体" w:eastAsia="宋体" w:cs="宋体"/>
          <w:sz w:val="28"/>
          <w:szCs w:val="28"/>
          <w:u w:val="none"/>
        </w:rPr>
      </w:pPr>
      <w:r>
        <w:rPr>
          <w:rFonts w:hint="eastAsia" w:ascii="宋体" w:hAnsi="宋体" w:eastAsia="宋体" w:cs="宋体"/>
          <w:sz w:val="28"/>
          <w:szCs w:val="28"/>
          <w:u w:val="none"/>
        </w:rPr>
        <w:t>根据广东省住房和城乡建设厅（粤建市函[2016]1113号文）《广东省住房和城乡建设厅关于营业税改征增值税后调整广东省建设工程计价依据的通知》，2016年5月1日起广东省行政区域内执行《建设工程工程量清单计价规范》（GB50500-2013）和《广东省建设工程计价依据（2010）》各专业综合定额的建设项目，采用营改增后的计价依据：</w:t>
      </w:r>
    </w:p>
    <w:p>
      <w:pPr>
        <w:spacing w:line="360" w:lineRule="auto"/>
        <w:ind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3.1、除税管理费：执行营改增计价模式，现行定额中企业管理费按下式公式调整：“除税管理费率=定额管理费率×综合调整系数”，其中以人工费、机械费之和为计费基础的，综合调整系数为1.14；以人工费为计费基础的，综合调整系数为1.09；</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3.2、利润：按人工费的18％计算；</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 xml:space="preserve">3.3、措施其它项目费：根据定额《措施其他项目费用标准》，按以下取定： </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3.3.1、</w:t>
      </w:r>
      <w:r>
        <w:rPr>
          <w:rFonts w:hint="eastAsia" w:ascii="宋体" w:hAnsi="宋体" w:eastAsia="宋体" w:cs="宋体"/>
          <w:sz w:val="28"/>
          <w:szCs w:val="28"/>
          <w:u w:val="none"/>
          <w:lang w:eastAsia="zh-CN"/>
        </w:rPr>
        <w:t>园林</w:t>
      </w:r>
      <w:r>
        <w:rPr>
          <w:rFonts w:hint="eastAsia" w:ascii="宋体" w:hAnsi="宋体" w:eastAsia="宋体" w:cs="宋体"/>
          <w:sz w:val="28"/>
          <w:szCs w:val="28"/>
          <w:u w:val="none"/>
        </w:rPr>
        <w:t>工程：</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3.3.1.1、材料检验试验费：分部分项工程费×0.</w:t>
      </w:r>
      <w:r>
        <w:rPr>
          <w:rFonts w:hint="eastAsia" w:ascii="宋体" w:hAnsi="宋体" w:eastAsia="宋体" w:cs="宋体"/>
          <w:sz w:val="28"/>
          <w:szCs w:val="28"/>
          <w:u w:val="none"/>
          <w:lang w:val="en-US" w:eastAsia="zh-CN"/>
        </w:rPr>
        <w:t>1</w:t>
      </w:r>
      <w:r>
        <w:rPr>
          <w:rFonts w:hint="eastAsia" w:ascii="宋体" w:hAnsi="宋体" w:eastAsia="宋体" w:cs="宋体"/>
          <w:sz w:val="28"/>
          <w:szCs w:val="28"/>
          <w:u w:val="none"/>
        </w:rPr>
        <w:t>％；</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3.3.1.2、预算包干费：分部分项工程费×</w:t>
      </w:r>
      <w:r>
        <w:rPr>
          <w:rFonts w:hint="eastAsia" w:ascii="宋体" w:hAnsi="宋体" w:eastAsia="宋体" w:cs="宋体"/>
          <w:sz w:val="28"/>
          <w:szCs w:val="28"/>
          <w:u w:val="none"/>
          <w:lang w:val="en-US" w:eastAsia="zh-CN"/>
        </w:rPr>
        <w:t>2</w:t>
      </w:r>
      <w:r>
        <w:rPr>
          <w:rFonts w:hint="eastAsia" w:ascii="宋体" w:hAnsi="宋体" w:eastAsia="宋体" w:cs="宋体"/>
          <w:sz w:val="28"/>
          <w:szCs w:val="28"/>
          <w:u w:val="none"/>
        </w:rPr>
        <w:t>％；</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3.3.2、</w:t>
      </w:r>
      <w:r>
        <w:rPr>
          <w:rFonts w:hint="eastAsia" w:ascii="宋体" w:hAnsi="宋体" w:eastAsia="宋体" w:cs="宋体"/>
          <w:sz w:val="28"/>
          <w:szCs w:val="28"/>
          <w:u w:val="none"/>
          <w:lang w:eastAsia="zh-CN"/>
        </w:rPr>
        <w:t>安装</w:t>
      </w:r>
      <w:r>
        <w:rPr>
          <w:rFonts w:hint="eastAsia" w:ascii="宋体" w:hAnsi="宋体" w:eastAsia="宋体" w:cs="宋体"/>
          <w:sz w:val="28"/>
          <w:szCs w:val="28"/>
          <w:u w:val="none"/>
        </w:rPr>
        <w:t>工程：</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3.3.2.1、材料检验试验费：分部分项工程费×0.2％；</w:t>
      </w:r>
    </w:p>
    <w:p>
      <w:pPr>
        <w:spacing w:line="360" w:lineRule="auto"/>
        <w:ind w:left="70" w:leftChars="29" w:firstLine="280" w:firstLineChars="100"/>
        <w:rPr>
          <w:rFonts w:hint="eastAsia" w:ascii="宋体" w:hAnsi="宋体" w:eastAsia="宋体" w:cs="宋体"/>
          <w:sz w:val="28"/>
          <w:szCs w:val="28"/>
          <w:u w:val="none"/>
          <w:lang w:eastAsia="zh-CN"/>
        </w:rPr>
      </w:pPr>
      <w:r>
        <w:rPr>
          <w:rFonts w:hint="eastAsia" w:ascii="宋体" w:hAnsi="宋体" w:eastAsia="宋体" w:cs="宋体"/>
          <w:sz w:val="28"/>
          <w:szCs w:val="28"/>
          <w:u w:val="none"/>
        </w:rPr>
        <w:t>3.3.2.2、预算包干费：分部分项工程费×2％</w:t>
      </w:r>
      <w:r>
        <w:rPr>
          <w:rFonts w:hint="eastAsia" w:ascii="宋体" w:hAnsi="宋体" w:eastAsia="宋体" w:cs="宋体"/>
          <w:sz w:val="28"/>
          <w:szCs w:val="28"/>
          <w:u w:val="none"/>
          <w:lang w:eastAsia="zh-CN"/>
        </w:rPr>
        <w:t>；</w:t>
      </w:r>
    </w:p>
    <w:p>
      <w:pPr>
        <w:spacing w:line="360" w:lineRule="auto"/>
        <w:ind w:left="70" w:leftChars="29" w:firstLine="280" w:firstLineChars="100"/>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3.3.3、市政工程：</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lang w:val="en-US" w:eastAsia="zh-CN"/>
        </w:rPr>
        <w:t>3.3.3.1、</w:t>
      </w:r>
      <w:r>
        <w:rPr>
          <w:rFonts w:hint="eastAsia" w:ascii="宋体" w:hAnsi="宋体" w:eastAsia="宋体" w:cs="宋体"/>
          <w:sz w:val="28"/>
          <w:szCs w:val="28"/>
          <w:u w:val="none"/>
        </w:rPr>
        <w:t>材料检验试验费：分部分项工程费×0.</w:t>
      </w:r>
      <w:r>
        <w:rPr>
          <w:rFonts w:hint="eastAsia" w:ascii="宋体" w:hAnsi="宋体" w:eastAsia="宋体" w:cs="宋体"/>
          <w:sz w:val="28"/>
          <w:szCs w:val="28"/>
          <w:u w:val="none"/>
          <w:lang w:val="en-US" w:eastAsia="zh-CN"/>
        </w:rPr>
        <w:t>2</w:t>
      </w:r>
      <w:r>
        <w:rPr>
          <w:rFonts w:hint="eastAsia" w:ascii="宋体" w:hAnsi="宋体" w:eastAsia="宋体" w:cs="宋体"/>
          <w:sz w:val="28"/>
          <w:szCs w:val="28"/>
          <w:u w:val="none"/>
        </w:rPr>
        <w:t>％；</w:t>
      </w:r>
    </w:p>
    <w:p>
      <w:pPr>
        <w:spacing w:line="360" w:lineRule="auto"/>
        <w:ind w:left="70" w:leftChars="29" w:firstLine="280" w:firstLineChars="100"/>
        <w:rPr>
          <w:rFonts w:hint="eastAsia" w:ascii="宋体" w:hAnsi="宋体" w:eastAsia="宋体" w:cs="宋体"/>
          <w:sz w:val="28"/>
          <w:szCs w:val="28"/>
          <w:u w:val="none"/>
          <w:lang w:eastAsia="zh-CN"/>
        </w:rPr>
      </w:pPr>
      <w:r>
        <w:rPr>
          <w:rFonts w:hint="eastAsia" w:ascii="宋体" w:hAnsi="宋体" w:eastAsia="宋体" w:cs="宋体"/>
          <w:sz w:val="28"/>
          <w:szCs w:val="28"/>
          <w:u w:val="none"/>
        </w:rPr>
        <w:t>3.3.1.2、预算包干费：分部分项工程费×</w:t>
      </w:r>
      <w:r>
        <w:rPr>
          <w:rFonts w:hint="eastAsia" w:ascii="宋体" w:hAnsi="宋体" w:eastAsia="宋体" w:cs="宋体"/>
          <w:sz w:val="28"/>
          <w:szCs w:val="28"/>
          <w:u w:val="none"/>
          <w:lang w:val="en-US" w:eastAsia="zh-CN"/>
        </w:rPr>
        <w:t>2</w:t>
      </w:r>
      <w:r>
        <w:rPr>
          <w:rFonts w:hint="eastAsia" w:ascii="宋体" w:hAnsi="宋体" w:eastAsia="宋体" w:cs="宋体"/>
          <w:sz w:val="28"/>
          <w:szCs w:val="28"/>
          <w:u w:val="none"/>
        </w:rPr>
        <w:t>％</w:t>
      </w:r>
      <w:r>
        <w:rPr>
          <w:rFonts w:hint="eastAsia" w:ascii="宋体" w:hAnsi="宋体" w:eastAsia="宋体" w:cs="宋体"/>
          <w:sz w:val="28"/>
          <w:szCs w:val="28"/>
          <w:u w:val="none"/>
          <w:lang w:eastAsia="zh-CN"/>
        </w:rPr>
        <w:t>。</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4、规费及税金：根据定额文件以及汕头市建委相关规定，按以下取定</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 xml:space="preserve">4.1、工程排污及施工噪音排污费：（工程清单项目费+措施项目费+其他项目费）×0.25％； </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4.2、建筑意外伤害保险：（工程清单项目费+措施项目费+其他项目费）×0.08％；</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4.3、增值税销项税额：按（税前造价）×10%计算。</w:t>
      </w:r>
    </w:p>
    <w:p>
      <w:pPr>
        <w:spacing w:line="360" w:lineRule="auto"/>
        <w:ind w:left="70" w:leftChars="29" w:firstLine="280" w:firstLineChars="100"/>
        <w:rPr>
          <w:rFonts w:hint="eastAsia" w:ascii="宋体" w:hAnsi="宋体" w:eastAsia="宋体" w:cs="宋体"/>
          <w:sz w:val="28"/>
          <w:szCs w:val="28"/>
          <w:u w:val="none"/>
          <w:lang w:eastAsia="zh-CN"/>
        </w:rPr>
      </w:pPr>
      <w:r>
        <w:rPr>
          <w:rFonts w:hint="eastAsia" w:ascii="宋体" w:hAnsi="宋体" w:eastAsia="宋体" w:cs="宋体"/>
          <w:sz w:val="28"/>
          <w:szCs w:val="28"/>
          <w:u w:val="none"/>
        </w:rPr>
        <w:t>5、安全文明施工项目费</w:t>
      </w:r>
      <w:r>
        <w:rPr>
          <w:rFonts w:hint="eastAsia" w:ascii="宋体" w:hAnsi="宋体" w:eastAsia="宋体" w:cs="宋体"/>
          <w:sz w:val="28"/>
          <w:szCs w:val="28"/>
          <w:u w:val="none"/>
          <w:lang w:eastAsia="zh-CN"/>
        </w:rPr>
        <w:t>：</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lang w:eastAsia="zh-CN"/>
        </w:rPr>
        <w:t>根据定额及相关规定，包括：</w:t>
      </w:r>
      <w:r>
        <w:rPr>
          <w:rFonts w:hint="eastAsia" w:ascii="宋体" w:hAnsi="宋体" w:eastAsia="宋体" w:cs="宋体"/>
          <w:sz w:val="28"/>
          <w:szCs w:val="28"/>
          <w:u w:val="none"/>
        </w:rPr>
        <w:t>文明施工与环境保护、临时设施、安全施工；施工扬尘污染防治措施费；施工用工实名管理费：</w:t>
      </w:r>
    </w:p>
    <w:p>
      <w:pPr>
        <w:spacing w:line="360" w:lineRule="auto"/>
        <w:ind w:left="70" w:leftChars="29" w:firstLine="280" w:firstLineChars="100"/>
        <w:rPr>
          <w:rFonts w:hint="eastAsia" w:ascii="宋体" w:hAnsi="宋体" w:eastAsia="宋体" w:cs="宋体"/>
          <w:sz w:val="28"/>
          <w:szCs w:val="28"/>
          <w:u w:val="none"/>
          <w:lang w:eastAsia="zh-CN"/>
        </w:rPr>
      </w:pPr>
      <w:r>
        <w:rPr>
          <w:rFonts w:hint="eastAsia" w:ascii="宋体" w:hAnsi="宋体" w:eastAsia="宋体" w:cs="宋体"/>
          <w:sz w:val="28"/>
          <w:szCs w:val="28"/>
          <w:u w:val="none"/>
        </w:rPr>
        <w:t>5.1、文明施工与环境保护、临时设施、安全施工：执行营改增计价模式，以费率计算的安全文明施工措施费，结合内含的进项税额与计费基数的变化，按下式调整：“除税安全文明施工措施费率=定额安全文明施工措施费率×综合调整系数”</w:t>
      </w:r>
      <w:r>
        <w:rPr>
          <w:rFonts w:hint="eastAsia" w:ascii="宋体" w:hAnsi="宋体" w:eastAsia="宋体" w:cs="宋体"/>
          <w:sz w:val="28"/>
          <w:szCs w:val="28"/>
          <w:u w:val="none"/>
          <w:lang w:eastAsia="zh-CN"/>
        </w:rPr>
        <w:t>；其中：市政</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2.9</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22</w:t>
      </w:r>
      <w:r>
        <w:rPr>
          <w:rFonts w:hint="eastAsia" w:ascii="宋体" w:hAnsi="宋体" w:eastAsia="宋体" w:cs="宋体"/>
          <w:sz w:val="28"/>
          <w:szCs w:val="28"/>
          <w:u w:val="none"/>
        </w:rPr>
        <w:t>计算</w:t>
      </w:r>
      <w:r>
        <w:rPr>
          <w:rFonts w:hint="eastAsia" w:ascii="宋体" w:hAnsi="宋体" w:eastAsia="宋体" w:cs="宋体"/>
          <w:sz w:val="28"/>
          <w:szCs w:val="28"/>
          <w:u w:val="none"/>
          <w:lang w:eastAsia="zh-CN"/>
        </w:rPr>
        <w:t>，园林</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5.25</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09</w:t>
      </w:r>
      <w:r>
        <w:rPr>
          <w:rFonts w:hint="eastAsia" w:ascii="宋体" w:hAnsi="宋体" w:eastAsia="宋体" w:cs="宋体"/>
          <w:sz w:val="28"/>
          <w:szCs w:val="28"/>
          <w:u w:val="none"/>
        </w:rPr>
        <w:t>计算</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安装工程按分部分项人工费26.57%×1.09计算</w:t>
      </w:r>
      <w:r>
        <w:rPr>
          <w:rFonts w:hint="eastAsia" w:ascii="宋体" w:hAnsi="宋体" w:eastAsia="宋体" w:cs="宋体"/>
          <w:sz w:val="28"/>
          <w:szCs w:val="28"/>
          <w:u w:val="none"/>
          <w:lang w:eastAsia="zh-CN"/>
        </w:rPr>
        <w:t>。</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5.2、施工扬尘污染防治措施费：按现行各专业综合定额中以营改增后系数计算的安全文明施工措施费的17.5%增加计算</w:t>
      </w:r>
      <w:r>
        <w:rPr>
          <w:rFonts w:hint="eastAsia" w:ascii="宋体" w:hAnsi="宋体" w:eastAsia="宋体" w:cs="宋体"/>
          <w:sz w:val="28"/>
          <w:szCs w:val="28"/>
          <w:u w:val="none"/>
          <w:lang w:eastAsia="zh-CN"/>
        </w:rPr>
        <w:t>；其中：市政</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2.9</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22</w:t>
      </w:r>
      <w:r>
        <w:rPr>
          <w:rFonts w:hint="eastAsia" w:ascii="宋体" w:hAnsi="宋体" w:eastAsia="宋体" w:cs="宋体"/>
          <w:sz w:val="28"/>
          <w:szCs w:val="28"/>
          <w:u w:val="none"/>
        </w:rPr>
        <w:t>×17.5%计算</w:t>
      </w:r>
      <w:r>
        <w:rPr>
          <w:rFonts w:hint="eastAsia" w:ascii="宋体" w:hAnsi="宋体" w:eastAsia="宋体" w:cs="宋体"/>
          <w:sz w:val="28"/>
          <w:szCs w:val="28"/>
          <w:u w:val="none"/>
          <w:lang w:eastAsia="zh-CN"/>
        </w:rPr>
        <w:t>，园林</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5.25</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09</w:t>
      </w:r>
      <w:r>
        <w:rPr>
          <w:rFonts w:hint="eastAsia" w:ascii="宋体" w:hAnsi="宋体" w:eastAsia="宋体" w:cs="宋体"/>
          <w:sz w:val="28"/>
          <w:szCs w:val="28"/>
          <w:u w:val="none"/>
        </w:rPr>
        <w:t>×17.5%计算</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安装工程按分部分项人工费26.57%×1.09×17.5%计算。</w:t>
      </w:r>
    </w:p>
    <w:p>
      <w:pPr>
        <w:spacing w:line="360" w:lineRule="auto"/>
        <w:ind w:left="70" w:leftChars="29" w:firstLine="280" w:firstLineChars="100"/>
        <w:rPr>
          <w:rFonts w:hint="eastAsia" w:ascii="宋体" w:hAnsi="宋体" w:eastAsia="宋体" w:cs="宋体"/>
          <w:sz w:val="28"/>
          <w:szCs w:val="28"/>
          <w:u w:val="none"/>
        </w:rPr>
      </w:pPr>
      <w:r>
        <w:rPr>
          <w:rFonts w:hint="eastAsia" w:ascii="宋体" w:hAnsi="宋体" w:eastAsia="宋体" w:cs="宋体"/>
          <w:sz w:val="28"/>
          <w:szCs w:val="28"/>
          <w:u w:val="none"/>
        </w:rPr>
        <w:t>5.3、施工用工实名管理费：按现行各专业综合定额中以营改增后系数计算的安全文明施工措施费的6%增加计算</w:t>
      </w:r>
      <w:r>
        <w:rPr>
          <w:rFonts w:hint="eastAsia" w:ascii="宋体" w:hAnsi="宋体" w:eastAsia="宋体" w:cs="宋体"/>
          <w:sz w:val="28"/>
          <w:szCs w:val="28"/>
          <w:u w:val="none"/>
          <w:lang w:eastAsia="zh-CN"/>
        </w:rPr>
        <w:t>；其中：市政</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2.9</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22</w:t>
      </w:r>
      <w:r>
        <w:rPr>
          <w:rFonts w:hint="eastAsia" w:ascii="宋体" w:hAnsi="宋体" w:eastAsia="宋体" w:cs="宋体"/>
          <w:sz w:val="28"/>
          <w:szCs w:val="28"/>
          <w:u w:val="none"/>
        </w:rPr>
        <w:t>×</w:t>
      </w:r>
      <w:r>
        <w:rPr>
          <w:rFonts w:hint="eastAsia" w:ascii="宋体" w:hAnsi="宋体" w:eastAsia="宋体" w:cs="宋体"/>
          <w:sz w:val="28"/>
          <w:szCs w:val="28"/>
          <w:u w:val="none"/>
          <w:lang w:val="en-US" w:eastAsia="zh-CN"/>
        </w:rPr>
        <w:t>6</w:t>
      </w:r>
      <w:r>
        <w:rPr>
          <w:rFonts w:hint="eastAsia" w:ascii="宋体" w:hAnsi="宋体" w:eastAsia="宋体" w:cs="宋体"/>
          <w:sz w:val="28"/>
          <w:szCs w:val="28"/>
          <w:u w:val="none"/>
        </w:rPr>
        <w:t>%计算</w:t>
      </w:r>
      <w:r>
        <w:rPr>
          <w:rFonts w:hint="eastAsia" w:ascii="宋体" w:hAnsi="宋体" w:eastAsia="宋体" w:cs="宋体"/>
          <w:sz w:val="28"/>
          <w:szCs w:val="28"/>
          <w:u w:val="none"/>
          <w:lang w:eastAsia="zh-CN"/>
        </w:rPr>
        <w:t>，园林</w:t>
      </w:r>
      <w:r>
        <w:rPr>
          <w:rFonts w:hint="eastAsia" w:ascii="宋体" w:hAnsi="宋体" w:eastAsia="宋体" w:cs="宋体"/>
          <w:sz w:val="28"/>
          <w:szCs w:val="28"/>
          <w:u w:val="none"/>
        </w:rPr>
        <w:t>工程按分部分项人工费×</w:t>
      </w:r>
      <w:r>
        <w:rPr>
          <w:rFonts w:hint="eastAsia" w:ascii="宋体" w:hAnsi="宋体" w:eastAsia="宋体" w:cs="宋体"/>
          <w:sz w:val="28"/>
          <w:szCs w:val="28"/>
          <w:u w:val="none"/>
          <w:lang w:val="en-US" w:eastAsia="zh-CN"/>
        </w:rPr>
        <w:t>5.25</w:t>
      </w:r>
      <w:r>
        <w:rPr>
          <w:rFonts w:hint="eastAsia" w:ascii="宋体" w:hAnsi="宋体" w:eastAsia="宋体" w:cs="宋体"/>
          <w:sz w:val="28"/>
          <w:szCs w:val="28"/>
          <w:u w:val="none"/>
        </w:rPr>
        <w:t>%×1.</w:t>
      </w:r>
      <w:r>
        <w:rPr>
          <w:rFonts w:hint="eastAsia" w:ascii="宋体" w:hAnsi="宋体" w:eastAsia="宋体" w:cs="宋体"/>
          <w:sz w:val="28"/>
          <w:szCs w:val="28"/>
          <w:u w:val="none"/>
          <w:lang w:val="en-US" w:eastAsia="zh-CN"/>
        </w:rPr>
        <w:t>09</w:t>
      </w:r>
      <w:r>
        <w:rPr>
          <w:rFonts w:hint="eastAsia" w:ascii="宋体" w:hAnsi="宋体" w:eastAsia="宋体" w:cs="宋体"/>
          <w:sz w:val="28"/>
          <w:szCs w:val="28"/>
          <w:u w:val="none"/>
        </w:rPr>
        <w:t>×6%计算</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安装工程按分部分项人工费26.57%×1.09×6%计算。</w:t>
      </w:r>
    </w:p>
    <w:p>
      <w:pPr>
        <w:spacing w:line="360" w:lineRule="auto"/>
        <w:ind w:left="70" w:leftChars="29" w:firstLine="560" w:firstLineChars="200"/>
        <w:rPr>
          <w:rFonts w:hint="eastAsia" w:ascii="宋体" w:hAnsi="宋体" w:eastAsia="宋体" w:cs="宋体"/>
          <w:sz w:val="28"/>
          <w:szCs w:val="28"/>
          <w:u w:val="none"/>
        </w:rPr>
      </w:pPr>
      <w:r>
        <w:rPr>
          <w:rFonts w:hint="eastAsia" w:ascii="宋体" w:hAnsi="宋体" w:eastAsia="宋体" w:cs="宋体"/>
          <w:sz w:val="28"/>
          <w:szCs w:val="28"/>
          <w:u w:val="none"/>
          <w:lang w:val="en-US" w:eastAsia="zh-CN"/>
        </w:rPr>
        <w:t>5.4、</w:t>
      </w:r>
      <w:r>
        <w:rPr>
          <w:rFonts w:hint="eastAsia" w:ascii="宋体" w:hAnsi="宋体" w:eastAsia="宋体" w:cs="宋体"/>
          <w:sz w:val="28"/>
          <w:szCs w:val="28"/>
          <w:u w:val="none"/>
          <w:lang w:eastAsia="zh-CN"/>
        </w:rPr>
        <w:t>本工程安全文明施工项目费</w:t>
      </w:r>
      <w:r>
        <w:rPr>
          <w:rFonts w:hint="eastAsia" w:ascii="宋体" w:hAnsi="宋体" w:eastAsia="宋体" w:cs="宋体"/>
          <w:sz w:val="28"/>
          <w:szCs w:val="28"/>
          <w:u w:val="none"/>
        </w:rPr>
        <w:t>合计</w:t>
      </w:r>
      <w:r>
        <w:rPr>
          <w:rFonts w:hint="eastAsia" w:ascii="宋体" w:hAnsi="宋体" w:eastAsia="宋体" w:cs="宋体"/>
          <w:color w:val="000000"/>
          <w:sz w:val="28"/>
          <w:szCs w:val="28"/>
          <w:u w:val="none"/>
        </w:rPr>
        <w:t>：¥</w:t>
      </w:r>
      <w:r>
        <w:rPr>
          <w:rFonts w:hint="eastAsia" w:ascii="宋体" w:hAnsi="宋体" w:eastAsia="宋体" w:cs="宋体"/>
          <w:color w:val="auto"/>
          <w:sz w:val="28"/>
          <w:szCs w:val="28"/>
          <w:u w:val="none"/>
          <w:lang w:val="en-US" w:eastAsia="zh-CN"/>
        </w:rPr>
        <w:t>656790.20</w:t>
      </w:r>
      <w:r>
        <w:rPr>
          <w:rFonts w:hint="eastAsia" w:ascii="宋体" w:hAnsi="宋体" w:eastAsia="宋体" w:cs="宋体"/>
          <w:color w:val="auto"/>
          <w:sz w:val="28"/>
          <w:szCs w:val="28"/>
          <w:u w:val="none"/>
        </w:rPr>
        <w:t>元</w:t>
      </w:r>
      <w:r>
        <w:rPr>
          <w:rFonts w:hint="eastAsia" w:ascii="宋体" w:hAnsi="宋体" w:eastAsia="宋体" w:cs="宋体"/>
          <w:sz w:val="28"/>
          <w:szCs w:val="28"/>
          <w:u w:val="none"/>
        </w:rPr>
        <w:t>。根据规定</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此费用作单列计算，实行单列支付，专款专用。</w:t>
      </w:r>
    </w:p>
    <w:p>
      <w:pPr>
        <w:spacing w:line="360" w:lineRule="auto"/>
        <w:rPr>
          <w:rFonts w:hint="eastAsia" w:ascii="宋体" w:hAnsi="宋体" w:eastAsia="宋体" w:cs="宋体"/>
          <w:sz w:val="18"/>
          <w:szCs w:val="18"/>
          <w:u w:val="none"/>
        </w:rPr>
      </w:pPr>
    </w:p>
    <w:p>
      <w:pPr>
        <w:numPr>
          <w:ilvl w:val="0"/>
          <w:numId w:val="1"/>
        </w:numPr>
        <w:spacing w:line="360" w:lineRule="auto"/>
        <w:ind w:firstLine="562" w:firstLineChars="200"/>
        <w:rPr>
          <w:rFonts w:hint="eastAsia" w:ascii="宋体" w:hAnsi="宋体" w:eastAsia="宋体" w:cs="宋体"/>
          <w:b/>
          <w:bCs/>
          <w:sz w:val="28"/>
          <w:szCs w:val="28"/>
          <w:u w:val="none"/>
          <w:lang w:eastAsia="zh-CN"/>
        </w:rPr>
      </w:pPr>
      <w:r>
        <w:rPr>
          <w:rFonts w:hint="eastAsia" w:ascii="宋体" w:hAnsi="宋体" w:eastAsia="宋体" w:cs="宋体"/>
          <w:b/>
          <w:bCs/>
          <w:sz w:val="28"/>
          <w:szCs w:val="28"/>
          <w:u w:val="none"/>
          <w:lang w:eastAsia="zh-CN"/>
        </w:rPr>
        <w:t>价格依据</w:t>
      </w:r>
    </w:p>
    <w:p>
      <w:pPr>
        <w:spacing w:line="360" w:lineRule="auto"/>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市政、园林、安装等工程人工、材料、机械价差按“汕头建设网（www.stjs.gov.cn）”发布的“汕头市中心城区2018年第三季度部分地方建筑材料综合价格表”价格计算，信息价缺项部分材料采用市场询价方式计算。</w:t>
      </w:r>
    </w:p>
    <w:p>
      <w:pPr>
        <w:spacing w:line="360" w:lineRule="auto"/>
        <w:ind w:left="70" w:leftChars="29" w:firstLine="360" w:firstLineChars="200"/>
        <w:rPr>
          <w:rFonts w:hint="eastAsia" w:ascii="宋体" w:hAnsi="宋体" w:eastAsia="宋体" w:cs="宋体"/>
          <w:sz w:val="18"/>
          <w:szCs w:val="18"/>
          <w:u w:val="none"/>
          <w:lang w:val="en-US" w:eastAsia="zh-CN"/>
        </w:rPr>
      </w:pPr>
    </w:p>
    <w:p>
      <w:pPr>
        <w:numPr>
          <w:ilvl w:val="0"/>
          <w:numId w:val="1"/>
        </w:numPr>
        <w:spacing w:line="360" w:lineRule="auto"/>
        <w:ind w:firstLine="562" w:firstLineChars="200"/>
        <w:rPr>
          <w:rFonts w:hint="eastAsia" w:ascii="宋体" w:hAnsi="宋体" w:eastAsia="宋体" w:cs="宋体"/>
          <w:b/>
          <w:bCs/>
          <w:sz w:val="28"/>
          <w:szCs w:val="28"/>
          <w:u w:val="none"/>
          <w:lang w:eastAsia="zh-CN"/>
        </w:rPr>
      </w:pPr>
      <w:r>
        <w:rPr>
          <w:rFonts w:hint="eastAsia" w:ascii="宋体" w:hAnsi="宋体" w:eastAsia="宋体" w:cs="宋体"/>
          <w:b/>
          <w:bCs/>
          <w:sz w:val="28"/>
          <w:szCs w:val="28"/>
          <w:u w:val="none"/>
          <w:lang w:eastAsia="zh-CN"/>
        </w:rPr>
        <w:t>有关说明</w:t>
      </w:r>
    </w:p>
    <w:p>
      <w:pPr>
        <w:spacing w:line="360" w:lineRule="auto"/>
        <w:ind w:left="70" w:leftChars="29" w:firstLine="280" w:firstLineChars="1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1、零星项目：本概算已按概算定额相关规定，考虑了初步设计深度，对于零星项目费按分部分项工程费*3%计算。</w:t>
      </w:r>
    </w:p>
    <w:p>
      <w:pPr>
        <w:spacing w:line="360" w:lineRule="auto"/>
        <w:ind w:left="630" w:hanging="630" w:hangingChars="225"/>
        <w:jc w:val="center"/>
        <w:rPr>
          <w:rFonts w:hint="eastAsia" w:ascii="宋体" w:hAnsi="宋体" w:eastAsia="宋体" w:cs="宋体"/>
          <w:sz w:val="28"/>
          <w:szCs w:val="28"/>
          <w:u w:val="none"/>
        </w:rPr>
      </w:pPr>
      <w:r>
        <w:rPr>
          <w:rFonts w:hint="eastAsia" w:ascii="宋体" w:hAnsi="宋体" w:eastAsia="宋体" w:cs="宋体"/>
          <w:sz w:val="28"/>
          <w:szCs w:val="28"/>
          <w:u w:val="none"/>
        </w:rPr>
        <w:t>（以上说明内容详见</w:t>
      </w:r>
      <w:r>
        <w:rPr>
          <w:rFonts w:hint="eastAsia" w:ascii="宋体" w:hAnsi="宋体" w:eastAsia="宋体" w:cs="宋体"/>
          <w:sz w:val="28"/>
          <w:szCs w:val="28"/>
          <w:u w:val="none"/>
          <w:lang w:eastAsia="zh-CN"/>
        </w:rPr>
        <w:t>概算</w:t>
      </w:r>
      <w:r>
        <w:rPr>
          <w:rFonts w:hint="eastAsia" w:ascii="宋体" w:hAnsi="宋体" w:eastAsia="宋体" w:cs="宋体"/>
          <w:sz w:val="28"/>
          <w:szCs w:val="28"/>
          <w:u w:val="none"/>
        </w:rPr>
        <w:t>书）</w:t>
      </w:r>
    </w:p>
    <w:p>
      <w:pPr>
        <w:spacing w:line="360" w:lineRule="auto"/>
        <w:ind w:left="630" w:hanging="630" w:hangingChars="225"/>
        <w:jc w:val="center"/>
        <w:rPr>
          <w:rFonts w:hint="eastAsia" w:ascii="宋体" w:hAnsi="宋体" w:eastAsia="宋体" w:cs="宋体"/>
          <w:sz w:val="28"/>
          <w:szCs w:val="28"/>
          <w:u w:val="none"/>
        </w:rPr>
      </w:pPr>
      <w:r>
        <w:rPr>
          <w:rFonts w:hint="eastAsia" w:ascii="宋体" w:hAnsi="宋体" w:eastAsia="宋体" w:cs="宋体"/>
          <w:sz w:val="28"/>
          <w:szCs w:val="28"/>
          <w:u w:val="none"/>
        </w:rPr>
        <w:t>（下无正文）</w:t>
      </w:r>
    </w:p>
    <w:p>
      <w:pPr>
        <w:spacing w:line="360" w:lineRule="auto"/>
        <w:ind w:left="630" w:hanging="630" w:hangingChars="225"/>
        <w:jc w:val="center"/>
        <w:rPr>
          <w:rFonts w:hint="eastAsia" w:ascii="宋体" w:hAnsi="宋体" w:eastAsia="宋体" w:cs="宋体"/>
          <w:sz w:val="28"/>
          <w:szCs w:val="28"/>
          <w:u w:val="none"/>
        </w:rPr>
      </w:pPr>
    </w:p>
    <w:p>
      <w:pPr>
        <w:spacing w:line="360" w:lineRule="auto"/>
        <w:ind w:left="630" w:hanging="630" w:hangingChars="225"/>
        <w:jc w:val="center"/>
        <w:rPr>
          <w:rFonts w:hint="eastAsia" w:ascii="宋体" w:hAnsi="宋体" w:eastAsia="宋体" w:cs="宋体"/>
          <w:sz w:val="28"/>
          <w:szCs w:val="28"/>
          <w:u w:val="none"/>
        </w:rPr>
      </w:pPr>
    </w:p>
    <w:p>
      <w:pPr>
        <w:spacing w:line="360" w:lineRule="auto"/>
        <w:ind w:left="630" w:hanging="630" w:hangingChars="225"/>
        <w:jc w:val="center"/>
        <w:rPr>
          <w:rFonts w:hint="eastAsia" w:ascii="宋体" w:hAnsi="宋体" w:eastAsia="宋体" w:cs="宋体"/>
          <w:sz w:val="28"/>
          <w:szCs w:val="28"/>
          <w:u w:val="none"/>
        </w:rPr>
      </w:pPr>
    </w:p>
    <w:p>
      <w:pPr>
        <w:spacing w:line="360" w:lineRule="auto"/>
        <w:ind w:left="1046" w:leftChars="212" w:hanging="537" w:hangingChars="192"/>
        <w:rPr>
          <w:rFonts w:hint="eastAsia" w:ascii="宋体" w:hAnsi="宋体" w:eastAsia="宋体" w:cs="宋体"/>
          <w:sz w:val="28"/>
          <w:szCs w:val="28"/>
          <w:u w:val="none"/>
        </w:rPr>
      </w:pPr>
      <w:r>
        <w:rPr>
          <w:rFonts w:hint="eastAsia" w:ascii="宋体" w:hAnsi="宋体" w:eastAsia="宋体" w:cs="宋体"/>
          <w:sz w:val="28"/>
          <w:szCs w:val="28"/>
          <w:u w:val="none"/>
        </w:rPr>
        <w:t>编制人：</w:t>
      </w:r>
    </w:p>
    <w:p>
      <w:pPr>
        <w:spacing w:line="360" w:lineRule="auto"/>
        <w:ind w:left="1046" w:leftChars="212" w:hanging="537" w:hangingChars="192"/>
        <w:rPr>
          <w:rFonts w:hint="eastAsia" w:ascii="宋体" w:hAnsi="宋体" w:eastAsia="宋体" w:cs="宋体"/>
          <w:sz w:val="28"/>
          <w:szCs w:val="28"/>
          <w:u w:val="none"/>
        </w:rPr>
      </w:pPr>
    </w:p>
    <w:p>
      <w:pPr>
        <w:spacing w:line="360" w:lineRule="auto"/>
        <w:ind w:left="1046" w:leftChars="212" w:hanging="537" w:hangingChars="192"/>
        <w:rPr>
          <w:rFonts w:hint="eastAsia" w:ascii="宋体" w:hAnsi="宋体" w:eastAsia="宋体" w:cs="宋体"/>
          <w:sz w:val="28"/>
          <w:szCs w:val="28"/>
          <w:u w:val="none"/>
        </w:rPr>
      </w:pPr>
    </w:p>
    <w:p>
      <w:pPr>
        <w:spacing w:line="360" w:lineRule="auto"/>
        <w:ind w:left="1046" w:leftChars="212" w:hanging="537" w:hangingChars="192"/>
        <w:rPr>
          <w:rFonts w:hint="eastAsia" w:ascii="宋体" w:hAnsi="宋体" w:eastAsia="宋体" w:cs="宋体"/>
          <w:sz w:val="28"/>
          <w:szCs w:val="28"/>
          <w:u w:val="none"/>
        </w:rPr>
      </w:pPr>
      <w:r>
        <w:rPr>
          <w:rFonts w:hint="eastAsia" w:ascii="宋体" w:hAnsi="宋体" w:eastAsia="宋体" w:cs="宋体"/>
          <w:sz w:val="28"/>
          <w:szCs w:val="28"/>
          <w:u w:val="none"/>
        </w:rPr>
        <w:t>复核人：</w:t>
      </w:r>
    </w:p>
    <w:p>
      <w:pPr>
        <w:spacing w:line="360" w:lineRule="auto"/>
        <w:ind w:left="1046" w:leftChars="212" w:hanging="537" w:hangingChars="192"/>
        <w:rPr>
          <w:rFonts w:hint="eastAsia" w:ascii="仿宋" w:hAnsi="仿宋" w:eastAsia="仿宋" w:cs="仿宋"/>
          <w:sz w:val="28"/>
          <w:szCs w:val="28"/>
          <w:u w:val="none"/>
        </w:rPr>
      </w:pPr>
    </w:p>
    <w:p>
      <w:pPr>
        <w:spacing w:line="360" w:lineRule="auto"/>
        <w:ind w:left="1046" w:leftChars="212" w:hanging="537" w:hangingChars="192"/>
        <w:rPr>
          <w:rFonts w:hint="eastAsia" w:ascii="仿宋" w:hAnsi="仿宋" w:eastAsia="仿宋" w:cs="仿宋"/>
          <w:sz w:val="28"/>
          <w:szCs w:val="28"/>
          <w:u w:val="none"/>
        </w:rPr>
      </w:pPr>
    </w:p>
    <w:p>
      <w:pPr>
        <w:spacing w:line="360" w:lineRule="auto"/>
        <w:ind w:left="1046" w:leftChars="212" w:hanging="537" w:hangingChars="192"/>
        <w:rPr>
          <w:rFonts w:hint="eastAsia" w:ascii="宋体" w:hAnsi="宋体" w:eastAsia="宋体" w:cs="宋体"/>
          <w:sz w:val="28"/>
          <w:szCs w:val="28"/>
          <w:u w:val="none"/>
        </w:rPr>
      </w:pPr>
      <w:r>
        <w:rPr>
          <w:rFonts w:hint="eastAsia" w:ascii="宋体" w:hAnsi="宋体" w:eastAsia="宋体" w:cs="宋体"/>
          <w:sz w:val="28"/>
          <w:szCs w:val="28"/>
          <w:u w:val="none"/>
        </w:rPr>
        <w:t>负责人：</w:t>
      </w:r>
    </w:p>
    <w:p>
      <w:pPr>
        <w:spacing w:line="360" w:lineRule="auto"/>
        <w:ind w:left="1046" w:leftChars="212" w:hanging="537" w:hangingChars="192"/>
        <w:rPr>
          <w:rFonts w:hint="eastAsia" w:ascii="宋体" w:hAnsi="宋体" w:eastAsia="宋体" w:cs="宋体"/>
          <w:sz w:val="28"/>
          <w:szCs w:val="28"/>
          <w:u w:val="none"/>
        </w:rPr>
      </w:pPr>
    </w:p>
    <w:p>
      <w:pPr>
        <w:spacing w:line="360" w:lineRule="auto"/>
        <w:ind w:left="1046" w:leftChars="212" w:hanging="537" w:hangingChars="192"/>
        <w:rPr>
          <w:rFonts w:hint="eastAsia" w:ascii="宋体" w:hAnsi="宋体" w:eastAsia="宋体" w:cs="宋体"/>
          <w:sz w:val="28"/>
          <w:szCs w:val="28"/>
          <w:u w:val="none"/>
        </w:rPr>
      </w:pPr>
    </w:p>
    <w:p>
      <w:pPr>
        <w:spacing w:line="360" w:lineRule="auto"/>
        <w:ind w:left="1046" w:leftChars="212" w:hanging="537" w:hangingChars="192"/>
        <w:rPr>
          <w:rFonts w:hint="eastAsia" w:ascii="宋体" w:hAnsi="宋体" w:eastAsia="宋体" w:cs="宋体"/>
          <w:sz w:val="28"/>
          <w:szCs w:val="28"/>
          <w:u w:val="none"/>
        </w:rPr>
      </w:pPr>
      <w:r>
        <w:rPr>
          <w:rFonts w:hint="eastAsia" w:ascii="宋体" w:hAnsi="宋体" w:eastAsia="宋体" w:cs="宋体"/>
          <w:sz w:val="28"/>
          <w:szCs w:val="28"/>
          <w:u w:val="none"/>
        </w:rPr>
        <w:t>编制单位：广东晖达工程顾问有限公司</w:t>
      </w:r>
    </w:p>
    <w:p>
      <w:pPr>
        <w:spacing w:line="360" w:lineRule="auto"/>
        <w:ind w:left="1046" w:leftChars="212" w:hanging="537" w:hangingChars="192"/>
        <w:rPr>
          <w:rFonts w:hint="eastAsia" w:ascii="宋体" w:hAnsi="宋体" w:eastAsia="宋体" w:cs="宋体"/>
          <w:sz w:val="28"/>
          <w:szCs w:val="28"/>
          <w:u w:val="none"/>
        </w:rPr>
      </w:pPr>
      <w:r>
        <w:rPr>
          <w:rFonts w:hint="eastAsia" w:ascii="宋体" w:hAnsi="宋体" w:eastAsia="宋体" w:cs="宋体"/>
          <w:sz w:val="28"/>
          <w:szCs w:val="28"/>
          <w:u w:val="none"/>
        </w:rPr>
        <w:t>编制日期：2018年</w:t>
      </w:r>
      <w:r>
        <w:rPr>
          <w:rFonts w:hint="eastAsia" w:ascii="宋体" w:hAnsi="宋体" w:eastAsia="宋体" w:cs="宋体"/>
          <w:sz w:val="28"/>
          <w:szCs w:val="28"/>
          <w:u w:val="none"/>
          <w:lang w:val="en-US" w:eastAsia="zh-CN"/>
        </w:rPr>
        <w:t>12</w:t>
      </w:r>
      <w:r>
        <w:rPr>
          <w:rFonts w:hint="eastAsia" w:ascii="宋体" w:hAnsi="宋体" w:eastAsia="宋体" w:cs="宋体"/>
          <w:sz w:val="28"/>
          <w:szCs w:val="28"/>
          <w:u w:val="none"/>
        </w:rPr>
        <w:t>月</w:t>
      </w:r>
      <w:r>
        <w:rPr>
          <w:rFonts w:hint="eastAsia" w:ascii="宋体" w:hAnsi="宋体" w:eastAsia="宋体" w:cs="宋体"/>
          <w:sz w:val="28"/>
          <w:szCs w:val="28"/>
          <w:u w:val="none"/>
          <w:lang w:val="en-US" w:eastAsia="zh-CN"/>
        </w:rPr>
        <w:t>21</w:t>
      </w:r>
      <w:r>
        <w:rPr>
          <w:rFonts w:hint="eastAsia" w:ascii="宋体" w:hAnsi="宋体" w:eastAsia="宋体" w:cs="宋体"/>
          <w:sz w:val="28"/>
          <w:szCs w:val="28"/>
          <w:u w:val="none"/>
        </w:rPr>
        <w:t>日</w:t>
      </w:r>
    </w:p>
    <w:sectPr>
      <w:footerReference r:id="rId7" w:type="default"/>
      <w:pgSz w:w="11900" w:h="16840"/>
      <w:pgMar w:top="1440" w:right="1417" w:bottom="1440" w:left="1417" w:header="794" w:footer="227" w:gutter="0"/>
      <w:pgNumType w:fmt="decimal" w:start="1"/>
      <w:cols w:space="0" w:num="1"/>
      <w:rtlGutter w:val="0"/>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Heiti SC Light">
    <w:altName w:val="微软雅黑"/>
    <w:panose1 w:val="00000000000000000000"/>
    <w:charset w:val="50"/>
    <w:family w:val="auto"/>
    <w:pitch w:val="default"/>
    <w:sig w:usb0="00000000" w:usb1="00000000" w:usb2="00000010" w:usb3="00000000" w:csb0="003E0000" w:csb1="00000000"/>
  </w:font>
  <w:font w:name="仿宋">
    <w:panose1 w:val="02010609060101010101"/>
    <w:charset w:val="86"/>
    <w:family w:val="roman"/>
    <w:pitch w:val="default"/>
    <w:sig w:usb0="800002BF" w:usb1="38CF7CFA" w:usb2="00000016" w:usb3="00000000" w:csb0="00040001" w:csb1="00000000"/>
  </w:font>
  <w:font w:name="DengXi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50"/>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color w:val="767171" w:themeColor="background2" w:themeShade="8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ascii="宋体" w:hAnsi="宋体" w:eastAsia="宋体" w:cs="宋体"/>
        <w:color w:val="767171" w:themeColor="background2" w:themeShade="80"/>
      </w:rPr>
    </w:pPr>
    <w:r>
      <w:rPr>
        <w:rFonts w:hint="eastAsia" w:ascii="宋体" w:hAnsi="宋体" w:eastAsia="宋体" w:cs="宋体"/>
        <w:sz w:val="18"/>
      </w:rPr>
      <mc:AlternateContent>
        <mc:Choice Requires="wps">
          <w:drawing>
            <wp:anchor distT="0" distB="0" distL="114300" distR="114300" simplePos="0" relativeHeight="251661312" behindDoc="0" locked="0" layoutInCell="1" allowOverlap="1">
              <wp:simplePos x="0" y="0"/>
              <wp:positionH relativeFrom="margin">
                <wp:posOffset>2675255</wp:posOffset>
              </wp:positionH>
              <wp:positionV relativeFrom="paragraph">
                <wp:posOffset>-619125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2</w:t>
                          </w:r>
                          <w:r>
                            <w:rPr>
                              <w:rFonts w:hint="eastAsia" w:ascii="宋体" w:hAnsi="宋体" w:eastAsia="宋体" w:cs="宋体"/>
                              <w:lang w:eastAsia="zh-CN"/>
                            </w:rPr>
                            <w:fldChar w:fldCharType="end"/>
                          </w:r>
                          <w:r>
                            <w:rPr>
                              <w:rFonts w:hint="eastAsia" w:eastAsia="宋体"/>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0.65pt;margin-top:-48.75pt;height:144pt;width:144pt;mso-position-horizontal-relative:margin;mso-wrap-style:none;z-index:251661312;mso-width-relative:page;mso-height-relative:page;" filled="f" stroked="f" coordsize="21600,21600" o:gfxdata="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aj4zk2AAAAAsBAAAPAAAAAAAA&#10;AAEAIAAAACIAAABkcnMvZG93bnJldi54bWxQSwECFAAUAAAACACHTuJAStvN/xICAAATBAAADgAA&#10;AAAAAAABACAAAAAnAQAAZHJzL2Uyb0RvYy54bWxQSwUGAAAAAAYABgBZAQAAq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2</w:t>
                    </w:r>
                    <w:r>
                      <w:rPr>
                        <w:rFonts w:hint="eastAsia" w:ascii="宋体" w:hAnsi="宋体" w:eastAsia="宋体" w:cs="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drawing>
        <wp:inline distT="0" distB="0" distL="0" distR="0">
          <wp:extent cx="489585" cy="683895"/>
          <wp:effectExtent l="0" t="0" r="571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
                    <a:extLst>
                      <a:ext uri="{28A0092B-C50C-407E-A947-70E740481C1C}">
                        <a14:useLocalDpi xmlns:a14="http://schemas.microsoft.com/office/drawing/2010/main" val="0"/>
                      </a:ext>
                    </a:extLst>
                  </a:blip>
                  <a:srcRect l="1" r="88554"/>
                  <a:stretch>
                    <a:fillRect/>
                  </a:stretch>
                </pic:blipFill>
                <pic:spPr>
                  <a:xfrm>
                    <a:off x="0" y="0"/>
                    <a:ext cx="489585" cy="683895"/>
                  </a:xfrm>
                  <a:prstGeom prst="rect">
                    <a:avLst/>
                  </a:prstGeom>
                  <a:ln>
                    <a:noFill/>
                  </a:ln>
                </pic:spPr>
              </pic:pic>
            </a:graphicData>
          </a:graphic>
        </wp:inline>
      </w:drawing>
    </w:r>
    <w:r>
      <w:rPr>
        <w:rFonts w:hint="eastAsia" w:eastAsia="宋体"/>
      </w:rPr>
      <w:t xml:space="preserve">   </w:t>
    </w:r>
    <w:r>
      <w:drawing>
        <wp:inline distT="0" distB="0" distL="0" distR="0">
          <wp:extent cx="4631055" cy="662305"/>
          <wp:effectExtent l="0" t="0" r="171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rcRect l="15394" r="-1271" b="23156"/>
                  <a:stretch>
                    <a:fillRect/>
                  </a:stretch>
                </pic:blipFill>
                <pic:spPr>
                  <a:xfrm>
                    <a:off x="0" y="0"/>
                    <a:ext cx="4631055" cy="662305"/>
                  </a:xfrm>
                  <a:prstGeom prst="rect">
                    <a:avLst/>
                  </a:prstGeom>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2" o:spid="_x0000_s3074" o:spt="75" type="#_x0000_t75" style="position:absolute;left:0pt;height:543.65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r>
      <w:pict>
        <v:shape id="WordPictureWatermark1" o:spid="_x0000_s3075" o:spt="75" type="#_x0000_t75" style="position:absolute;left:0pt;height:543.65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3" o:spid="_x0000_s3073" o:spt="75" type="#_x0000_t75" style="position:absolute;left:0pt;height:543.65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晖达vi手册2-11"/>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0213B"/>
    <w:multiLevelType w:val="singleLevel"/>
    <w:tmpl w:val="2500213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val="0"/>
  <w:bordersDoNotSurroundFooter w:val="0"/>
  <w:documentProtection w:enforcement="0"/>
  <w:defaultTabStop w:val="420"/>
  <w:drawingGridHorizontalSpacing w:val="120"/>
  <w:drawingGridVerticalSpacing w:val="423"/>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78E"/>
    <w:rsid w:val="00032E5E"/>
    <w:rsid w:val="00066D23"/>
    <w:rsid w:val="000A3846"/>
    <w:rsid w:val="00154366"/>
    <w:rsid w:val="00156630"/>
    <w:rsid w:val="00172466"/>
    <w:rsid w:val="001E4791"/>
    <w:rsid w:val="00203CD2"/>
    <w:rsid w:val="002512A7"/>
    <w:rsid w:val="002F0C79"/>
    <w:rsid w:val="00302C7F"/>
    <w:rsid w:val="00322D7B"/>
    <w:rsid w:val="00342D79"/>
    <w:rsid w:val="003C5F45"/>
    <w:rsid w:val="004F4054"/>
    <w:rsid w:val="00513908"/>
    <w:rsid w:val="0060140E"/>
    <w:rsid w:val="00736939"/>
    <w:rsid w:val="00797A1B"/>
    <w:rsid w:val="008A2B89"/>
    <w:rsid w:val="0091478E"/>
    <w:rsid w:val="00A02544"/>
    <w:rsid w:val="00A02FFC"/>
    <w:rsid w:val="00B320AA"/>
    <w:rsid w:val="00C342D2"/>
    <w:rsid w:val="00C73D7B"/>
    <w:rsid w:val="00D106BD"/>
    <w:rsid w:val="00D74F67"/>
    <w:rsid w:val="00ED26D8"/>
    <w:rsid w:val="00FA4E29"/>
    <w:rsid w:val="02495BC4"/>
    <w:rsid w:val="04710D33"/>
    <w:rsid w:val="069568DD"/>
    <w:rsid w:val="0DAC4562"/>
    <w:rsid w:val="0E973C12"/>
    <w:rsid w:val="0F823CC6"/>
    <w:rsid w:val="12667B87"/>
    <w:rsid w:val="126B4750"/>
    <w:rsid w:val="15B1601F"/>
    <w:rsid w:val="16790993"/>
    <w:rsid w:val="18E86C14"/>
    <w:rsid w:val="19A16679"/>
    <w:rsid w:val="1B6819AF"/>
    <w:rsid w:val="1CD47ABF"/>
    <w:rsid w:val="1D347F92"/>
    <w:rsid w:val="23832F13"/>
    <w:rsid w:val="239113BA"/>
    <w:rsid w:val="26CD143B"/>
    <w:rsid w:val="281C7258"/>
    <w:rsid w:val="2A3C25C6"/>
    <w:rsid w:val="307B7F44"/>
    <w:rsid w:val="317F77BE"/>
    <w:rsid w:val="387200CC"/>
    <w:rsid w:val="388F075F"/>
    <w:rsid w:val="388F263E"/>
    <w:rsid w:val="3B572D16"/>
    <w:rsid w:val="3BEC7B1E"/>
    <w:rsid w:val="3D243261"/>
    <w:rsid w:val="3E984C53"/>
    <w:rsid w:val="3E9D7CA0"/>
    <w:rsid w:val="44AE408D"/>
    <w:rsid w:val="45D514F1"/>
    <w:rsid w:val="466F664D"/>
    <w:rsid w:val="46D35979"/>
    <w:rsid w:val="4A337036"/>
    <w:rsid w:val="4E3A4660"/>
    <w:rsid w:val="552D6A62"/>
    <w:rsid w:val="567C6A62"/>
    <w:rsid w:val="57050BEA"/>
    <w:rsid w:val="57313BA2"/>
    <w:rsid w:val="5A29772E"/>
    <w:rsid w:val="5EB15C10"/>
    <w:rsid w:val="5FE22E99"/>
    <w:rsid w:val="625D16F4"/>
    <w:rsid w:val="62FD1255"/>
    <w:rsid w:val="63EF66D7"/>
    <w:rsid w:val="67105555"/>
    <w:rsid w:val="6AF65823"/>
    <w:rsid w:val="6D161F6B"/>
    <w:rsid w:val="72200AC9"/>
    <w:rsid w:val="72CB7B4B"/>
    <w:rsid w:val="75790886"/>
    <w:rsid w:val="7A915BA1"/>
    <w:rsid w:val="7BE63E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2"/>
    <w:semiHidden/>
    <w:unhideWhenUsed/>
    <w:qFormat/>
    <w:uiPriority w:val="99"/>
    <w:rPr>
      <w:rFonts w:ascii="Heiti SC Light" w:eastAsia="Heiti SC Light"/>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2"/>
    <w:qFormat/>
    <w:uiPriority w:val="9"/>
    <w:rPr>
      <w:b/>
      <w:bCs/>
      <w:kern w:val="44"/>
      <w:sz w:val="44"/>
      <w:szCs w:val="44"/>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批注框文本 Char"/>
    <w:basedOn w:val="8"/>
    <w:link w:val="4"/>
    <w:semiHidden/>
    <w:qFormat/>
    <w:uiPriority w:val="99"/>
    <w:rPr>
      <w:rFonts w:ascii="Heiti SC Light" w:eastAsia="Heiti SC Light"/>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customShpInfo spid="_x0000_s3075"/>
    <customShpInfo spid="_x0000_s3073"/>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4E31C-287E-4699-A428-175053F251B1}">
  <ds:schemaRefs/>
</ds:datastoreItem>
</file>

<file path=docProps/app.xml><?xml version="1.0" encoding="utf-8"?>
<Properties xmlns="http://schemas.openxmlformats.org/officeDocument/2006/extended-properties" xmlns:vt="http://schemas.openxmlformats.org/officeDocument/2006/docPropsVTypes">
  <Template>Normal</Template>
  <Company>apple</Company>
  <Pages>1</Pages>
  <Words>24</Words>
  <Characters>138</Characters>
  <Lines>1</Lines>
  <Paragraphs>1</Paragraphs>
  <TotalTime>0</TotalTime>
  <ScaleCrop>false</ScaleCrop>
  <LinksUpToDate>false</LinksUpToDate>
  <CharactersWithSpaces>161</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2018-06-12T03:51:00Z</dcterms:created>
  <dc:creator>Administrator</dc:creator>
  <cp:lastModifiedBy>Administrator</cp:lastModifiedBy>
  <cp:lastPrinted>2018-11-26T14:05:00Z</cp:lastPrinted>
  <dcterms:modified xsi:type="dcterms:W3CDTF">2019-01-25T09:06:28Z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