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napToGrid w:val="0"/>
        <w:spacing w:before="100" w:beforeAutospacing="1" w:after="100" w:afterAutospacing="1"/>
        <w:jc w:val="center"/>
        <w:rPr>
          <w:rFonts w:hint="eastAsia" w:ascii="仿宋_GB2312" w:eastAsia="仿宋_GB2312"/>
          <w:b/>
          <w:kern w:val="0"/>
          <w:sz w:val="84"/>
        </w:rPr>
      </w:pPr>
    </w:p>
    <w:p>
      <w:pPr>
        <w:widowControl/>
        <w:wordWrap w:val="0"/>
        <w:snapToGrid w:val="0"/>
        <w:spacing w:before="100" w:beforeAutospacing="1" w:after="100" w:afterAutospacing="1"/>
        <w:jc w:val="center"/>
        <w:rPr>
          <w:rFonts w:hint="eastAsia" w:ascii="仿宋_GB2312" w:eastAsia="仿宋_GB2312"/>
          <w:b/>
          <w:kern w:val="0"/>
          <w:sz w:val="84"/>
        </w:rPr>
      </w:pPr>
    </w:p>
    <w:p>
      <w:pPr>
        <w:widowControl/>
        <w:wordWrap w:val="0"/>
        <w:snapToGrid w:val="0"/>
        <w:spacing w:before="100" w:beforeAutospacing="1" w:after="100" w:afterAutospacing="1"/>
        <w:jc w:val="center"/>
        <w:rPr>
          <w:rFonts w:hint="eastAsia" w:ascii="仿宋_GB2312" w:eastAsia="仿宋_GB2312"/>
          <w:b/>
          <w:kern w:val="0"/>
          <w:sz w:val="84"/>
        </w:rPr>
      </w:pPr>
    </w:p>
    <w:p>
      <w:pPr>
        <w:widowControl/>
        <w:wordWrap w:val="0"/>
        <w:snapToGrid w:val="0"/>
        <w:spacing w:before="100" w:beforeAutospacing="1" w:after="100" w:afterAutospacing="1"/>
        <w:jc w:val="center"/>
        <w:rPr>
          <w:rFonts w:hint="eastAsia" w:ascii="仿宋_GB2312" w:eastAsia="仿宋_GB2312"/>
          <w:b/>
          <w:kern w:val="0"/>
          <w:sz w:val="28"/>
        </w:rPr>
      </w:pPr>
      <w:r>
        <w:rPr>
          <w:rFonts w:hint="eastAsia" w:ascii="仿宋_GB2312" w:eastAsia="仿宋_GB2312"/>
          <w:b/>
          <w:kern w:val="0"/>
          <w:sz w:val="84"/>
        </w:rPr>
        <w:t>评 标 报 告</w:t>
      </w:r>
    </w:p>
    <w:p>
      <w:pPr>
        <w:widowControl/>
        <w:wordWrap w:val="0"/>
        <w:snapToGrid w:val="0"/>
        <w:spacing w:before="100" w:beforeAutospacing="1" w:after="100" w:afterAutospacing="1"/>
        <w:jc w:val="left"/>
        <w:rPr>
          <w:rFonts w:hint="eastAsia" w:ascii="仿宋_GB2312" w:eastAsia="仿宋_GB2312"/>
          <w:b/>
          <w:kern w:val="0"/>
          <w:sz w:val="36"/>
        </w:rPr>
      </w:pPr>
    </w:p>
    <w:p>
      <w:pPr>
        <w:widowControl/>
        <w:wordWrap w:val="0"/>
        <w:snapToGrid w:val="0"/>
        <w:spacing w:before="100" w:beforeAutospacing="1" w:after="100" w:afterAutospacing="1"/>
        <w:jc w:val="left"/>
        <w:rPr>
          <w:rFonts w:hint="eastAsia" w:ascii="仿宋_GB2312" w:eastAsia="仿宋_GB2312"/>
          <w:b/>
          <w:kern w:val="0"/>
          <w:sz w:val="36"/>
        </w:rPr>
      </w:pPr>
    </w:p>
    <w:p>
      <w:pPr>
        <w:widowControl/>
        <w:wordWrap w:val="0"/>
        <w:snapToGrid w:val="0"/>
        <w:spacing w:before="100" w:beforeAutospacing="1" w:after="100" w:afterAutospacing="1"/>
        <w:jc w:val="left"/>
        <w:rPr>
          <w:rFonts w:hint="eastAsia" w:ascii="仿宋_GB2312" w:eastAsia="仿宋_GB2312"/>
          <w:b/>
          <w:kern w:val="0"/>
          <w:sz w:val="36"/>
        </w:rPr>
      </w:pPr>
    </w:p>
    <w:p>
      <w:pPr>
        <w:widowControl/>
        <w:wordWrap w:val="0"/>
        <w:snapToGrid w:val="0"/>
        <w:spacing w:before="100" w:beforeAutospacing="1" w:after="100" w:afterAutospacing="1"/>
        <w:jc w:val="left"/>
        <w:rPr>
          <w:rFonts w:hint="eastAsia" w:ascii="仿宋_GB2312" w:eastAsia="仿宋_GB2312"/>
          <w:b/>
          <w:kern w:val="0"/>
          <w:sz w:val="36"/>
        </w:rPr>
      </w:pPr>
    </w:p>
    <w:p>
      <w:pPr>
        <w:widowControl/>
        <w:wordWrap w:val="0"/>
        <w:snapToGrid w:val="0"/>
        <w:spacing w:before="100" w:beforeAutospacing="1" w:after="100" w:afterAutospacing="1"/>
        <w:jc w:val="left"/>
        <w:rPr>
          <w:rFonts w:hint="eastAsia" w:ascii="仿宋_GB2312" w:eastAsia="仿宋_GB2312"/>
          <w:b/>
          <w:kern w:val="0"/>
          <w:sz w:val="36"/>
        </w:rPr>
      </w:pPr>
    </w:p>
    <w:p>
      <w:pPr>
        <w:widowControl/>
        <w:wordWrap w:val="0"/>
        <w:snapToGrid w:val="0"/>
        <w:spacing w:before="100" w:beforeAutospacing="1" w:after="100" w:afterAutospacing="1"/>
        <w:jc w:val="left"/>
        <w:rPr>
          <w:rFonts w:hint="eastAsia" w:ascii="仿宋_GB2312" w:eastAsia="仿宋_GB2312"/>
          <w:b/>
          <w:kern w:val="0"/>
          <w:sz w:val="36"/>
        </w:rPr>
      </w:pPr>
    </w:p>
    <w:p>
      <w:pPr>
        <w:widowControl/>
        <w:wordWrap w:val="0"/>
        <w:snapToGrid w:val="0"/>
        <w:spacing w:before="100" w:beforeAutospacing="1" w:after="100" w:afterAutospacing="1"/>
        <w:ind w:leftChars="100"/>
        <w:jc w:val="left"/>
        <w:rPr>
          <w:rFonts w:hint="eastAsia" w:ascii="仿宋_GB2312" w:eastAsia="仿宋_GB2312"/>
          <w:b/>
          <w:kern w:val="0"/>
          <w:sz w:val="36"/>
        </w:rPr>
      </w:pPr>
      <w:r>
        <w:rPr>
          <w:rFonts w:hint="eastAsia" w:ascii="仿宋_GB2312" w:eastAsia="仿宋_GB2312"/>
          <w:b/>
          <w:kern w:val="0"/>
          <w:sz w:val="36"/>
        </w:rPr>
        <w:t>工程编号：najj2018005</w:t>
      </w:r>
    </w:p>
    <w:p>
      <w:pPr>
        <w:keepNext w:val="0"/>
        <w:keepLines w:val="0"/>
        <w:pageBreakBefore w:val="0"/>
        <w:widowControl/>
        <w:kinsoku/>
        <w:overflowPunct/>
        <w:topLinePunct w:val="0"/>
        <w:autoSpaceDE/>
        <w:autoSpaceDN/>
        <w:bidi w:val="0"/>
        <w:adjustRightInd/>
        <w:snapToGrid w:val="0"/>
        <w:spacing w:beforeAutospacing="0" w:afterAutospacing="0" w:line="360" w:lineRule="auto"/>
        <w:ind w:left="210" w:leftChars="100" w:right="0" w:rightChars="0" w:firstLine="0" w:firstLineChars="0"/>
        <w:jc w:val="left"/>
        <w:textAlignment w:val="auto"/>
        <w:outlineLvl w:val="9"/>
        <w:rPr>
          <w:rFonts w:hint="eastAsia" w:ascii="仿宋_GB2312" w:eastAsia="仿宋_GB2312"/>
          <w:b/>
          <w:bCs/>
          <w:kern w:val="0"/>
          <w:sz w:val="36"/>
          <w:lang w:val="zh-CN"/>
        </w:rPr>
      </w:pPr>
      <w:r>
        <w:rPr>
          <w:rFonts w:hint="eastAsia" w:ascii="仿宋_GB2312" w:eastAsia="仿宋_GB2312"/>
          <w:b/>
          <w:kern w:val="0"/>
          <w:sz w:val="36"/>
        </w:rPr>
        <w:t>工程名称：南澳县后宅镇羊屿村污水管网及处理设施项目</w:t>
      </w:r>
    </w:p>
    <w:p>
      <w:pPr>
        <w:keepNext w:val="0"/>
        <w:keepLines w:val="0"/>
        <w:pageBreakBefore w:val="0"/>
        <w:widowControl/>
        <w:kinsoku/>
        <w:overflowPunct/>
        <w:topLinePunct w:val="0"/>
        <w:autoSpaceDE/>
        <w:autoSpaceDN/>
        <w:bidi w:val="0"/>
        <w:adjustRightInd/>
        <w:snapToGrid w:val="0"/>
        <w:spacing w:beforeAutospacing="0" w:afterAutospacing="0" w:line="360" w:lineRule="auto"/>
        <w:ind w:left="210" w:leftChars="100" w:right="0" w:rightChars="0" w:firstLine="0" w:firstLineChars="0"/>
        <w:jc w:val="left"/>
        <w:textAlignment w:val="auto"/>
        <w:outlineLvl w:val="9"/>
        <w:rPr>
          <w:rFonts w:hint="eastAsia" w:ascii="仿宋_GB2312" w:eastAsia="仿宋_GB2312"/>
          <w:b/>
          <w:bCs/>
          <w:kern w:val="0"/>
          <w:sz w:val="36"/>
          <w:lang w:val="zh-CN"/>
        </w:rPr>
      </w:pPr>
      <w:r>
        <w:rPr>
          <w:rFonts w:hint="eastAsia" w:ascii="仿宋_GB2312" w:eastAsia="仿宋_GB2312"/>
          <w:b/>
          <w:kern w:val="0"/>
          <w:sz w:val="36"/>
        </w:rPr>
        <w:t>招 标 人：南澳县后宅镇人民政府</w:t>
      </w:r>
    </w:p>
    <w:p>
      <w:pPr>
        <w:keepNext w:val="0"/>
        <w:keepLines w:val="0"/>
        <w:pageBreakBefore w:val="0"/>
        <w:kinsoku/>
        <w:overflowPunct/>
        <w:topLinePunct w:val="0"/>
        <w:autoSpaceDE/>
        <w:autoSpaceDN/>
        <w:bidi w:val="0"/>
        <w:adjustRightInd/>
        <w:spacing w:beforeAutospacing="0" w:afterAutospacing="0" w:line="360" w:lineRule="auto"/>
        <w:ind w:left="210" w:leftChars="100" w:right="0" w:rightChars="0" w:firstLine="0" w:firstLineChars="0"/>
        <w:textAlignment w:val="auto"/>
        <w:outlineLvl w:val="9"/>
        <w:rPr>
          <w:rFonts w:hint="eastAsia" w:ascii="仿宋_GB2312" w:eastAsia="仿宋_GB2312"/>
          <w:b/>
          <w:bCs/>
          <w:kern w:val="0"/>
          <w:sz w:val="36"/>
          <w:szCs w:val="36"/>
          <w:lang w:val="zh-CN"/>
        </w:rPr>
      </w:pPr>
      <w:r>
        <w:rPr>
          <w:rFonts w:hint="eastAsia" w:ascii="仿宋_GB2312" w:eastAsia="仿宋_GB2312"/>
          <w:b/>
          <w:kern w:val="0"/>
          <w:sz w:val="36"/>
        </w:rPr>
        <w:t>招标</w:t>
      </w:r>
      <w:r>
        <w:rPr>
          <w:rFonts w:hint="eastAsia" w:ascii="仿宋_GB2312" w:eastAsia="仿宋_GB2312"/>
          <w:b/>
          <w:kern w:val="0"/>
          <w:sz w:val="36"/>
          <w:lang w:eastAsia="zh-CN"/>
        </w:rPr>
        <w:t>代理</w:t>
      </w:r>
      <w:r>
        <w:rPr>
          <w:rFonts w:hint="eastAsia" w:ascii="仿宋_GB2312" w:eastAsia="仿宋_GB2312"/>
          <w:b/>
          <w:kern w:val="0"/>
          <w:sz w:val="36"/>
        </w:rPr>
        <w:t>机构：</w:t>
      </w:r>
      <w:r>
        <w:rPr>
          <w:rFonts w:hint="eastAsia" w:ascii="仿宋_GB2312" w:eastAsia="仿宋_GB2312"/>
          <w:b/>
          <w:bCs/>
          <w:kern w:val="0"/>
          <w:sz w:val="36"/>
          <w:szCs w:val="36"/>
          <w:lang w:val="zh-CN"/>
        </w:rPr>
        <w:t>广东中水工程监理有限公司</w:t>
      </w:r>
    </w:p>
    <w:p>
      <w:pPr>
        <w:keepNext w:val="0"/>
        <w:keepLines w:val="0"/>
        <w:pageBreakBefore w:val="0"/>
        <w:kinsoku/>
        <w:overflowPunct/>
        <w:topLinePunct w:val="0"/>
        <w:autoSpaceDE/>
        <w:autoSpaceDN/>
        <w:bidi w:val="0"/>
        <w:adjustRightInd/>
        <w:spacing w:beforeAutospacing="0" w:afterAutospacing="0" w:line="360" w:lineRule="auto"/>
        <w:ind w:left="1050" w:leftChars="500" w:right="0" w:rightChars="0" w:firstLine="0" w:firstLineChars="0"/>
        <w:textAlignment w:val="auto"/>
        <w:outlineLvl w:val="9"/>
        <w:rPr>
          <w:rFonts w:hint="eastAsia" w:ascii="仿宋_GB2312" w:eastAsia="仿宋_GB2312"/>
          <w:b/>
          <w:bCs/>
          <w:kern w:val="0"/>
          <w:sz w:val="36"/>
          <w:szCs w:val="36"/>
          <w:lang w:val="zh-CN"/>
        </w:rPr>
      </w:pPr>
    </w:p>
    <w:p>
      <w:pPr>
        <w:keepNext w:val="0"/>
        <w:keepLines w:val="0"/>
        <w:pageBreakBefore w:val="0"/>
        <w:kinsoku/>
        <w:overflowPunct/>
        <w:topLinePunct w:val="0"/>
        <w:autoSpaceDE/>
        <w:autoSpaceDN/>
        <w:bidi w:val="0"/>
        <w:adjustRightInd/>
        <w:spacing w:beforeAutospacing="0" w:afterAutospacing="0" w:line="360" w:lineRule="auto"/>
        <w:ind w:right="0" w:rightChars="0"/>
        <w:jc w:val="center"/>
        <w:textAlignment w:val="auto"/>
        <w:outlineLvl w:val="9"/>
        <w:rPr>
          <w:rFonts w:hint="eastAsia" w:ascii="仿宋_GB2312" w:eastAsia="仿宋_GB2312"/>
          <w:b/>
          <w:kern w:val="0"/>
          <w:sz w:val="30"/>
        </w:rPr>
        <w:sectPr>
          <w:headerReference r:id="rId3" w:type="default"/>
          <w:footerReference r:id="rId4" w:type="default"/>
          <w:pgSz w:w="11906" w:h="16838"/>
          <w:pgMar w:top="1440" w:right="1080" w:bottom="1440" w:left="1080" w:header="851" w:footer="992" w:gutter="0"/>
          <w:cols w:space="720" w:num="1"/>
          <w:docGrid w:type="linesAndChars" w:linePitch="312" w:charSpace="0"/>
        </w:sectPr>
      </w:pPr>
      <w:r>
        <w:rPr>
          <w:rFonts w:hint="eastAsia" w:ascii="仿宋_GB2312" w:eastAsia="仿宋_GB2312"/>
          <w:b/>
          <w:bCs/>
          <w:kern w:val="0"/>
          <w:sz w:val="36"/>
          <w:szCs w:val="36"/>
          <w:lang w:val="zh-CN"/>
        </w:rPr>
        <w:t>二O一</w:t>
      </w:r>
      <w:r>
        <w:rPr>
          <w:rFonts w:hint="eastAsia" w:ascii="仿宋_GB2312" w:eastAsia="仿宋_GB2312"/>
          <w:b/>
          <w:bCs/>
          <w:kern w:val="0"/>
          <w:sz w:val="36"/>
          <w:szCs w:val="36"/>
          <w:lang w:val="zh-CN" w:eastAsia="zh-CN"/>
        </w:rPr>
        <w:t>八</w:t>
      </w:r>
      <w:r>
        <w:rPr>
          <w:rFonts w:hint="eastAsia" w:ascii="仿宋_GB2312" w:eastAsia="仿宋_GB2312"/>
          <w:b/>
          <w:bCs/>
          <w:kern w:val="0"/>
          <w:sz w:val="36"/>
          <w:szCs w:val="36"/>
          <w:lang w:val="en-US" w:eastAsia="zh-CN"/>
        </w:rPr>
        <w:t xml:space="preserve"> </w:t>
      </w:r>
      <w:r>
        <w:rPr>
          <w:rFonts w:hint="eastAsia" w:ascii="仿宋_GB2312" w:eastAsia="仿宋_GB2312"/>
          <w:b/>
          <w:bCs/>
          <w:kern w:val="0"/>
          <w:sz w:val="36"/>
          <w:szCs w:val="36"/>
          <w:lang w:val="zh-CN"/>
        </w:rPr>
        <w:t>年</w:t>
      </w:r>
      <w:r>
        <w:rPr>
          <w:rFonts w:hint="eastAsia" w:ascii="仿宋_GB2312" w:eastAsia="仿宋_GB2312"/>
          <w:b/>
          <w:bCs/>
          <w:kern w:val="0"/>
          <w:sz w:val="36"/>
          <w:szCs w:val="36"/>
          <w:lang w:val="en-US" w:eastAsia="zh-CN"/>
        </w:rPr>
        <w:t xml:space="preserve"> </w:t>
      </w:r>
      <w:r>
        <w:rPr>
          <w:rFonts w:hint="eastAsia" w:ascii="仿宋_GB2312" w:eastAsia="仿宋_GB2312"/>
          <w:b/>
          <w:bCs/>
          <w:kern w:val="0"/>
          <w:sz w:val="36"/>
          <w:szCs w:val="36"/>
          <w:lang w:val="zh-CN" w:eastAsia="zh-CN"/>
        </w:rPr>
        <w:t>五</w:t>
      </w:r>
      <w:r>
        <w:rPr>
          <w:rFonts w:hint="eastAsia" w:ascii="仿宋_GB2312" w:eastAsia="仿宋_GB2312"/>
          <w:b/>
          <w:bCs/>
          <w:kern w:val="0"/>
          <w:sz w:val="36"/>
          <w:szCs w:val="36"/>
          <w:lang w:val="en-US" w:eastAsia="zh-CN"/>
        </w:rPr>
        <w:t xml:space="preserve"> </w:t>
      </w:r>
      <w:r>
        <w:rPr>
          <w:rFonts w:hint="eastAsia" w:ascii="仿宋_GB2312" w:eastAsia="仿宋_GB2312"/>
          <w:b/>
          <w:bCs/>
          <w:kern w:val="0"/>
          <w:sz w:val="36"/>
          <w:szCs w:val="36"/>
          <w:lang w:val="zh-CN"/>
        </w:rPr>
        <w:t>月</w:t>
      </w:r>
      <w:r>
        <w:rPr>
          <w:rFonts w:hint="eastAsia" w:ascii="仿宋_GB2312" w:eastAsia="仿宋_GB2312"/>
          <w:b/>
          <w:bCs/>
          <w:kern w:val="0"/>
          <w:sz w:val="36"/>
          <w:szCs w:val="36"/>
          <w:lang w:val="en-US" w:eastAsia="zh-CN"/>
        </w:rPr>
        <w:t xml:space="preserve"> </w:t>
      </w:r>
      <w:r>
        <w:rPr>
          <w:rFonts w:hint="eastAsia" w:ascii="仿宋_GB2312" w:eastAsia="仿宋_GB2312"/>
          <w:b/>
          <w:bCs/>
          <w:kern w:val="0"/>
          <w:sz w:val="36"/>
          <w:szCs w:val="36"/>
          <w:lang w:val="zh-CN" w:eastAsia="zh-CN"/>
        </w:rPr>
        <w:t>九</w:t>
      </w:r>
      <w:r>
        <w:rPr>
          <w:rFonts w:hint="eastAsia" w:ascii="仿宋_GB2312" w:eastAsia="仿宋_GB2312"/>
          <w:b/>
          <w:bCs/>
          <w:kern w:val="0"/>
          <w:sz w:val="36"/>
          <w:szCs w:val="36"/>
          <w:lang w:val="en-US" w:eastAsia="zh-CN"/>
        </w:rPr>
        <w:t xml:space="preserve"> </w:t>
      </w:r>
      <w:r>
        <w:rPr>
          <w:rFonts w:hint="eastAsia" w:ascii="仿宋_GB2312" w:eastAsia="仿宋_GB2312"/>
          <w:b/>
          <w:bCs/>
          <w:kern w:val="0"/>
          <w:sz w:val="36"/>
          <w:szCs w:val="36"/>
          <w:lang w:val="zh-CN"/>
        </w:rPr>
        <w:t>日</w:t>
      </w:r>
    </w:p>
    <w:p>
      <w:pPr>
        <w:keepNext w:val="0"/>
        <w:keepLines w:val="0"/>
        <w:pageBreakBefore w:val="0"/>
        <w:kinsoku/>
        <w:wordWrap/>
        <w:overflowPunct/>
        <w:topLinePunct w:val="0"/>
        <w:autoSpaceDE/>
        <w:autoSpaceDN/>
        <w:bidi w:val="0"/>
        <w:adjustRightInd/>
        <w:spacing w:beforeAutospacing="0" w:afterAutospacing="0" w:line="360" w:lineRule="auto"/>
        <w:ind w:right="0" w:rightChars="0"/>
        <w:jc w:val="both"/>
        <w:textAlignment w:val="auto"/>
        <w:outlineLvl w:val="9"/>
        <w:rPr>
          <w:rFonts w:hint="eastAsia" w:ascii="仿宋_GB2312" w:eastAsia="仿宋_GB2312"/>
          <w:b/>
          <w:kern w:val="0"/>
          <w:sz w:val="30"/>
        </w:rPr>
      </w:pPr>
      <w:r>
        <w:rPr>
          <w:rFonts w:hint="eastAsia" w:ascii="仿宋_GB2312" w:eastAsia="仿宋_GB2312"/>
          <w:b/>
          <w:kern w:val="0"/>
          <w:sz w:val="30"/>
        </w:rPr>
        <w:t>一、项目概况</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bCs/>
          <w:kern w:val="0"/>
          <w:sz w:val="28"/>
        </w:rPr>
      </w:pPr>
      <w:r>
        <w:rPr>
          <w:rFonts w:hint="eastAsia" w:ascii="仿宋_GB2312" w:eastAsia="仿宋_GB2312"/>
          <w:kern w:val="0"/>
          <w:sz w:val="28"/>
        </w:rPr>
        <w:t>工程名称：南澳县后宅镇羊屿村污水管网及处理设施项目</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rPr>
      </w:pPr>
      <w:r>
        <w:rPr>
          <w:rFonts w:hint="eastAsia" w:ascii="仿宋_GB2312" w:eastAsia="仿宋_GB2312"/>
          <w:kern w:val="0"/>
          <w:sz w:val="28"/>
        </w:rPr>
        <w:t>建设规模：HDPE双壁波纹排水管敷设、检查井砌筑、路面拆除修复、设备用房建筑及污水一体化处理设备安装等。工程建安费用4180674.25元。</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rPr>
      </w:pPr>
      <w:r>
        <w:rPr>
          <w:rFonts w:hint="eastAsia" w:ascii="仿宋_GB2312" w:eastAsia="仿宋_GB2312"/>
          <w:kern w:val="0"/>
          <w:sz w:val="28"/>
        </w:rPr>
        <w:t>招标内容：按南澳县发展和改革局立项核准（南发改投预[2017]23号）的规模及中国华西工程设计建设有限公司设计的施工图纸和经南澳县财政局委托广州穗科建设管理有限公司审核的预算书内容。</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zh-CN"/>
        </w:rPr>
      </w:pPr>
    </w:p>
    <w:p>
      <w:pPr>
        <w:keepNext w:val="0"/>
        <w:keepLines w:val="0"/>
        <w:pageBreakBefore w:val="0"/>
        <w:kinsoku/>
        <w:wordWrap/>
        <w:overflowPunct/>
        <w:topLinePunct w:val="0"/>
        <w:autoSpaceDE/>
        <w:autoSpaceDN/>
        <w:bidi w:val="0"/>
        <w:adjustRightInd/>
        <w:spacing w:beforeAutospacing="0" w:afterAutospacing="0" w:line="360" w:lineRule="auto"/>
        <w:ind w:right="0" w:rightChars="0"/>
        <w:jc w:val="both"/>
        <w:textAlignment w:val="auto"/>
        <w:outlineLvl w:val="9"/>
        <w:rPr>
          <w:rFonts w:hint="eastAsia" w:ascii="仿宋_GB2312" w:eastAsia="仿宋_GB2312"/>
          <w:b/>
          <w:kern w:val="0"/>
          <w:sz w:val="30"/>
        </w:rPr>
      </w:pPr>
      <w:r>
        <w:rPr>
          <w:rFonts w:hint="eastAsia" w:ascii="仿宋_GB2312" w:eastAsia="仿宋_GB2312"/>
          <w:b/>
          <w:kern w:val="0"/>
          <w:sz w:val="30"/>
        </w:rPr>
        <w:t>二、招标过程</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highlight w:val="yellow"/>
        </w:rPr>
      </w:pPr>
      <w:r>
        <w:rPr>
          <w:rFonts w:hint="eastAsia" w:ascii="仿宋_GB2312" w:eastAsia="仿宋_GB2312"/>
          <w:kern w:val="0"/>
          <w:sz w:val="28"/>
        </w:rPr>
        <w:t>本项目于</w:t>
      </w:r>
      <w:bookmarkStart w:id="0" w:name="OLE_LINK1"/>
      <w:r>
        <w:rPr>
          <w:rFonts w:hint="eastAsia" w:ascii="仿宋_GB2312" w:eastAsia="仿宋_GB2312"/>
          <w:kern w:val="0"/>
          <w:sz w:val="28"/>
          <w:u w:val="single"/>
          <w:lang w:val="en-US" w:eastAsia="zh-CN"/>
        </w:rPr>
        <w:t xml:space="preserve"> 2018 </w:t>
      </w:r>
      <w:r>
        <w:rPr>
          <w:rFonts w:hint="eastAsia" w:ascii="仿宋_GB2312" w:eastAsia="仿宋_GB2312"/>
          <w:kern w:val="0"/>
          <w:sz w:val="28"/>
        </w:rPr>
        <w:t>年</w:t>
      </w:r>
      <w:r>
        <w:rPr>
          <w:rFonts w:hint="eastAsia" w:ascii="仿宋_GB2312" w:eastAsia="仿宋_GB2312"/>
          <w:kern w:val="0"/>
          <w:sz w:val="28"/>
          <w:u w:val="single"/>
          <w:lang w:val="en-US" w:eastAsia="zh-CN"/>
        </w:rPr>
        <w:t xml:space="preserve"> 4 </w:t>
      </w:r>
      <w:r>
        <w:rPr>
          <w:rFonts w:hint="eastAsia" w:ascii="仿宋_GB2312" w:eastAsia="仿宋_GB2312"/>
          <w:kern w:val="0"/>
          <w:sz w:val="28"/>
        </w:rPr>
        <w:t>月</w:t>
      </w:r>
      <w:r>
        <w:rPr>
          <w:rFonts w:hint="eastAsia" w:ascii="仿宋_GB2312" w:eastAsia="仿宋_GB2312"/>
          <w:kern w:val="0"/>
          <w:sz w:val="28"/>
          <w:u w:val="single"/>
          <w:lang w:val="en-US" w:eastAsia="zh-CN"/>
        </w:rPr>
        <w:t xml:space="preserve"> 16 </w:t>
      </w:r>
      <w:r>
        <w:rPr>
          <w:rFonts w:hint="eastAsia" w:ascii="仿宋_GB2312" w:eastAsia="仿宋_GB2312"/>
          <w:kern w:val="0"/>
          <w:sz w:val="28"/>
        </w:rPr>
        <w:t>日</w:t>
      </w:r>
      <w:bookmarkEnd w:id="0"/>
      <w:r>
        <w:rPr>
          <w:rFonts w:hint="eastAsia" w:ascii="仿宋_GB2312" w:eastAsia="仿宋_GB2312"/>
          <w:kern w:val="0"/>
          <w:sz w:val="28"/>
        </w:rPr>
        <w:t>在汕头建筑信息网</w:t>
      </w:r>
      <w:r>
        <w:rPr>
          <w:rFonts w:hint="eastAsia" w:ascii="仿宋_GB2312" w:eastAsia="仿宋_GB2312"/>
          <w:kern w:val="0"/>
          <w:sz w:val="28"/>
          <w:lang w:eastAsia="zh-CN"/>
        </w:rPr>
        <w:t>、广东招标投标监管网、《民中建建安建筑工程（深圳）有限公司</w:t>
      </w:r>
      <w:r>
        <w:rPr>
          <w:rFonts w:hint="eastAsia" w:ascii="仿宋_GB2312" w:eastAsia="仿宋_GB2312"/>
          <w:kern w:val="0"/>
          <w:sz w:val="28"/>
        </w:rPr>
        <w:t>分，</w:t>
      </w:r>
      <w:r>
        <w:rPr>
          <w:rFonts w:hint="eastAsia" w:ascii="仿宋_GB2312" w:eastAsia="仿宋_GB2312"/>
          <w:kern w:val="0"/>
          <w:sz w:val="28"/>
          <w:highlight w:val="none"/>
        </w:rPr>
        <w:t>共有</w:t>
      </w:r>
      <w:r>
        <w:rPr>
          <w:rFonts w:hint="eastAsia" w:ascii="仿宋_GB2312" w:eastAsia="仿宋_GB2312"/>
          <w:kern w:val="0"/>
          <w:sz w:val="28"/>
          <w:highlight w:val="none"/>
          <w:u w:val="single"/>
        </w:rPr>
        <w:t xml:space="preserve"> </w:t>
      </w:r>
      <w:r>
        <w:rPr>
          <w:rFonts w:hint="eastAsia" w:ascii="仿宋_GB2312" w:eastAsia="仿宋_GB2312"/>
          <w:kern w:val="0"/>
          <w:sz w:val="28"/>
          <w:highlight w:val="none"/>
          <w:u w:val="single"/>
          <w:lang w:val="en-US" w:eastAsia="zh-CN"/>
        </w:rPr>
        <w:t xml:space="preserve">153 </w:t>
      </w:r>
      <w:r>
        <w:rPr>
          <w:rFonts w:hint="eastAsia" w:ascii="仿宋_GB2312" w:eastAsia="仿宋_GB2312"/>
          <w:kern w:val="0"/>
          <w:sz w:val="28"/>
          <w:highlight w:val="none"/>
        </w:rPr>
        <w:t>家投</w:t>
      </w:r>
      <w:r>
        <w:rPr>
          <w:rFonts w:hint="eastAsia" w:ascii="仿宋_GB2312" w:eastAsia="仿宋_GB2312"/>
          <w:kern w:val="0"/>
          <w:sz w:val="28"/>
        </w:rPr>
        <w:t>标人递交了投标文件。抽签会于</w:t>
      </w:r>
      <w:r>
        <w:rPr>
          <w:rFonts w:hint="eastAsia" w:ascii="仿宋_GB2312" w:eastAsia="仿宋_GB2312"/>
          <w:kern w:val="0"/>
          <w:sz w:val="28"/>
          <w:u w:val="single"/>
        </w:rPr>
        <w:t xml:space="preserve"> </w:t>
      </w:r>
      <w:r>
        <w:rPr>
          <w:rFonts w:hint="eastAsia" w:ascii="仿宋_GB2312" w:eastAsia="仿宋_GB2312"/>
          <w:kern w:val="0"/>
          <w:sz w:val="28"/>
          <w:u w:val="single"/>
          <w:lang w:val="en-US" w:eastAsia="zh-CN"/>
        </w:rPr>
        <w:t>2018</w:t>
      </w:r>
      <w:r>
        <w:rPr>
          <w:rFonts w:hint="eastAsia" w:ascii="仿宋_GB2312" w:eastAsia="仿宋_GB2312"/>
          <w:kern w:val="0"/>
          <w:sz w:val="28"/>
          <w:u w:val="single"/>
        </w:rPr>
        <w:t xml:space="preserve"> </w:t>
      </w:r>
      <w:r>
        <w:rPr>
          <w:rFonts w:hint="eastAsia" w:ascii="仿宋_GB2312" w:eastAsia="仿宋_GB2312"/>
          <w:kern w:val="0"/>
          <w:sz w:val="28"/>
        </w:rPr>
        <w:t>年</w:t>
      </w:r>
      <w:r>
        <w:rPr>
          <w:rFonts w:hint="eastAsia" w:ascii="仿宋_GB2312" w:eastAsia="仿宋_GB2312"/>
          <w:kern w:val="0"/>
          <w:sz w:val="28"/>
          <w:u w:val="single"/>
        </w:rPr>
        <w:t xml:space="preserve"> </w:t>
      </w:r>
      <w:r>
        <w:rPr>
          <w:rFonts w:hint="eastAsia" w:ascii="仿宋_GB2312" w:eastAsia="仿宋_GB2312"/>
          <w:kern w:val="0"/>
          <w:sz w:val="28"/>
          <w:u w:val="single"/>
          <w:lang w:val="en-US" w:eastAsia="zh-CN"/>
        </w:rPr>
        <w:t xml:space="preserve"> 5 </w:t>
      </w:r>
      <w:r>
        <w:rPr>
          <w:rFonts w:hint="eastAsia" w:ascii="仿宋_GB2312" w:eastAsia="仿宋_GB2312"/>
          <w:kern w:val="0"/>
          <w:sz w:val="28"/>
        </w:rPr>
        <w:t>月</w:t>
      </w:r>
      <w:r>
        <w:rPr>
          <w:rFonts w:hint="eastAsia" w:ascii="仿宋_GB2312" w:eastAsia="仿宋_GB2312"/>
          <w:kern w:val="0"/>
          <w:sz w:val="28"/>
          <w:u w:val="single"/>
          <w:lang w:val="en-US" w:eastAsia="zh-CN"/>
        </w:rPr>
        <w:t xml:space="preserve"> 9 </w:t>
      </w:r>
      <w:r>
        <w:rPr>
          <w:rFonts w:hint="eastAsia" w:ascii="仿宋_GB2312" w:eastAsia="仿宋_GB2312"/>
          <w:kern w:val="0"/>
          <w:sz w:val="28"/>
        </w:rPr>
        <w:t>日上午</w:t>
      </w:r>
      <w:r>
        <w:rPr>
          <w:rFonts w:hint="eastAsia" w:ascii="仿宋_GB2312" w:eastAsia="仿宋_GB2312"/>
          <w:kern w:val="0"/>
          <w:sz w:val="28"/>
          <w:u w:val="single"/>
          <w:lang w:val="en-US" w:eastAsia="zh-CN"/>
        </w:rPr>
        <w:t xml:space="preserve"> 10 </w:t>
      </w:r>
      <w:r>
        <w:rPr>
          <w:rFonts w:hint="eastAsia" w:ascii="仿宋_GB2312" w:eastAsia="仿宋_GB2312"/>
          <w:kern w:val="0"/>
          <w:sz w:val="28"/>
        </w:rPr>
        <w:t>时</w:t>
      </w:r>
      <w:r>
        <w:rPr>
          <w:rFonts w:hint="eastAsia" w:ascii="仿宋_GB2312" w:eastAsia="仿宋_GB2312"/>
          <w:kern w:val="0"/>
          <w:sz w:val="28"/>
          <w:u w:val="single"/>
          <w:lang w:val="en-US" w:eastAsia="zh-CN"/>
        </w:rPr>
        <w:t xml:space="preserve"> 30 </w:t>
      </w:r>
      <w:r>
        <w:rPr>
          <w:rFonts w:hint="eastAsia" w:ascii="仿宋_GB2312" w:eastAsia="仿宋_GB2312"/>
          <w:kern w:val="0"/>
          <w:sz w:val="28"/>
        </w:rPr>
        <w:t>分在</w:t>
      </w:r>
      <w:r>
        <w:rPr>
          <w:rFonts w:hint="eastAsia" w:ascii="仿宋_GB2312" w:eastAsia="仿宋_GB2312"/>
          <w:kern w:val="0"/>
          <w:sz w:val="28"/>
          <w:lang w:eastAsia="zh-CN"/>
        </w:rPr>
        <w:t>汕头市公共资源交易中心南澳分中心</w:t>
      </w:r>
      <w:r>
        <w:rPr>
          <w:rFonts w:hint="eastAsia" w:ascii="仿宋_GB2312" w:eastAsia="仿宋_GB2312"/>
          <w:kern w:val="0"/>
          <w:sz w:val="28"/>
          <w:highlight w:val="none"/>
        </w:rPr>
        <w:t>举行。通过随机抽签的方式确定</w:t>
      </w:r>
      <w:r>
        <w:rPr>
          <w:rFonts w:hint="eastAsia" w:ascii="仿宋_GB2312" w:eastAsia="仿宋_GB2312"/>
          <w:kern w:val="0"/>
          <w:sz w:val="28"/>
          <w:highlight w:val="none"/>
          <w:lang w:eastAsia="zh-CN"/>
        </w:rPr>
        <w:t>入围的</w:t>
      </w:r>
      <w:r>
        <w:rPr>
          <w:rFonts w:hint="eastAsia" w:ascii="仿宋_GB2312" w:eastAsia="仿宋_GB2312"/>
          <w:kern w:val="0"/>
          <w:sz w:val="28"/>
          <w:highlight w:val="none"/>
        </w:rPr>
        <w:t>十二家正式投标单位，名单为：</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rPr>
      </w:pPr>
      <w:r>
        <w:rPr>
          <w:rFonts w:hint="eastAsia" w:ascii="仿宋_GB2312" w:eastAsia="仿宋_GB2312"/>
          <w:kern w:val="0"/>
          <w:sz w:val="28"/>
        </w:rPr>
        <w:t>1、深圳市科建建设工程有限公司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r>
        <w:rPr>
          <w:rFonts w:hint="eastAsia" w:ascii="仿宋_GB2312" w:eastAsia="仿宋_GB2312"/>
          <w:kern w:val="0"/>
          <w:sz w:val="28"/>
          <w:lang w:val="en-US" w:eastAsia="zh-CN"/>
        </w:rPr>
        <w:t>2、深圳潮阳建筑工程公司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r>
        <w:rPr>
          <w:rFonts w:hint="eastAsia" w:ascii="仿宋_GB2312" w:eastAsia="仿宋_GB2312"/>
          <w:kern w:val="0"/>
          <w:sz w:val="28"/>
          <w:lang w:val="en-US" w:eastAsia="zh-CN"/>
        </w:rPr>
        <w:t>3、深圳市盛业达建设工程有限公司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r>
        <w:rPr>
          <w:rFonts w:hint="eastAsia" w:ascii="仿宋_GB2312" w:eastAsia="仿宋_GB2312"/>
          <w:kern w:val="0"/>
          <w:sz w:val="28"/>
          <w:lang w:val="en-US" w:eastAsia="zh-CN"/>
        </w:rPr>
        <w:t>4、广东大禹水利建设有限公司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r>
        <w:rPr>
          <w:rFonts w:hint="eastAsia" w:ascii="仿宋_GB2312" w:eastAsia="仿宋_GB2312"/>
          <w:kern w:val="0"/>
          <w:sz w:val="28"/>
          <w:lang w:val="en-US" w:eastAsia="zh-CN"/>
        </w:rPr>
        <w:t>5、广东宏诚建基建设工程有限公司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r>
        <w:rPr>
          <w:rFonts w:hint="eastAsia" w:ascii="仿宋_GB2312" w:eastAsia="仿宋_GB2312"/>
          <w:kern w:val="0"/>
          <w:sz w:val="28"/>
          <w:lang w:val="en-US" w:eastAsia="zh-CN"/>
        </w:rPr>
        <w:t>6、广东东晟建设工程有限公司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r>
        <w:rPr>
          <w:rFonts w:hint="eastAsia" w:ascii="仿宋_GB2312" w:eastAsia="仿宋_GB2312"/>
          <w:kern w:val="0"/>
          <w:sz w:val="28"/>
          <w:lang w:val="en-US" w:eastAsia="zh-CN"/>
        </w:rPr>
        <w:t>7、深圳市中润达建筑工程有限公司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r>
        <w:rPr>
          <w:rFonts w:hint="eastAsia" w:ascii="仿宋_GB2312" w:eastAsia="仿宋_GB2312"/>
          <w:kern w:val="0"/>
          <w:sz w:val="28"/>
          <w:lang w:val="en-US" w:eastAsia="zh-CN"/>
        </w:rPr>
        <w:t>8、中建建安建筑工程（深圳）有限公司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r>
        <w:rPr>
          <w:rFonts w:hint="eastAsia" w:ascii="仿宋_GB2312" w:eastAsia="仿宋_GB2312"/>
          <w:kern w:val="0"/>
          <w:sz w:val="28"/>
          <w:lang w:val="en-US" w:eastAsia="zh-CN"/>
        </w:rPr>
        <w:t>9、深圳市宏峰建设工程有限公司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r>
        <w:rPr>
          <w:rFonts w:hint="eastAsia" w:ascii="仿宋_GB2312" w:eastAsia="仿宋_GB2312"/>
          <w:kern w:val="0"/>
          <w:sz w:val="28"/>
          <w:lang w:val="en-US" w:eastAsia="zh-CN"/>
        </w:rPr>
        <w:t>10、广东科服建设工程有限公司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r>
        <w:rPr>
          <w:rFonts w:hint="eastAsia" w:ascii="仿宋_GB2312" w:eastAsia="仿宋_GB2312"/>
          <w:kern w:val="0"/>
          <w:sz w:val="28"/>
          <w:lang w:val="en-US" w:eastAsia="zh-CN"/>
        </w:rPr>
        <w:t>11、深圳市煌城建筑工程有限公司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r>
        <w:rPr>
          <w:rFonts w:hint="eastAsia" w:ascii="仿宋_GB2312" w:eastAsia="仿宋_GB2312"/>
          <w:kern w:val="0"/>
          <w:sz w:val="28"/>
          <w:lang w:val="en-US" w:eastAsia="zh-CN"/>
        </w:rPr>
        <w:t>12、汕头市金平区金园南潮市政管道工程有限公司</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left="0" w:leftChars="0" w:right="0" w:rightChars="0" w:firstLine="560" w:firstLineChars="200"/>
        <w:jc w:val="both"/>
        <w:textAlignment w:val="auto"/>
        <w:outlineLvl w:val="9"/>
        <w:rPr>
          <w:rFonts w:hint="eastAsia" w:ascii="仿宋_GB2312" w:eastAsia="仿宋_GB2312"/>
          <w:kern w:val="0"/>
          <w:sz w:val="28"/>
          <w:lang w:val="en-US" w:eastAsia="zh-CN"/>
        </w:rPr>
      </w:pP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right="0" w:rightChars="0"/>
        <w:jc w:val="left"/>
        <w:textAlignment w:val="auto"/>
        <w:outlineLvl w:val="0"/>
        <w:rPr>
          <w:rFonts w:hint="eastAsia" w:ascii="仿宋_GB2312" w:eastAsia="仿宋_GB2312"/>
          <w:b/>
          <w:kern w:val="0"/>
          <w:sz w:val="30"/>
        </w:rPr>
      </w:pPr>
      <w:r>
        <w:rPr>
          <w:rFonts w:hint="eastAsia" w:ascii="仿宋_GB2312" w:eastAsia="仿宋_GB2312"/>
          <w:b/>
          <w:kern w:val="0"/>
          <w:sz w:val="30"/>
        </w:rPr>
        <w:t>三、评标过程及情况</w:t>
      </w:r>
    </w:p>
    <w:p>
      <w:pPr>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leftChars="0" w:right="0" w:rightChars="0" w:firstLine="560" w:firstLineChars="200"/>
        <w:jc w:val="left"/>
        <w:textAlignment w:val="auto"/>
        <w:rPr>
          <w:rFonts w:hint="eastAsia" w:ascii="仿宋_GB2312" w:hAnsi="宋体" w:eastAsia="仿宋_GB2312"/>
          <w:sz w:val="28"/>
        </w:rPr>
      </w:pPr>
      <w:r>
        <w:rPr>
          <w:rFonts w:hint="eastAsia" w:ascii="仿宋_GB2312" w:hAnsi="宋体" w:eastAsia="仿宋_GB2312"/>
          <w:sz w:val="28"/>
        </w:rPr>
        <w:t>本工程评标于</w:t>
      </w:r>
      <w:r>
        <w:rPr>
          <w:rFonts w:hint="eastAsia" w:ascii="仿宋_GB2312" w:hAnsi="宋体" w:eastAsia="仿宋_GB2312"/>
          <w:sz w:val="28"/>
          <w:u w:val="single"/>
        </w:rPr>
        <w:t>201</w:t>
      </w:r>
      <w:r>
        <w:rPr>
          <w:rFonts w:hint="eastAsia" w:ascii="仿宋_GB2312" w:hAnsi="宋体" w:eastAsia="仿宋_GB2312"/>
          <w:sz w:val="28"/>
          <w:u w:val="single"/>
          <w:lang w:val="en-US" w:eastAsia="zh-CN"/>
        </w:rPr>
        <w:t>8</w:t>
      </w:r>
      <w:r>
        <w:rPr>
          <w:rFonts w:hint="eastAsia" w:ascii="仿宋_GB2312" w:eastAsia="仿宋_GB2312"/>
          <w:kern w:val="0"/>
          <w:sz w:val="28"/>
          <w:u w:val="single"/>
        </w:rPr>
        <w:t xml:space="preserve"> </w:t>
      </w:r>
      <w:r>
        <w:rPr>
          <w:rFonts w:hint="eastAsia" w:ascii="仿宋_GB2312" w:eastAsia="仿宋_GB2312"/>
          <w:kern w:val="0"/>
          <w:sz w:val="28"/>
        </w:rPr>
        <w:t>年</w:t>
      </w:r>
      <w:r>
        <w:rPr>
          <w:rFonts w:hint="eastAsia" w:ascii="仿宋_GB2312" w:eastAsia="仿宋_GB2312"/>
          <w:kern w:val="0"/>
          <w:sz w:val="28"/>
          <w:u w:val="single"/>
        </w:rPr>
        <w:t xml:space="preserve"> </w:t>
      </w:r>
      <w:r>
        <w:rPr>
          <w:rFonts w:hint="eastAsia" w:ascii="仿宋_GB2312" w:eastAsia="仿宋_GB2312"/>
          <w:kern w:val="0"/>
          <w:sz w:val="28"/>
          <w:u w:val="single"/>
          <w:lang w:val="en-US" w:eastAsia="zh-CN"/>
        </w:rPr>
        <w:t>5</w:t>
      </w:r>
      <w:r>
        <w:rPr>
          <w:rFonts w:hint="eastAsia" w:ascii="仿宋_GB2312" w:eastAsia="仿宋_GB2312"/>
          <w:kern w:val="0"/>
          <w:sz w:val="28"/>
          <w:u w:val="single"/>
        </w:rPr>
        <w:t xml:space="preserve"> </w:t>
      </w:r>
      <w:r>
        <w:rPr>
          <w:rFonts w:hint="eastAsia" w:ascii="仿宋_GB2312" w:eastAsia="仿宋_GB2312"/>
          <w:kern w:val="0"/>
          <w:sz w:val="28"/>
        </w:rPr>
        <w:t>月</w:t>
      </w:r>
      <w:r>
        <w:rPr>
          <w:rFonts w:hint="eastAsia" w:ascii="仿宋_GB2312" w:eastAsia="仿宋_GB2312"/>
          <w:kern w:val="0"/>
          <w:sz w:val="28"/>
          <w:u w:val="single"/>
        </w:rPr>
        <w:t xml:space="preserve"> </w:t>
      </w:r>
      <w:r>
        <w:rPr>
          <w:rFonts w:hint="eastAsia" w:ascii="仿宋_GB2312" w:eastAsia="仿宋_GB2312"/>
          <w:kern w:val="0"/>
          <w:sz w:val="28"/>
          <w:u w:val="single"/>
          <w:lang w:val="en-US" w:eastAsia="zh-CN"/>
        </w:rPr>
        <w:t>9</w:t>
      </w:r>
      <w:r>
        <w:rPr>
          <w:rFonts w:hint="eastAsia" w:ascii="仿宋_GB2312" w:eastAsia="仿宋_GB2312"/>
          <w:kern w:val="0"/>
          <w:sz w:val="28"/>
          <w:u w:val="single"/>
        </w:rPr>
        <w:t xml:space="preserve"> </w:t>
      </w:r>
      <w:r>
        <w:rPr>
          <w:rFonts w:hint="eastAsia" w:ascii="仿宋_GB2312" w:eastAsia="仿宋_GB2312"/>
          <w:kern w:val="0"/>
          <w:sz w:val="28"/>
        </w:rPr>
        <w:t>日</w:t>
      </w:r>
      <w:r>
        <w:rPr>
          <w:rFonts w:hint="eastAsia" w:ascii="仿宋_GB2312" w:hAnsi="宋体" w:eastAsia="仿宋_GB2312"/>
          <w:color w:val="auto"/>
          <w:sz w:val="28"/>
          <w:lang w:val="en-US" w:eastAsia="zh-CN"/>
        </w:rPr>
        <w:t>12:00</w:t>
      </w:r>
      <w:r>
        <w:rPr>
          <w:rFonts w:hint="eastAsia" w:ascii="仿宋_GB2312" w:hAnsi="宋体" w:eastAsia="仿宋_GB2312"/>
          <w:color w:val="auto"/>
          <w:sz w:val="28"/>
          <w:highlight w:val="none"/>
        </w:rPr>
        <w:t>时至</w:t>
      </w:r>
      <w:r>
        <w:rPr>
          <w:rFonts w:hint="eastAsia" w:ascii="仿宋_GB2312" w:hAnsi="宋体" w:eastAsia="仿宋_GB2312"/>
          <w:color w:val="auto"/>
          <w:sz w:val="28"/>
          <w:highlight w:val="none"/>
          <w:lang w:val="en-US" w:eastAsia="zh-CN"/>
        </w:rPr>
        <w:t>15：30</w:t>
      </w:r>
      <w:r>
        <w:rPr>
          <w:rFonts w:hint="eastAsia" w:ascii="仿宋_GB2312" w:hAnsi="宋体" w:eastAsia="仿宋_GB2312"/>
          <w:color w:val="auto"/>
          <w:sz w:val="28"/>
          <w:highlight w:val="none"/>
        </w:rPr>
        <w:t>时</w:t>
      </w:r>
      <w:r>
        <w:rPr>
          <w:rFonts w:hint="eastAsia" w:ascii="仿宋_GB2312" w:hAnsi="宋体" w:eastAsia="仿宋_GB2312"/>
          <w:sz w:val="28"/>
          <w:highlight w:val="none"/>
        </w:rPr>
        <w:t>在</w:t>
      </w:r>
      <w:r>
        <w:rPr>
          <w:rFonts w:hint="eastAsia" w:ascii="仿宋_GB2312" w:hAnsi="宋体" w:eastAsia="仿宋_GB2312"/>
          <w:sz w:val="28"/>
          <w:highlight w:val="none"/>
          <w:lang w:eastAsia="zh-CN"/>
        </w:rPr>
        <w:t>汕头市公共资源交易中心南澳分中心</w:t>
      </w:r>
      <w:r>
        <w:rPr>
          <w:rFonts w:hint="eastAsia" w:ascii="仿宋_GB2312" w:hAnsi="宋体" w:eastAsia="仿宋_GB2312"/>
          <w:sz w:val="28"/>
        </w:rPr>
        <w:t>评标室进行评标活动。评标委员会由7名专家组成，全部在广东省综合评标评审专家库随机抽取产生</w:t>
      </w:r>
      <w:r>
        <w:rPr>
          <w:rFonts w:hint="eastAsia" w:ascii="仿宋_GB2312" w:hAnsi="宋体" w:eastAsia="仿宋_GB2312"/>
          <w:sz w:val="28"/>
          <w:lang w:eastAsia="zh-CN"/>
        </w:rPr>
        <w:t>。</w:t>
      </w:r>
    </w:p>
    <w:p>
      <w:pPr>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leftChars="0" w:right="0" w:rightChars="0" w:firstLine="560" w:firstLineChars="200"/>
        <w:jc w:val="left"/>
        <w:textAlignment w:val="auto"/>
        <w:rPr>
          <w:rFonts w:hint="eastAsia" w:ascii="仿宋_GB2312" w:hAnsi="宋体" w:eastAsia="仿宋_GB2312"/>
          <w:sz w:val="28"/>
        </w:rPr>
      </w:pPr>
      <w:r>
        <w:rPr>
          <w:rFonts w:hint="eastAsia" w:ascii="仿宋_GB2312" w:hAnsi="宋体" w:eastAsia="仿宋_GB2312"/>
          <w:sz w:val="28"/>
        </w:rPr>
        <w:t>评审程序分为</w:t>
      </w:r>
      <w:r>
        <w:rPr>
          <w:rFonts w:hint="eastAsia" w:ascii="仿宋_GB2312" w:hAnsi="宋体" w:eastAsia="仿宋_GB2312"/>
          <w:sz w:val="28"/>
          <w:lang w:eastAsia="zh-CN"/>
        </w:rPr>
        <w:t>投标文件资格评审、响应性评审、详细评审</w:t>
      </w:r>
      <w:r>
        <w:rPr>
          <w:rFonts w:hint="eastAsia" w:ascii="仿宋_GB2312" w:hAnsi="宋体" w:eastAsia="仿宋_GB2312"/>
          <w:sz w:val="28"/>
        </w:rPr>
        <w:t>。</w:t>
      </w:r>
    </w:p>
    <w:p>
      <w:pPr>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leftChars="0" w:right="0" w:rightChars="0" w:firstLine="560" w:firstLineChars="200"/>
        <w:jc w:val="left"/>
        <w:textAlignment w:val="auto"/>
        <w:outlineLvl w:val="0"/>
        <w:rPr>
          <w:rFonts w:hint="eastAsia" w:ascii="仿宋_GB2312" w:hAnsi="宋体" w:eastAsia="仿宋_GB2312"/>
          <w:sz w:val="28"/>
          <w:highlight w:val="none"/>
        </w:rPr>
      </w:pPr>
      <w:r>
        <w:rPr>
          <w:rFonts w:hint="eastAsia" w:ascii="仿宋_GB2312" w:hAnsi="宋体" w:eastAsia="仿宋_GB2312"/>
          <w:sz w:val="28"/>
          <w:highlight w:val="none"/>
          <w:lang w:eastAsia="zh-CN"/>
        </w:rPr>
        <w:t>资格评审情况</w:t>
      </w:r>
      <w:r>
        <w:rPr>
          <w:rFonts w:hint="eastAsia" w:ascii="仿宋_GB2312" w:hAnsi="宋体" w:eastAsia="仿宋_GB2312"/>
          <w:sz w:val="28"/>
          <w:highlight w:val="none"/>
        </w:rPr>
        <w:t>：</w:t>
      </w:r>
      <w:r>
        <w:rPr>
          <w:rFonts w:hint="eastAsia" w:ascii="仿宋_GB2312" w:hAnsi="宋体" w:eastAsia="仿宋_GB2312"/>
          <w:sz w:val="28"/>
          <w:highlight w:val="none"/>
          <w:lang w:val="en-US" w:eastAsia="zh-CN"/>
        </w:rPr>
        <w:t>经</w:t>
      </w:r>
      <w:r>
        <w:rPr>
          <w:rFonts w:hint="eastAsia" w:ascii="仿宋_GB2312" w:hAnsi="宋体" w:eastAsia="仿宋_GB2312"/>
          <w:sz w:val="28"/>
        </w:rPr>
        <w:t>评标委员会</w:t>
      </w:r>
      <w:r>
        <w:rPr>
          <w:rFonts w:hint="eastAsia" w:ascii="仿宋_GB2312" w:hAnsi="宋体" w:eastAsia="仿宋_GB2312"/>
          <w:sz w:val="28"/>
          <w:lang w:val="en-US" w:eastAsia="zh-CN"/>
        </w:rPr>
        <w:t>评审，12家入围投标单位资格评审全部合格。</w:t>
      </w:r>
    </w:p>
    <w:p>
      <w:pPr>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leftChars="0" w:right="0" w:rightChars="0" w:firstLine="560" w:firstLineChars="200"/>
        <w:jc w:val="left"/>
        <w:textAlignment w:val="auto"/>
        <w:outlineLvl w:val="0"/>
        <w:rPr>
          <w:rFonts w:hint="eastAsia" w:ascii="仿宋_GB2312" w:hAnsi="宋体" w:eastAsia="仿宋_GB2312"/>
          <w:sz w:val="28"/>
          <w:lang w:val="en-US" w:eastAsia="zh-CN"/>
        </w:rPr>
      </w:pPr>
      <w:r>
        <w:rPr>
          <w:rFonts w:hint="eastAsia" w:ascii="仿宋_GB2312" w:hAnsi="宋体" w:eastAsia="仿宋_GB2312"/>
          <w:sz w:val="28"/>
          <w:highlight w:val="none"/>
          <w:lang w:eastAsia="zh-CN"/>
        </w:rPr>
        <w:t>响应性评审情况：</w:t>
      </w:r>
      <w:r>
        <w:rPr>
          <w:rFonts w:hint="eastAsia" w:ascii="仿宋_GB2312" w:hAnsi="宋体" w:eastAsia="仿宋_GB2312"/>
          <w:sz w:val="28"/>
          <w:highlight w:val="none"/>
          <w:lang w:val="en-US" w:eastAsia="zh-CN"/>
        </w:rPr>
        <w:t>经</w:t>
      </w:r>
      <w:r>
        <w:rPr>
          <w:rFonts w:hint="eastAsia" w:ascii="仿宋_GB2312" w:hAnsi="宋体" w:eastAsia="仿宋_GB2312"/>
          <w:sz w:val="28"/>
        </w:rPr>
        <w:t>评标委员会</w:t>
      </w:r>
      <w:r>
        <w:rPr>
          <w:rFonts w:hint="eastAsia" w:ascii="仿宋_GB2312" w:hAnsi="宋体" w:eastAsia="仿宋_GB2312"/>
          <w:sz w:val="28"/>
          <w:lang w:val="en-US" w:eastAsia="zh-CN"/>
        </w:rPr>
        <w:t>评审，12家入围投标单位资格评审全部合格。</w:t>
      </w:r>
    </w:p>
    <w:p>
      <w:pPr>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leftChars="0" w:right="0" w:rightChars="0" w:firstLine="560" w:firstLineChars="200"/>
        <w:jc w:val="left"/>
        <w:textAlignment w:val="auto"/>
        <w:outlineLvl w:val="0"/>
        <w:rPr>
          <w:rFonts w:hint="eastAsia" w:ascii="仿宋_GB2312" w:hAnsi="宋体" w:eastAsia="仿宋_GB2312"/>
          <w:sz w:val="28"/>
          <w:lang w:val="en-US" w:eastAsia="zh-CN"/>
        </w:rPr>
      </w:pPr>
      <w:r>
        <w:rPr>
          <w:rFonts w:hint="eastAsia" w:ascii="仿宋_GB2312" w:hAnsi="宋体" w:eastAsia="仿宋_GB2312"/>
          <w:sz w:val="28"/>
          <w:lang w:val="en-US" w:eastAsia="zh-CN"/>
        </w:rPr>
        <w:t>详细评审情况：</w:t>
      </w:r>
      <w:r>
        <w:rPr>
          <w:rFonts w:hint="eastAsia" w:ascii="仿宋_GB2312" w:hAnsi="宋体" w:eastAsia="仿宋_GB2312"/>
          <w:sz w:val="28"/>
        </w:rPr>
        <w:t>该工程采用优化“二次加权平均评标法”</w:t>
      </w:r>
      <w:r>
        <w:rPr>
          <w:rFonts w:hint="eastAsia" w:ascii="仿宋_GB2312" w:hAnsi="宋体" w:eastAsia="仿宋_GB2312"/>
          <w:sz w:val="28"/>
          <w:lang w:eastAsia="zh-CN"/>
        </w:rPr>
        <w:t>。</w:t>
      </w:r>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left="0" w:leftChars="0" w:right="0" w:rightChars="0" w:firstLine="560" w:firstLineChars="200"/>
        <w:jc w:val="left"/>
        <w:textAlignment w:val="auto"/>
        <w:outlineLvl w:val="0"/>
        <w:rPr>
          <w:rFonts w:hint="eastAsia" w:ascii="仿宋_GB2312" w:hAnsi="宋体" w:eastAsia="仿宋_GB2312"/>
          <w:sz w:val="28"/>
          <w:highlight w:val="red"/>
          <w:lang w:eastAsia="zh-CN"/>
        </w:rPr>
      </w:pPr>
      <w:bookmarkStart w:id="1" w:name="_GoBack"/>
      <w:bookmarkEnd w:id="1"/>
    </w:p>
    <w:p>
      <w:pPr>
        <w:keepNext w:val="0"/>
        <w:keepLines w:val="0"/>
        <w:pageBreakBefore w:val="0"/>
        <w:widowControl/>
        <w:kinsoku/>
        <w:wordWrap/>
        <w:overflowPunct/>
        <w:topLinePunct w:val="0"/>
        <w:autoSpaceDE/>
        <w:autoSpaceDN/>
        <w:bidi w:val="0"/>
        <w:adjustRightInd/>
        <w:snapToGrid w:val="0"/>
        <w:spacing w:beforeAutospacing="0" w:afterAutospacing="0" w:line="360" w:lineRule="auto"/>
        <w:ind w:right="0" w:rightChars="0"/>
        <w:jc w:val="left"/>
        <w:textAlignment w:val="auto"/>
        <w:outlineLvl w:val="0"/>
        <w:rPr>
          <w:rFonts w:hint="eastAsia" w:ascii="仿宋_GB2312" w:eastAsia="仿宋_GB2312"/>
          <w:b/>
          <w:kern w:val="0"/>
          <w:sz w:val="30"/>
        </w:rPr>
      </w:pPr>
      <w:r>
        <w:rPr>
          <w:rFonts w:hint="eastAsia" w:ascii="仿宋_GB2312" w:eastAsia="仿宋_GB2312"/>
          <w:b/>
          <w:kern w:val="0"/>
          <w:sz w:val="30"/>
        </w:rPr>
        <w:t>四、评标结果</w:t>
      </w:r>
    </w:p>
    <w:p>
      <w:pPr>
        <w:keepNext w:val="0"/>
        <w:keepLines w:val="0"/>
        <w:pageBreakBefore w:val="0"/>
        <w:widowControl/>
        <w:kinsoku/>
        <w:wordWrap/>
        <w:overflowPunct/>
        <w:topLinePunct w:val="0"/>
        <w:autoSpaceDE/>
        <w:autoSpaceDN/>
        <w:bidi w:val="0"/>
        <w:adjustRightInd/>
        <w:snapToGrid w:val="0"/>
        <w:spacing w:beforeAutospacing="0" w:afterAutospacing="0" w:line="500" w:lineRule="atLeast"/>
        <w:ind w:left="0" w:leftChars="0" w:right="0" w:rightChars="0" w:firstLine="600" w:firstLineChars="200"/>
        <w:jc w:val="left"/>
        <w:textAlignment w:val="auto"/>
        <w:outlineLvl w:val="9"/>
        <w:rPr>
          <w:rFonts w:hint="eastAsia" w:ascii="仿宋_GB2312" w:eastAsia="仿宋_GB2312"/>
          <w:kern w:val="0"/>
          <w:sz w:val="30"/>
        </w:rPr>
      </w:pPr>
      <w:r>
        <w:rPr>
          <w:rFonts w:hint="eastAsia" w:ascii="仿宋_GB2312" w:eastAsia="仿宋_GB2312"/>
          <w:kern w:val="0"/>
          <w:sz w:val="30"/>
        </w:rPr>
        <w:t>评标委员会对评审结果进行确认后，按照招标文件约定的方法对中标候选人进行排序如下：</w:t>
      </w:r>
    </w:p>
    <w:p>
      <w:pPr>
        <w:keepNext w:val="0"/>
        <w:keepLines w:val="0"/>
        <w:pageBreakBefore w:val="0"/>
        <w:kinsoku/>
        <w:wordWrap/>
        <w:overflowPunct/>
        <w:topLinePunct w:val="0"/>
        <w:autoSpaceDE/>
        <w:autoSpaceDN/>
        <w:bidi w:val="0"/>
        <w:adjustRightInd/>
        <w:spacing w:beforeAutospacing="0" w:afterAutospacing="0" w:line="500" w:lineRule="atLeast"/>
        <w:ind w:left="0" w:leftChars="0" w:right="0" w:rightChars="0" w:firstLine="560" w:firstLineChars="200"/>
        <w:textAlignment w:val="auto"/>
        <w:outlineLvl w:val="9"/>
        <w:rPr>
          <w:rFonts w:hint="eastAsia" w:ascii="仿宋_GB2312" w:eastAsia="仿宋_GB2312"/>
          <w:kern w:val="0"/>
          <w:sz w:val="28"/>
          <w:lang w:val="en-US" w:eastAsia="zh-CN"/>
        </w:rPr>
      </w:pPr>
      <w:r>
        <w:rPr>
          <w:rFonts w:hint="eastAsia" w:ascii="仿宋_GB2312" w:eastAsia="仿宋_GB2312"/>
          <w:kern w:val="0"/>
          <w:sz w:val="28"/>
        </w:rPr>
        <w:t>第一中标候选人：</w:t>
      </w:r>
      <w:r>
        <w:rPr>
          <w:rFonts w:hint="eastAsia" w:ascii="仿宋_GB2312" w:eastAsia="仿宋_GB2312"/>
          <w:kern w:val="0"/>
          <w:sz w:val="28"/>
          <w:lang w:val="en-US" w:eastAsia="zh-CN"/>
        </w:rPr>
        <w:t>汕头市金平区金园南潮市政管道工程有限公司</w:t>
      </w:r>
    </w:p>
    <w:p>
      <w:pPr>
        <w:keepNext w:val="0"/>
        <w:keepLines w:val="0"/>
        <w:pageBreakBefore w:val="0"/>
        <w:kinsoku/>
        <w:wordWrap/>
        <w:overflowPunct/>
        <w:topLinePunct w:val="0"/>
        <w:autoSpaceDE/>
        <w:autoSpaceDN/>
        <w:bidi w:val="0"/>
        <w:adjustRightInd/>
        <w:spacing w:beforeAutospacing="0" w:afterAutospacing="0" w:line="500" w:lineRule="atLeast"/>
        <w:ind w:left="0" w:leftChars="0" w:right="0" w:rightChars="0" w:firstLine="2520" w:firstLineChars="900"/>
        <w:textAlignment w:val="auto"/>
        <w:outlineLvl w:val="9"/>
        <w:rPr>
          <w:rFonts w:hint="eastAsia" w:ascii="仿宋_GB2312" w:eastAsia="仿宋_GB2312"/>
          <w:kern w:val="0"/>
          <w:sz w:val="28"/>
        </w:rPr>
      </w:pPr>
      <w:r>
        <w:rPr>
          <w:rFonts w:hint="eastAsia" w:ascii="仿宋_GB2312" w:eastAsia="仿宋_GB2312"/>
          <w:kern w:val="0"/>
          <w:sz w:val="28"/>
        </w:rPr>
        <w:t>（</w:t>
      </w:r>
      <w:r>
        <w:rPr>
          <w:rFonts w:hint="eastAsia" w:ascii="仿宋_GB2312" w:eastAsia="仿宋_GB2312"/>
          <w:kern w:val="0"/>
          <w:sz w:val="28"/>
          <w:lang w:eastAsia="zh-CN"/>
        </w:rPr>
        <w:t>投标报价：3760516</w:t>
      </w:r>
      <w:r>
        <w:rPr>
          <w:rFonts w:hint="eastAsia" w:ascii="仿宋_GB2312" w:eastAsia="仿宋_GB2312"/>
          <w:kern w:val="0"/>
          <w:sz w:val="28"/>
          <w:lang w:val="en-US" w:eastAsia="zh-CN"/>
        </w:rPr>
        <w:t>.00元</w:t>
      </w:r>
      <w:r>
        <w:rPr>
          <w:rFonts w:hint="eastAsia" w:ascii="仿宋_GB2312" w:eastAsia="仿宋_GB2312"/>
          <w:kern w:val="0"/>
          <w:sz w:val="28"/>
        </w:rPr>
        <w:t>）</w:t>
      </w:r>
    </w:p>
    <w:p>
      <w:pPr>
        <w:keepNext w:val="0"/>
        <w:keepLines w:val="0"/>
        <w:pageBreakBefore w:val="0"/>
        <w:kinsoku/>
        <w:wordWrap/>
        <w:overflowPunct/>
        <w:topLinePunct w:val="0"/>
        <w:autoSpaceDE/>
        <w:autoSpaceDN/>
        <w:bidi w:val="0"/>
        <w:adjustRightInd/>
        <w:spacing w:beforeAutospacing="0" w:afterAutospacing="0" w:line="500" w:lineRule="atLeast"/>
        <w:ind w:left="0" w:leftChars="0" w:right="0" w:rightChars="0" w:firstLine="560" w:firstLineChars="200"/>
        <w:textAlignment w:val="auto"/>
        <w:outlineLvl w:val="9"/>
        <w:rPr>
          <w:rFonts w:hint="eastAsia" w:ascii="仿宋_GB2312" w:eastAsia="仿宋_GB2312"/>
          <w:kern w:val="0"/>
          <w:sz w:val="28"/>
          <w:lang w:val="en-US" w:eastAsia="zh-CN"/>
        </w:rPr>
      </w:pPr>
      <w:r>
        <w:rPr>
          <w:rFonts w:hint="eastAsia" w:ascii="仿宋_GB2312" w:eastAsia="仿宋_GB2312"/>
          <w:kern w:val="0"/>
          <w:sz w:val="28"/>
        </w:rPr>
        <w:t>第二中标候选人：</w:t>
      </w:r>
      <w:r>
        <w:rPr>
          <w:rFonts w:hint="eastAsia" w:ascii="仿宋_GB2312" w:eastAsia="仿宋_GB2312"/>
          <w:kern w:val="0"/>
          <w:sz w:val="28"/>
          <w:lang w:val="en-US" w:eastAsia="zh-CN"/>
        </w:rPr>
        <w:t>深圳市中润达建筑工程有限公司</w:t>
      </w:r>
    </w:p>
    <w:p>
      <w:pPr>
        <w:keepNext w:val="0"/>
        <w:keepLines w:val="0"/>
        <w:pageBreakBefore w:val="0"/>
        <w:kinsoku/>
        <w:wordWrap/>
        <w:overflowPunct/>
        <w:topLinePunct w:val="0"/>
        <w:autoSpaceDE/>
        <w:autoSpaceDN/>
        <w:bidi w:val="0"/>
        <w:adjustRightInd/>
        <w:spacing w:beforeAutospacing="0" w:afterAutospacing="0" w:line="500" w:lineRule="atLeast"/>
        <w:ind w:left="0" w:leftChars="0" w:right="0" w:rightChars="0" w:firstLine="2520" w:firstLineChars="900"/>
        <w:textAlignment w:val="auto"/>
        <w:outlineLvl w:val="9"/>
        <w:rPr>
          <w:rFonts w:hint="eastAsia" w:ascii="仿宋_GB2312" w:eastAsia="仿宋_GB2312"/>
          <w:kern w:val="0"/>
          <w:sz w:val="30"/>
        </w:rPr>
      </w:pPr>
      <w:r>
        <w:rPr>
          <w:rFonts w:hint="eastAsia" w:ascii="仿宋_GB2312" w:eastAsia="仿宋_GB2312"/>
          <w:kern w:val="0"/>
          <w:sz w:val="28"/>
        </w:rPr>
        <w:t>（</w:t>
      </w:r>
      <w:r>
        <w:rPr>
          <w:rFonts w:hint="eastAsia" w:ascii="仿宋_GB2312" w:eastAsia="仿宋_GB2312"/>
          <w:kern w:val="0"/>
          <w:sz w:val="28"/>
          <w:lang w:eastAsia="zh-CN"/>
        </w:rPr>
        <w:t>投标报价</w:t>
      </w:r>
      <w:r>
        <w:rPr>
          <w:rFonts w:hint="eastAsia" w:ascii="仿宋_GB2312" w:eastAsia="仿宋_GB2312"/>
          <w:kern w:val="0"/>
          <w:sz w:val="28"/>
          <w:lang w:val="en-US" w:eastAsia="zh-CN"/>
        </w:rPr>
        <w:t>：3759293.07元</w:t>
      </w:r>
      <w:r>
        <w:rPr>
          <w:rFonts w:hint="eastAsia" w:ascii="仿宋_GB2312" w:eastAsia="仿宋_GB2312"/>
          <w:kern w:val="0"/>
          <w:sz w:val="28"/>
        </w:rPr>
        <w:t>）</w:t>
      </w:r>
    </w:p>
    <w:p>
      <w:pPr>
        <w:keepNext w:val="0"/>
        <w:keepLines w:val="0"/>
        <w:pageBreakBefore w:val="0"/>
        <w:widowControl/>
        <w:kinsoku/>
        <w:wordWrap/>
        <w:overflowPunct/>
        <w:topLinePunct w:val="0"/>
        <w:autoSpaceDE/>
        <w:autoSpaceDN/>
        <w:bidi w:val="0"/>
        <w:adjustRightInd/>
        <w:snapToGrid w:val="0"/>
        <w:spacing w:beforeAutospacing="0" w:afterAutospacing="0" w:line="500" w:lineRule="atLeast"/>
        <w:ind w:left="0" w:leftChars="0" w:right="0" w:rightChars="0" w:firstLine="600" w:firstLineChars="200"/>
        <w:jc w:val="left"/>
        <w:textAlignment w:val="auto"/>
        <w:outlineLvl w:val="9"/>
        <w:rPr>
          <w:rFonts w:hint="eastAsia" w:ascii="仿宋_GB2312" w:eastAsia="仿宋_GB2312"/>
          <w:kern w:val="0"/>
          <w:sz w:val="30"/>
        </w:rPr>
      </w:pPr>
    </w:p>
    <w:p>
      <w:pPr>
        <w:keepNext w:val="0"/>
        <w:keepLines w:val="0"/>
        <w:pageBreakBefore w:val="0"/>
        <w:widowControl/>
        <w:kinsoku/>
        <w:wordWrap/>
        <w:overflowPunct/>
        <w:topLinePunct w:val="0"/>
        <w:autoSpaceDE/>
        <w:autoSpaceDN/>
        <w:bidi w:val="0"/>
        <w:adjustRightInd/>
        <w:snapToGrid w:val="0"/>
        <w:spacing w:beforeAutospacing="0" w:afterAutospacing="0" w:line="500" w:lineRule="atLeast"/>
        <w:ind w:left="0" w:leftChars="0" w:right="0" w:rightChars="0" w:firstLine="600" w:firstLineChars="200"/>
        <w:jc w:val="left"/>
        <w:textAlignment w:val="auto"/>
        <w:outlineLvl w:val="9"/>
        <w:rPr>
          <w:rFonts w:hint="eastAsia" w:ascii="仿宋_GB2312" w:eastAsia="仿宋_GB2312"/>
          <w:kern w:val="0"/>
          <w:sz w:val="30"/>
        </w:rPr>
      </w:pPr>
    </w:p>
    <w:p>
      <w:pPr>
        <w:keepNext w:val="0"/>
        <w:keepLines w:val="0"/>
        <w:pageBreakBefore w:val="0"/>
        <w:widowControl/>
        <w:kinsoku/>
        <w:wordWrap/>
        <w:overflowPunct/>
        <w:topLinePunct w:val="0"/>
        <w:autoSpaceDE/>
        <w:autoSpaceDN/>
        <w:bidi w:val="0"/>
        <w:adjustRightInd/>
        <w:snapToGrid w:val="0"/>
        <w:spacing w:beforeAutospacing="0" w:afterAutospacing="0" w:line="500" w:lineRule="atLeast"/>
        <w:ind w:left="0" w:leftChars="0" w:right="0" w:rightChars="0" w:firstLine="600" w:firstLineChars="200"/>
        <w:jc w:val="left"/>
        <w:textAlignment w:val="auto"/>
        <w:outlineLvl w:val="9"/>
        <w:rPr>
          <w:rFonts w:hint="eastAsia" w:ascii="仿宋_GB2312" w:eastAsia="仿宋_GB2312"/>
          <w:kern w:val="0"/>
          <w:sz w:val="30"/>
        </w:rPr>
      </w:pPr>
      <w:r>
        <w:rPr>
          <w:rFonts w:hint="eastAsia" w:ascii="仿宋_GB2312" w:eastAsia="仿宋_GB2312"/>
          <w:kern w:val="0"/>
          <w:sz w:val="30"/>
        </w:rPr>
        <w:t>评委主任签名：</w:t>
      </w:r>
    </w:p>
    <w:p>
      <w:pPr>
        <w:keepNext w:val="0"/>
        <w:keepLines w:val="0"/>
        <w:pageBreakBefore w:val="0"/>
        <w:widowControl/>
        <w:kinsoku/>
        <w:wordWrap/>
        <w:overflowPunct/>
        <w:topLinePunct w:val="0"/>
        <w:autoSpaceDE/>
        <w:autoSpaceDN/>
        <w:bidi w:val="0"/>
        <w:adjustRightInd/>
        <w:snapToGrid w:val="0"/>
        <w:spacing w:beforeAutospacing="0" w:afterAutospacing="0" w:line="500" w:lineRule="atLeast"/>
        <w:ind w:left="0" w:leftChars="0" w:right="0" w:rightChars="0" w:firstLine="600" w:firstLineChars="200"/>
        <w:jc w:val="left"/>
        <w:textAlignment w:val="auto"/>
        <w:outlineLvl w:val="9"/>
        <w:rPr>
          <w:rFonts w:hint="eastAsia" w:ascii="仿宋_GB2312" w:eastAsia="仿宋_GB2312"/>
          <w:kern w:val="0"/>
          <w:sz w:val="30"/>
        </w:rPr>
      </w:pPr>
      <w:r>
        <w:rPr>
          <w:rFonts w:hint="eastAsia" w:ascii="仿宋_GB2312" w:eastAsia="仿宋_GB2312"/>
          <w:kern w:val="0"/>
          <w:sz w:val="30"/>
        </w:rPr>
        <w:t>其他评委签名：</w:t>
      </w:r>
    </w:p>
    <w:p>
      <w:pPr>
        <w:widowControl/>
        <w:snapToGrid w:val="0"/>
        <w:spacing w:before="100" w:beforeAutospacing="1" w:after="100" w:afterAutospacing="1" w:line="460" w:lineRule="exact"/>
        <w:ind w:firstLine="690" w:firstLineChars="230"/>
        <w:jc w:val="left"/>
        <w:rPr>
          <w:rFonts w:hint="eastAsia" w:ascii="仿宋_GB2312" w:eastAsia="仿宋_GB2312"/>
          <w:kern w:val="0"/>
          <w:sz w:val="30"/>
        </w:rPr>
      </w:pPr>
    </w:p>
    <w:p/>
    <w:sectPr>
      <w:pgSz w:w="11906" w:h="16838"/>
      <w:pgMar w:top="1440" w:right="1080" w:bottom="1440" w:left="108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幼圆">
    <w:altName w:val="宋体"/>
    <w:panose1 w:val="0201050906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pPr>
    <w:r>
      <w:rPr>
        <w:rFonts w:hint="eastAsia"/>
        <w:sz w:val="21"/>
      </w:rPr>
      <w:t>评委主任签名：</w:t>
    </w:r>
  </w:p>
  <w:p>
    <w:pPr>
      <w:pStyle w:val="2"/>
      <w:framePr w:wrap="around" w:vAnchor="text" w:hAnchor="margin" w:xAlign="right" w:y="1"/>
      <w:jc w:val="center"/>
      <w:rPr>
        <w:rFonts w:hint="eastAsia"/>
      </w:rPr>
    </w:pPr>
    <w:r>
      <w:fldChar w:fldCharType="begin"/>
    </w:r>
    <w:r>
      <w:rPr>
        <w:rStyle w:val="4"/>
      </w:rPr>
      <w:instrText xml:space="preserve">PAGE  </w:instrText>
    </w:r>
    <w:r>
      <w:fldChar w:fldCharType="separate"/>
    </w:r>
    <w:r>
      <w:rPr>
        <w:rStyle w:val="4"/>
      </w:rPr>
      <w:t>4</w:t>
    </w:r>
    <w:r>
      <w:fldChar w:fldCharType="end"/>
    </w: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1076" w:hanging="1076" w:hangingChars="598"/>
      <w:rPr>
        <w:rFonts w:hint="eastAsia" w:ascii="幼圆" w:eastAsia="幼圆"/>
        <w:kern w:val="0"/>
        <w:sz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7C75DE"/>
    <w:rsid w:val="467C7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character" w:styleId="4">
    <w:name w:val="page number"/>
    <w:basedOn w:val="3"/>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2018-05-09T07:11:00Z</dcterms:created>
  <dc:creator>Administrator</dc:creator>
  <cp:lastModifiedBy>Administrator</cp:lastModifiedBy>
  <dcterms:modified xsi:type="dcterms:W3CDTF">2018-05-09T07:19:47Z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