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afterLines="50" w:line="360" w:lineRule="auto"/>
        <w:rPr>
          <w:rFonts w:ascii="隶书" w:hAnsi="宋体" w:eastAsia="隶书"/>
          <w:color w:val="000000"/>
          <w:sz w:val="44"/>
          <w:szCs w:val="44"/>
        </w:rPr>
      </w:pPr>
      <w:bookmarkStart w:id="0" w:name="_Toc218409535"/>
      <w:bookmarkStart w:id="1" w:name="_Toc195434086"/>
      <w:bookmarkStart w:id="2" w:name="_Toc115148124"/>
    </w:p>
    <w:p>
      <w:pPr>
        <w:spacing w:beforeLines="50" w:afterLines="50" w:line="360" w:lineRule="auto"/>
        <w:rPr>
          <w:rFonts w:ascii="隶书" w:hAnsi="宋体" w:eastAsia="隶书"/>
          <w:color w:val="000000"/>
          <w:sz w:val="72"/>
          <w:szCs w:val="72"/>
        </w:rPr>
      </w:pPr>
      <w:r>
        <w:rPr>
          <w:rFonts w:hint="eastAsia" w:ascii="隶书" w:hAnsi="宋体" w:eastAsia="隶书"/>
          <w:color w:val="000000"/>
          <w:sz w:val="44"/>
          <w:szCs w:val="44"/>
        </w:rPr>
        <w:t>大华路景观美化（海滨路—金砂路）工程</w:t>
      </w:r>
    </w:p>
    <w:p>
      <w:pPr>
        <w:spacing w:beforeLines="50" w:afterLines="50" w:line="540" w:lineRule="exact"/>
        <w:rPr>
          <w:rFonts w:ascii="隶书" w:hAnsi="宋体" w:eastAsia="隶书"/>
          <w:color w:val="000000"/>
          <w:sz w:val="72"/>
          <w:szCs w:val="72"/>
        </w:rPr>
      </w:pPr>
    </w:p>
    <w:p>
      <w:pPr>
        <w:spacing w:beforeLines="50" w:afterLines="50" w:line="540" w:lineRule="exact"/>
        <w:jc w:val="center"/>
        <w:rPr>
          <w:rFonts w:ascii="隶书" w:hAnsi="宋体" w:eastAsia="隶书"/>
          <w:color w:val="000000"/>
          <w:sz w:val="72"/>
          <w:szCs w:val="72"/>
        </w:rPr>
      </w:pPr>
      <w:r>
        <w:rPr>
          <w:rFonts w:hint="eastAsia" w:ascii="隶书" w:hAnsi="宋体" w:eastAsia="隶书"/>
          <w:color w:val="000000"/>
          <w:sz w:val="72"/>
          <w:szCs w:val="72"/>
        </w:rPr>
        <w:t>可行性研究报告</w:t>
      </w: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r>
        <w:rPr>
          <w:rFonts w:hint="eastAsia" w:ascii="隶书" w:hAnsi="宋体" w:eastAsia="隶书"/>
          <w:color w:val="000000"/>
          <w:sz w:val="36"/>
          <w:szCs w:val="36"/>
        </w:rPr>
        <w:drawing>
          <wp:anchor distT="0" distB="0" distL="114300" distR="114300" simplePos="0" relativeHeight="251671552" behindDoc="1" locked="0" layoutInCell="1" allowOverlap="1">
            <wp:simplePos x="0" y="0"/>
            <wp:positionH relativeFrom="column">
              <wp:posOffset>2571750</wp:posOffset>
            </wp:positionH>
            <wp:positionV relativeFrom="paragraph">
              <wp:posOffset>320040</wp:posOffset>
            </wp:positionV>
            <wp:extent cx="3858260" cy="3124200"/>
            <wp:effectExtent l="19050" t="0" r="8890" b="0"/>
            <wp:wrapNone/>
            <wp:docPr id="4" name="图片 4" descr="C:\Users\Administrator\Desktop\FAFCCFFD70EC84048EBB274BAB10EF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esktop\FAFCCFFD70EC84048EBB274BAB10EFB6.png"/>
                    <pic:cNvPicPr>
                      <a:picLocks noChangeAspect="1" noChangeArrowheads="1"/>
                    </pic:cNvPicPr>
                  </pic:nvPicPr>
                  <pic:blipFill>
                    <a:blip r:embed="rId12" cstate="print"/>
                    <a:srcRect/>
                    <a:stretch>
                      <a:fillRect/>
                    </a:stretch>
                  </pic:blipFill>
                  <pic:spPr>
                    <a:xfrm>
                      <a:off x="0" y="0"/>
                      <a:ext cx="3858260" cy="3124200"/>
                    </a:xfrm>
                    <a:prstGeom prst="rect">
                      <a:avLst/>
                    </a:prstGeom>
                    <a:noFill/>
                  </pic:spPr>
                </pic:pic>
              </a:graphicData>
            </a:graphic>
          </wp:anchor>
        </w:drawing>
      </w:r>
      <w:r>
        <w:rPr>
          <w:rFonts w:hint="eastAsia" w:ascii="隶书" w:hAnsi="宋体" w:eastAsia="隶书"/>
          <w:color w:val="000000"/>
          <w:sz w:val="36"/>
          <w:szCs w:val="36"/>
        </w:rPr>
        <w:drawing>
          <wp:anchor distT="0" distB="0" distL="114300" distR="114300" simplePos="0" relativeHeight="251670528" behindDoc="1" locked="0" layoutInCell="1" allowOverlap="1">
            <wp:simplePos x="0" y="0"/>
            <wp:positionH relativeFrom="column">
              <wp:posOffset>-1152525</wp:posOffset>
            </wp:positionH>
            <wp:positionV relativeFrom="paragraph">
              <wp:posOffset>320040</wp:posOffset>
            </wp:positionV>
            <wp:extent cx="3771900" cy="3124200"/>
            <wp:effectExtent l="19050" t="0" r="0" b="0"/>
            <wp:wrapNone/>
            <wp:docPr id="3" name="图片 3" descr="C:\Users\Administrator\Desktop\744A7353F4253A751AC649CC25071F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744A7353F4253A751AC649CC25071F2D.png"/>
                    <pic:cNvPicPr>
                      <a:picLocks noChangeAspect="1" noChangeArrowheads="1"/>
                    </pic:cNvPicPr>
                  </pic:nvPicPr>
                  <pic:blipFill>
                    <a:blip r:embed="rId13" cstate="print"/>
                    <a:srcRect/>
                    <a:stretch>
                      <a:fillRect/>
                    </a:stretch>
                  </pic:blipFill>
                  <pic:spPr>
                    <a:xfrm>
                      <a:off x="0" y="0"/>
                      <a:ext cx="3771900" cy="3124200"/>
                    </a:xfrm>
                    <a:prstGeom prst="rect">
                      <a:avLst/>
                    </a:prstGeom>
                    <a:noFill/>
                  </pic:spPr>
                </pic:pic>
              </a:graphicData>
            </a:graphic>
          </wp:anchor>
        </w:drawing>
      </w: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rPr>
          <w:rFonts w:ascii="隶书" w:hAnsi="宋体" w:eastAsia="隶书"/>
          <w:color w:val="000000"/>
          <w:sz w:val="36"/>
          <w:szCs w:val="36"/>
        </w:rPr>
      </w:pPr>
    </w:p>
    <w:p>
      <w:pPr>
        <w:spacing w:beforeLines="50" w:afterLines="50" w:line="540" w:lineRule="exact"/>
        <w:ind w:firstLine="720" w:firstLineChars="200"/>
        <w:jc w:val="left"/>
        <w:rPr>
          <w:rFonts w:ascii="隶书" w:hAnsi="宋体" w:eastAsia="隶书"/>
          <w:color w:val="000000"/>
          <w:sz w:val="36"/>
          <w:szCs w:val="36"/>
        </w:rPr>
      </w:pPr>
      <w:r>
        <w:rPr>
          <w:rFonts w:hint="eastAsia" w:ascii="隶书" w:hAnsi="宋体" w:eastAsia="隶书"/>
          <w:color w:val="000000"/>
          <w:sz w:val="36"/>
          <w:szCs w:val="36"/>
        </w:rPr>
        <w:t>编制单位：</w:t>
      </w:r>
      <w:r>
        <w:rPr>
          <w:rFonts w:hint="eastAsia" w:ascii="隶书" w:hAnsi="宋体" w:eastAsia="隶书"/>
          <w:color w:val="000000"/>
          <w:sz w:val="36"/>
          <w:szCs w:val="36"/>
          <w:lang w:eastAsia="zh-CN"/>
        </w:rPr>
        <w:t>广东国建工程项目管理有限公司</w:t>
      </w:r>
    </w:p>
    <w:p>
      <w:pPr>
        <w:spacing w:beforeLines="50" w:afterLines="50" w:line="540" w:lineRule="exact"/>
        <w:ind w:firstLine="720" w:firstLineChars="200"/>
        <w:rPr>
          <w:rFonts w:hint="eastAsia" w:ascii="隶书" w:hAnsi="宋体" w:eastAsia="隶书"/>
          <w:color w:val="000000"/>
          <w:sz w:val="36"/>
          <w:szCs w:val="36"/>
        </w:rPr>
      </w:pPr>
      <w:r>
        <w:rPr>
          <w:rFonts w:hint="eastAsia" w:ascii="隶书" w:hAnsi="宋体" w:eastAsia="隶书"/>
          <w:color w:val="000000"/>
          <w:sz w:val="36"/>
          <w:szCs w:val="36"/>
        </w:rPr>
        <w:t>编制时间：2017年5月</w:t>
      </w:r>
    </w:p>
    <w:p>
      <w:pPr>
        <w:spacing w:beforeLines="50" w:afterLines="50" w:line="360" w:lineRule="auto"/>
        <w:rPr>
          <w:rFonts w:hint="eastAsia" w:ascii="隶书" w:hAnsi="宋体" w:eastAsia="隶书"/>
          <w:color w:val="000000"/>
          <w:sz w:val="36"/>
          <w:szCs w:val="36"/>
          <w:lang w:eastAsia="zh-CN"/>
        </w:rPr>
      </w:pPr>
      <w:r>
        <w:rPr>
          <w:rFonts w:hint="eastAsia" w:ascii="隶书" w:hAnsi="宋体" w:eastAsia="隶书"/>
          <w:color w:val="000000"/>
          <w:sz w:val="36"/>
          <w:szCs w:val="36"/>
          <w:lang w:eastAsia="zh-CN"/>
        </w:rPr>
        <w:drawing>
          <wp:inline distT="0" distB="0" distL="114300" distR="114300">
            <wp:extent cx="5273675" cy="7371715"/>
            <wp:effectExtent l="0" t="0" r="3175" b="635"/>
            <wp:docPr id="13" name="图片 13" descr="【最新三证合一】20160718营业执照副本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最新三证合一】20160718营业执照副本5-2"/>
                    <pic:cNvPicPr>
                      <a:picLocks noChangeAspect="1"/>
                    </pic:cNvPicPr>
                  </pic:nvPicPr>
                  <pic:blipFill>
                    <a:blip r:embed="rId14"/>
                    <a:stretch>
                      <a:fillRect/>
                    </a:stretch>
                  </pic:blipFill>
                  <pic:spPr>
                    <a:xfrm>
                      <a:off x="0" y="0"/>
                      <a:ext cx="5273675" cy="7371715"/>
                    </a:xfrm>
                    <a:prstGeom prst="rect">
                      <a:avLst/>
                    </a:prstGeom>
                  </pic:spPr>
                </pic:pic>
              </a:graphicData>
            </a:graphic>
          </wp:inline>
        </w:drawing>
      </w:r>
    </w:p>
    <w:p>
      <w:pPr>
        <w:spacing w:beforeLines="50" w:afterLines="50" w:line="360" w:lineRule="auto"/>
        <w:rPr>
          <w:rFonts w:hint="eastAsia" w:ascii="隶书" w:hAnsi="宋体" w:eastAsia="隶书"/>
          <w:color w:val="000000"/>
          <w:sz w:val="36"/>
          <w:szCs w:val="36"/>
          <w:lang w:eastAsia="zh-CN"/>
        </w:rPr>
      </w:pPr>
    </w:p>
    <w:p>
      <w:pPr>
        <w:spacing w:beforeLines="50" w:afterLines="50" w:line="360" w:lineRule="auto"/>
        <w:rPr>
          <w:rFonts w:hint="eastAsia" w:ascii="隶书" w:hAnsi="宋体" w:eastAsia="隶书"/>
          <w:color w:val="000000"/>
          <w:sz w:val="36"/>
          <w:szCs w:val="36"/>
          <w:lang w:eastAsia="zh-CN"/>
        </w:rPr>
      </w:pPr>
    </w:p>
    <w:p>
      <w:pPr>
        <w:spacing w:beforeLines="50" w:afterLines="50" w:line="360" w:lineRule="auto"/>
        <w:rPr>
          <w:rFonts w:hint="eastAsia" w:ascii="隶书" w:hAnsi="宋体" w:eastAsia="隶书"/>
          <w:color w:val="000000"/>
          <w:sz w:val="36"/>
          <w:szCs w:val="36"/>
          <w:lang w:eastAsia="zh-CN"/>
        </w:rPr>
      </w:pPr>
      <w:r>
        <w:rPr>
          <w:rFonts w:hint="eastAsia" w:ascii="隶书" w:hAnsi="宋体" w:eastAsia="隶书"/>
          <w:color w:val="000000"/>
          <w:sz w:val="36"/>
          <w:szCs w:val="36"/>
          <w:lang w:eastAsia="zh-CN"/>
        </w:rPr>
        <w:drawing>
          <wp:inline distT="0" distB="0" distL="114300" distR="114300">
            <wp:extent cx="8278495" cy="5231765"/>
            <wp:effectExtent l="0" t="0" r="6985" b="8255"/>
            <wp:docPr id="14" name="图片 14" descr="工程咨询单位资格证书甲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工程咨询单位资格证书甲级"/>
                    <pic:cNvPicPr>
                      <a:picLocks noChangeAspect="1"/>
                    </pic:cNvPicPr>
                  </pic:nvPicPr>
                  <pic:blipFill>
                    <a:blip r:embed="rId15"/>
                    <a:stretch>
                      <a:fillRect/>
                    </a:stretch>
                  </pic:blipFill>
                  <pic:spPr>
                    <a:xfrm rot="16200000">
                      <a:off x="0" y="0"/>
                      <a:ext cx="8278495" cy="5231765"/>
                    </a:xfrm>
                    <a:prstGeom prst="rect">
                      <a:avLst/>
                    </a:prstGeom>
                  </pic:spPr>
                </pic:pic>
              </a:graphicData>
            </a:graphic>
          </wp:inline>
        </w:drawing>
      </w:r>
    </w:p>
    <w:p>
      <w:pPr>
        <w:spacing w:beforeLines="50" w:afterLines="50" w:line="540" w:lineRule="exact"/>
        <w:ind w:firstLine="720" w:firstLineChars="200"/>
        <w:rPr>
          <w:rFonts w:hint="eastAsia" w:ascii="隶书" w:hAnsi="宋体" w:eastAsia="隶书"/>
          <w:color w:val="000000"/>
          <w:sz w:val="36"/>
          <w:szCs w:val="36"/>
        </w:rPr>
      </w:pPr>
    </w:p>
    <w:p>
      <w:pPr>
        <w:spacing w:beforeLines="50" w:afterLines="50" w:line="540" w:lineRule="exact"/>
        <w:ind w:firstLine="720" w:firstLineChars="200"/>
        <w:rPr>
          <w:rFonts w:hint="eastAsia" w:ascii="隶书" w:hAnsi="宋体" w:eastAsia="隶书"/>
          <w:color w:val="000000"/>
          <w:sz w:val="36"/>
          <w:szCs w:val="36"/>
        </w:rPr>
        <w:sectPr>
          <w:headerReference r:id="rId4" w:type="first"/>
          <w:headerReference r:id="rId3" w:type="default"/>
          <w:footerReference r:id="rId5" w:type="default"/>
          <w:footerReference r:id="rId6" w:type="even"/>
          <w:pgSz w:w="11906" w:h="16838"/>
          <w:pgMar w:top="1440" w:right="1800" w:bottom="1440" w:left="1800" w:header="851" w:footer="840" w:gutter="0"/>
          <w:cols w:space="425" w:num="1"/>
          <w:titlePg/>
          <w:docGrid w:type="lines" w:linePitch="312" w:charSpace="0"/>
        </w:sectPr>
      </w:pPr>
    </w:p>
    <w:p>
      <w:pPr>
        <w:spacing w:beforeLines="50" w:afterLines="50" w:line="540" w:lineRule="exact"/>
        <w:jc w:val="center"/>
        <w:rPr>
          <w:rFonts w:ascii="黑体" w:hAnsi="宋体" w:eastAsia="黑体"/>
          <w:b/>
          <w:color w:val="000000"/>
          <w:sz w:val="30"/>
          <w:szCs w:val="30"/>
        </w:rPr>
      </w:pPr>
      <w:r>
        <w:rPr>
          <w:rFonts w:hint="eastAsia" w:ascii="黑体" w:hAnsi="宋体" w:eastAsia="黑体"/>
          <w:b/>
          <w:color w:val="000000"/>
          <w:sz w:val="30"/>
          <w:szCs w:val="30"/>
        </w:rPr>
        <w:t>目  录</w:t>
      </w:r>
      <w:bookmarkEnd w:id="0"/>
    </w:p>
    <w:p>
      <w:pPr>
        <w:pStyle w:val="20"/>
        <w:rPr>
          <w:rFonts w:asciiTheme="minorHAnsi" w:hAnsiTheme="minorHAnsi" w:eastAsiaTheme="minorEastAsia" w:cstheme="minorBidi"/>
          <w:sz w:val="21"/>
          <w:szCs w:val="22"/>
        </w:rPr>
      </w:pPr>
      <w:r>
        <w:rPr>
          <w:rFonts w:ascii="仿宋_GB2312" w:eastAsia="仿宋_GB2312"/>
          <w:color w:val="000000"/>
          <w:sz w:val="28"/>
          <w:szCs w:val="28"/>
        </w:rPr>
        <w:fldChar w:fldCharType="begin"/>
      </w:r>
      <w:r>
        <w:rPr>
          <w:rFonts w:ascii="仿宋_GB2312" w:eastAsia="仿宋_GB2312"/>
          <w:color w:val="000000"/>
          <w:sz w:val="28"/>
          <w:szCs w:val="28"/>
        </w:rPr>
        <w:instrText xml:space="preserve"> TOC \o "1-2" \h \z \u </w:instrText>
      </w:r>
      <w:r>
        <w:rPr>
          <w:rFonts w:ascii="仿宋_GB2312" w:eastAsia="仿宋_GB2312"/>
          <w:color w:val="000000"/>
          <w:sz w:val="28"/>
          <w:szCs w:val="28"/>
        </w:rPr>
        <w:fldChar w:fldCharType="separate"/>
      </w:r>
      <w:r>
        <w:fldChar w:fldCharType="begin"/>
      </w:r>
      <w:r>
        <w:instrText xml:space="preserve"> HYPERLINK \l "_Toc483131214" </w:instrText>
      </w:r>
      <w:r>
        <w:fldChar w:fldCharType="separate"/>
      </w:r>
      <w:r>
        <w:rPr>
          <w:rStyle w:val="29"/>
          <w:rFonts w:hint="eastAsia" w:eastAsia="黑体"/>
        </w:rPr>
        <w:t>第一章</w:t>
      </w:r>
      <w:r>
        <w:rPr>
          <w:rStyle w:val="29"/>
          <w:rFonts w:eastAsia="黑体"/>
        </w:rPr>
        <w:t xml:space="preserve"> </w:t>
      </w:r>
      <w:r>
        <w:rPr>
          <w:rStyle w:val="29"/>
          <w:rFonts w:hint="eastAsia" w:eastAsia="黑体"/>
        </w:rPr>
        <w:t>总论</w:t>
      </w:r>
      <w:r>
        <w:tab/>
      </w:r>
      <w:r>
        <w:fldChar w:fldCharType="begin"/>
      </w:r>
      <w:r>
        <w:instrText xml:space="preserve"> PAGEREF _Toc483131214 \h </w:instrText>
      </w:r>
      <w:r>
        <w:fldChar w:fldCharType="separate"/>
      </w:r>
      <w:r>
        <w:t>1</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"_Toc483131215" </w:instrText>
      </w:r>
      <w:r>
        <w:fldChar w:fldCharType="separate"/>
      </w:r>
      <w:r>
        <w:rPr>
          <w:rStyle w:val="29"/>
        </w:rPr>
        <w:t xml:space="preserve">1.1 </w:t>
      </w:r>
      <w:r>
        <w:rPr>
          <w:rStyle w:val="29"/>
          <w:rFonts w:hint="eastAsia"/>
        </w:rPr>
        <w:t>项目背景</w:t>
      </w:r>
      <w:r>
        <w:tab/>
      </w:r>
      <w:r>
        <w:fldChar w:fldCharType="begin"/>
      </w:r>
      <w:r>
        <w:instrText xml:space="preserve"> PAGEREF _Toc483131215 \h </w:instrText>
      </w:r>
      <w:r>
        <w:fldChar w:fldCharType="separate"/>
      </w:r>
      <w:r>
        <w:t>1</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"_Toc483131216" </w:instrText>
      </w:r>
      <w:r>
        <w:fldChar w:fldCharType="separate"/>
      </w:r>
      <w:r>
        <w:rPr>
          <w:rStyle w:val="29"/>
        </w:rPr>
        <w:t xml:space="preserve">1.2 </w:t>
      </w:r>
      <w:r>
        <w:rPr>
          <w:rStyle w:val="29"/>
          <w:rFonts w:hint="eastAsia"/>
        </w:rPr>
        <w:t>项目概况</w:t>
      </w:r>
      <w:r>
        <w:tab/>
      </w:r>
      <w:r>
        <w:fldChar w:fldCharType="begin"/>
      </w:r>
      <w:r>
        <w:instrText xml:space="preserve"> PAGEREF _Toc483131216 \h </w:instrText>
      </w:r>
      <w:r>
        <w:fldChar w:fldCharType="separate"/>
      </w:r>
      <w:r>
        <w:t>2</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"_Toc483131217" </w:instrText>
      </w:r>
      <w:r>
        <w:fldChar w:fldCharType="separate"/>
      </w:r>
      <w:r>
        <w:rPr>
          <w:rStyle w:val="29"/>
        </w:rPr>
        <w:t xml:space="preserve">1.3 </w:t>
      </w:r>
      <w:r>
        <w:rPr>
          <w:rStyle w:val="29"/>
          <w:rFonts w:hint="eastAsia"/>
        </w:rPr>
        <w:t>结论与建议</w:t>
      </w:r>
      <w:r>
        <w:tab/>
      </w:r>
      <w:r>
        <w:fldChar w:fldCharType="begin"/>
      </w:r>
      <w:r>
        <w:instrText xml:space="preserve"> PAGEREF _Toc483131217 \h </w:instrText>
      </w:r>
      <w:r>
        <w:fldChar w:fldCharType="separate"/>
      </w:r>
      <w:r>
        <w:t>4</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"_Toc483131218" </w:instrText>
      </w:r>
      <w:r>
        <w:fldChar w:fldCharType="separate"/>
      </w:r>
      <w:r>
        <w:rPr>
          <w:rStyle w:val="29"/>
          <w:rFonts w:hint="eastAsia" w:eastAsia="黑体"/>
        </w:rPr>
        <w:t>第二章</w:t>
      </w:r>
      <w:r>
        <w:rPr>
          <w:rStyle w:val="29"/>
          <w:rFonts w:eastAsia="黑体"/>
        </w:rPr>
        <w:t xml:space="preserve"> </w:t>
      </w:r>
      <w:r>
        <w:rPr>
          <w:rStyle w:val="29"/>
          <w:rFonts w:hint="eastAsia" w:eastAsia="黑体"/>
        </w:rPr>
        <w:t>项目建设背景和必要性</w:t>
      </w:r>
      <w:r>
        <w:tab/>
      </w:r>
      <w:r>
        <w:fldChar w:fldCharType="begin"/>
      </w:r>
      <w:r>
        <w:instrText xml:space="preserve"> PAGEREF _Toc483131218 \h </w:instrText>
      </w:r>
      <w:r>
        <w:fldChar w:fldCharType="separate"/>
      </w:r>
      <w:r>
        <w:t>5</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"_Toc483131219" </w:instrText>
      </w:r>
      <w:r>
        <w:fldChar w:fldCharType="separate"/>
      </w:r>
      <w:r>
        <w:rPr>
          <w:rStyle w:val="29"/>
        </w:rPr>
        <w:t xml:space="preserve">2.1 </w:t>
      </w:r>
      <w:r>
        <w:rPr>
          <w:rStyle w:val="29"/>
          <w:rFonts w:hint="eastAsia"/>
        </w:rPr>
        <w:t>项目建设的背景</w:t>
      </w:r>
      <w:r>
        <w:tab/>
      </w:r>
      <w:r>
        <w:fldChar w:fldCharType="begin"/>
      </w:r>
      <w:r>
        <w:instrText xml:space="preserve"> PAGEREF _Toc483131219 \h </w:instrText>
      </w:r>
      <w:r>
        <w:fldChar w:fldCharType="separate"/>
      </w:r>
      <w:r>
        <w:t>5</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"_Toc483131220" </w:instrText>
      </w:r>
      <w:r>
        <w:fldChar w:fldCharType="separate"/>
      </w:r>
      <w:r>
        <w:rPr>
          <w:rStyle w:val="29"/>
        </w:rPr>
        <w:t xml:space="preserve">2.2 </w:t>
      </w:r>
      <w:r>
        <w:rPr>
          <w:rStyle w:val="29"/>
          <w:rFonts w:hint="eastAsia"/>
        </w:rPr>
        <w:t>项目建设必要性</w:t>
      </w:r>
      <w:r>
        <w:tab/>
      </w:r>
      <w:r>
        <w:fldChar w:fldCharType="begin"/>
      </w:r>
      <w:r>
        <w:instrText xml:space="preserve"> PAGEREF _Toc483131220 \h </w:instrText>
      </w:r>
      <w:r>
        <w:fldChar w:fldCharType="separate"/>
      </w:r>
      <w:r>
        <w:t>7</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"_Toc483131221" </w:instrText>
      </w:r>
      <w:r>
        <w:fldChar w:fldCharType="separate"/>
      </w:r>
      <w:r>
        <w:rPr>
          <w:rStyle w:val="29"/>
          <w:rFonts w:hint="eastAsia" w:eastAsia="黑体"/>
        </w:rPr>
        <w:t>第三章</w:t>
      </w:r>
      <w:r>
        <w:rPr>
          <w:rStyle w:val="29"/>
          <w:rFonts w:eastAsia="黑体"/>
        </w:rPr>
        <w:t xml:space="preserve">  </w:t>
      </w:r>
      <w:r>
        <w:rPr>
          <w:rStyle w:val="29"/>
          <w:rFonts w:hint="eastAsia" w:eastAsia="黑体"/>
        </w:rPr>
        <w:t>项目选址</w:t>
      </w:r>
      <w:r>
        <w:tab/>
      </w:r>
      <w:r>
        <w:fldChar w:fldCharType="begin"/>
      </w:r>
      <w:r>
        <w:instrText xml:space="preserve"> PAGEREF _Toc483131221 \h </w:instrText>
      </w:r>
      <w:r>
        <w:fldChar w:fldCharType="separate"/>
      </w:r>
      <w:r>
        <w:t>10</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"_Toc483131222" </w:instrText>
      </w:r>
      <w:r>
        <w:fldChar w:fldCharType="separate"/>
      </w:r>
      <w:r>
        <w:rPr>
          <w:rStyle w:val="29"/>
        </w:rPr>
        <w:t xml:space="preserve">3.1 </w:t>
      </w:r>
      <w:r>
        <w:rPr>
          <w:rStyle w:val="29"/>
          <w:rFonts w:hint="eastAsia"/>
        </w:rPr>
        <w:t>场址现状</w:t>
      </w:r>
      <w:r>
        <w:tab/>
      </w:r>
      <w:r>
        <w:fldChar w:fldCharType="begin"/>
      </w:r>
      <w:r>
        <w:instrText xml:space="preserve"> PAGEREF _Toc483131222 \h </w:instrText>
      </w:r>
      <w:r>
        <w:fldChar w:fldCharType="separate"/>
      </w:r>
      <w:r>
        <w:t>10</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"_Toc483131223" </w:instrText>
      </w:r>
      <w:r>
        <w:fldChar w:fldCharType="separate"/>
      </w:r>
      <w:r>
        <w:rPr>
          <w:rStyle w:val="29"/>
        </w:rPr>
        <w:t xml:space="preserve">3.2 </w:t>
      </w:r>
      <w:r>
        <w:rPr>
          <w:rStyle w:val="29"/>
          <w:rFonts w:hint="eastAsia"/>
        </w:rPr>
        <w:t>建设条件</w:t>
      </w:r>
      <w:r>
        <w:tab/>
      </w:r>
      <w:r>
        <w:fldChar w:fldCharType="begin"/>
      </w:r>
      <w:r>
        <w:instrText xml:space="preserve"> PAGEREF _Toc483131223 \h </w:instrText>
      </w:r>
      <w:r>
        <w:fldChar w:fldCharType="separate"/>
      </w:r>
      <w:r>
        <w:t>14</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"_Toc483131224" </w:instrText>
      </w:r>
      <w:r>
        <w:fldChar w:fldCharType="separate"/>
      </w:r>
      <w:r>
        <w:rPr>
          <w:rStyle w:val="29"/>
          <w:rFonts w:hint="eastAsia" w:eastAsia="黑体"/>
        </w:rPr>
        <w:t>第四章</w:t>
      </w:r>
      <w:r>
        <w:rPr>
          <w:rStyle w:val="29"/>
          <w:rFonts w:eastAsia="黑体"/>
        </w:rPr>
        <w:t xml:space="preserve">  </w:t>
      </w:r>
      <w:r>
        <w:rPr>
          <w:rStyle w:val="29"/>
          <w:rFonts w:hint="eastAsia" w:eastAsia="黑体"/>
        </w:rPr>
        <w:t>建设规模、技术标准与设计方案</w:t>
      </w:r>
      <w:r>
        <w:tab/>
      </w:r>
      <w:r>
        <w:fldChar w:fldCharType="begin"/>
      </w:r>
      <w:r>
        <w:instrText xml:space="preserve"> PAGEREF _Toc483131224 \h </w:instrText>
      </w:r>
      <w:r>
        <w:fldChar w:fldCharType="separate"/>
      </w:r>
      <w:r>
        <w:t>17</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"_Toc483131225" </w:instrText>
      </w:r>
      <w:r>
        <w:fldChar w:fldCharType="separate"/>
      </w:r>
      <w:r>
        <w:rPr>
          <w:rStyle w:val="29"/>
        </w:rPr>
        <w:t xml:space="preserve">4.1 </w:t>
      </w:r>
      <w:r>
        <w:rPr>
          <w:rStyle w:val="29"/>
          <w:rFonts w:hint="eastAsia"/>
        </w:rPr>
        <w:t>规范依据</w:t>
      </w:r>
      <w:r>
        <w:tab/>
      </w:r>
      <w:r>
        <w:fldChar w:fldCharType="begin"/>
      </w:r>
      <w:r>
        <w:instrText xml:space="preserve"> PAGEREF _Toc483131225 \h </w:instrText>
      </w:r>
      <w:r>
        <w:fldChar w:fldCharType="separate"/>
      </w:r>
      <w:r>
        <w:t>17</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"_Toc483131226" </w:instrText>
      </w:r>
      <w:r>
        <w:fldChar w:fldCharType="separate"/>
      </w:r>
      <w:r>
        <w:rPr>
          <w:rStyle w:val="29"/>
        </w:rPr>
        <w:t xml:space="preserve">4.2 </w:t>
      </w:r>
      <w:r>
        <w:rPr>
          <w:rStyle w:val="29"/>
          <w:rFonts w:hint="eastAsia"/>
        </w:rPr>
        <w:t>建设范围及标准</w:t>
      </w:r>
      <w:r>
        <w:tab/>
      </w:r>
      <w:r>
        <w:fldChar w:fldCharType="begin"/>
      </w:r>
      <w:r>
        <w:instrText xml:space="preserve"> PAGEREF _Toc483131226 \h </w:instrText>
      </w:r>
      <w:r>
        <w:fldChar w:fldCharType="separate"/>
      </w:r>
      <w:r>
        <w:t>18</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"_Toc483131227" </w:instrText>
      </w:r>
      <w:r>
        <w:fldChar w:fldCharType="separate"/>
      </w:r>
      <w:r>
        <w:rPr>
          <w:rStyle w:val="29"/>
        </w:rPr>
        <w:t xml:space="preserve">4.3 </w:t>
      </w:r>
      <w:r>
        <w:rPr>
          <w:rStyle w:val="29"/>
          <w:rFonts w:hint="eastAsia"/>
        </w:rPr>
        <w:t>建设原则及要点</w:t>
      </w:r>
      <w:r>
        <w:tab/>
      </w:r>
      <w:r>
        <w:fldChar w:fldCharType="begin"/>
      </w:r>
      <w:r>
        <w:instrText xml:space="preserve"> PAGEREF _Toc483131227 \h </w:instrText>
      </w:r>
      <w:r>
        <w:fldChar w:fldCharType="separate"/>
      </w:r>
      <w:r>
        <w:t>18</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"_Toc483131228" </w:instrText>
      </w:r>
      <w:r>
        <w:fldChar w:fldCharType="separate"/>
      </w:r>
      <w:r>
        <w:rPr>
          <w:rStyle w:val="29"/>
        </w:rPr>
        <w:t xml:space="preserve">4.4 </w:t>
      </w:r>
      <w:r>
        <w:rPr>
          <w:rStyle w:val="29"/>
          <w:rFonts w:hint="eastAsia"/>
        </w:rPr>
        <w:t>工程方案</w:t>
      </w:r>
      <w:r>
        <w:tab/>
      </w:r>
      <w:r>
        <w:fldChar w:fldCharType="begin"/>
      </w:r>
      <w:r>
        <w:instrText xml:space="preserve"> PAGEREF _Toc483131228 \h </w:instrText>
      </w:r>
      <w:r>
        <w:fldChar w:fldCharType="separate"/>
      </w:r>
      <w:r>
        <w:t>20</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"_Toc483131229" </w:instrText>
      </w:r>
      <w:r>
        <w:fldChar w:fldCharType="separate"/>
      </w:r>
      <w:r>
        <w:rPr>
          <w:rStyle w:val="29"/>
        </w:rPr>
        <w:t xml:space="preserve">4.5 </w:t>
      </w:r>
      <w:r>
        <w:rPr>
          <w:rStyle w:val="29"/>
          <w:rFonts w:hint="eastAsia"/>
        </w:rPr>
        <w:t>电气工程</w:t>
      </w:r>
      <w:r>
        <w:tab/>
      </w:r>
      <w:r>
        <w:fldChar w:fldCharType="begin"/>
      </w:r>
      <w:r>
        <w:instrText xml:space="preserve"> PAGEREF _Toc483131229 \h </w:instrText>
      </w:r>
      <w:r>
        <w:fldChar w:fldCharType="separate"/>
      </w:r>
      <w:r>
        <w:t>25</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"_Toc483131230" </w:instrText>
      </w:r>
      <w:r>
        <w:fldChar w:fldCharType="separate"/>
      </w:r>
      <w:r>
        <w:rPr>
          <w:rStyle w:val="29"/>
          <w:rFonts w:hint="eastAsia" w:eastAsia="黑体"/>
        </w:rPr>
        <w:t>第五章</w:t>
      </w:r>
      <w:r>
        <w:rPr>
          <w:rStyle w:val="29"/>
          <w:rFonts w:eastAsia="黑体"/>
        </w:rPr>
        <w:t xml:space="preserve">  </w:t>
      </w:r>
      <w:r>
        <w:rPr>
          <w:rStyle w:val="29"/>
          <w:rFonts w:hint="eastAsia" w:eastAsia="黑体"/>
        </w:rPr>
        <w:t>环境评价</w:t>
      </w:r>
      <w:r>
        <w:tab/>
      </w:r>
      <w:r>
        <w:fldChar w:fldCharType="begin"/>
      </w:r>
      <w:r>
        <w:instrText xml:space="preserve"> PAGEREF _Toc483131230 \h </w:instrText>
      </w:r>
      <w:r>
        <w:fldChar w:fldCharType="separate"/>
      </w:r>
      <w:r>
        <w:t>29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"_Toc483131231" </w:instrText>
      </w:r>
      <w:r>
        <w:fldChar w:fldCharType="separate"/>
      </w:r>
      <w:r>
        <w:rPr>
          <w:rStyle w:val="29"/>
        </w:rPr>
        <w:t xml:space="preserve">5.1 </w:t>
      </w:r>
      <w:r>
        <w:rPr>
          <w:rStyle w:val="29"/>
          <w:rFonts w:hint="eastAsia"/>
        </w:rPr>
        <w:t>建设项目环境现状</w:t>
      </w:r>
      <w:r>
        <w:tab/>
      </w:r>
      <w:r>
        <w:fldChar w:fldCharType="begin"/>
      </w:r>
      <w:r>
        <w:instrText xml:space="preserve"> PAGEREF _Toc483131231 \h </w:instrText>
      </w:r>
      <w:r>
        <w:fldChar w:fldCharType="separate"/>
      </w:r>
      <w:r>
        <w:t>29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"_Toc483131232" </w:instrText>
      </w:r>
      <w:r>
        <w:fldChar w:fldCharType="separate"/>
      </w:r>
      <w:r>
        <w:rPr>
          <w:rStyle w:val="29"/>
        </w:rPr>
        <w:t xml:space="preserve">5.2 </w:t>
      </w:r>
      <w:r>
        <w:rPr>
          <w:rStyle w:val="29"/>
          <w:rFonts w:hint="eastAsia"/>
        </w:rPr>
        <w:t>项目主要污染源和污染物分析</w:t>
      </w:r>
      <w:r>
        <w:tab/>
      </w:r>
      <w:r>
        <w:fldChar w:fldCharType="begin"/>
      </w:r>
      <w:r>
        <w:instrText xml:space="preserve"> PAGEREF _Toc483131232 \h </w:instrText>
      </w:r>
      <w:r>
        <w:fldChar w:fldCharType="separate"/>
      </w:r>
      <w:r>
        <w:t>29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"_Toc483131233" </w:instrText>
      </w:r>
      <w:r>
        <w:fldChar w:fldCharType="separate"/>
      </w:r>
      <w:r>
        <w:rPr>
          <w:rStyle w:val="29"/>
        </w:rPr>
        <w:t xml:space="preserve">5.3 </w:t>
      </w:r>
      <w:r>
        <w:rPr>
          <w:rStyle w:val="29"/>
          <w:rFonts w:hint="eastAsia"/>
        </w:rPr>
        <w:t>项目对生态环境影响的分析</w:t>
      </w:r>
      <w:r>
        <w:tab/>
      </w:r>
      <w:r>
        <w:fldChar w:fldCharType="begin"/>
      </w:r>
      <w:r>
        <w:instrText xml:space="preserve"> PAGEREF _Toc483131233 \h </w:instrText>
      </w:r>
      <w:r>
        <w:fldChar w:fldCharType="separate"/>
      </w:r>
      <w:r>
        <w:t>30</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"_Toc483131234" </w:instrText>
      </w:r>
      <w:r>
        <w:fldChar w:fldCharType="separate"/>
      </w:r>
      <w:r>
        <w:rPr>
          <w:rStyle w:val="29"/>
          <w:rFonts w:ascii="黑体"/>
        </w:rPr>
        <w:t xml:space="preserve">5.4 </w:t>
      </w:r>
      <w:r>
        <w:rPr>
          <w:rStyle w:val="29"/>
          <w:rFonts w:hint="eastAsia" w:ascii="黑体"/>
        </w:rPr>
        <w:t>生态环境影响的防治措施</w:t>
      </w:r>
      <w:r>
        <w:tab/>
      </w:r>
      <w:r>
        <w:fldChar w:fldCharType="begin"/>
      </w:r>
      <w:r>
        <w:instrText xml:space="preserve"> PAGEREF _Toc483131234 \h </w:instrText>
      </w:r>
      <w:r>
        <w:fldChar w:fldCharType="separate"/>
      </w:r>
      <w:r>
        <w:t>32</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"_Toc483131235" </w:instrText>
      </w:r>
      <w:r>
        <w:fldChar w:fldCharType="separate"/>
      </w:r>
      <w:r>
        <w:rPr>
          <w:rStyle w:val="29"/>
          <w:rFonts w:ascii="黑体"/>
        </w:rPr>
        <w:t xml:space="preserve">5.5 </w:t>
      </w:r>
      <w:r>
        <w:rPr>
          <w:rStyle w:val="29"/>
          <w:rFonts w:hint="eastAsia" w:ascii="黑体"/>
        </w:rPr>
        <w:t>生态环境影响评价</w:t>
      </w:r>
      <w:r>
        <w:tab/>
      </w:r>
      <w:r>
        <w:fldChar w:fldCharType="begin"/>
      </w:r>
      <w:r>
        <w:instrText xml:space="preserve"> PAGEREF _Toc483131235 \h </w:instrText>
      </w:r>
      <w:r>
        <w:fldChar w:fldCharType="separate"/>
      </w:r>
      <w:r>
        <w:t>35</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"_Toc483131236" </w:instrText>
      </w:r>
      <w:r>
        <w:fldChar w:fldCharType="separate"/>
      </w:r>
      <w:r>
        <w:rPr>
          <w:rStyle w:val="29"/>
          <w:rFonts w:ascii="黑体"/>
        </w:rPr>
        <w:t>5.6</w:t>
      </w:r>
      <w:r>
        <w:rPr>
          <w:rStyle w:val="29"/>
          <w:rFonts w:hint="eastAsia" w:ascii="黑体"/>
        </w:rPr>
        <w:t>影响评价</w:t>
      </w:r>
      <w:r>
        <w:tab/>
      </w:r>
      <w:r>
        <w:fldChar w:fldCharType="begin"/>
      </w:r>
      <w:r>
        <w:instrText xml:space="preserve"> PAGEREF _Toc483131236 \h </w:instrText>
      </w:r>
      <w:r>
        <w:fldChar w:fldCharType="separate"/>
      </w:r>
      <w:r>
        <w:t>36</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"_Toc483131237" </w:instrText>
      </w:r>
      <w:r>
        <w:fldChar w:fldCharType="separate"/>
      </w:r>
      <w:r>
        <w:rPr>
          <w:rStyle w:val="29"/>
          <w:rFonts w:hint="eastAsia" w:eastAsia="黑体"/>
        </w:rPr>
        <w:t>第六章</w:t>
      </w:r>
      <w:r>
        <w:rPr>
          <w:rStyle w:val="29"/>
          <w:rFonts w:eastAsia="黑体"/>
        </w:rPr>
        <w:t xml:space="preserve">  </w:t>
      </w:r>
      <w:r>
        <w:rPr>
          <w:rStyle w:val="29"/>
          <w:rFonts w:hint="eastAsia" w:eastAsia="黑体"/>
        </w:rPr>
        <w:t>节能分析</w:t>
      </w:r>
      <w:r>
        <w:tab/>
      </w:r>
      <w:r>
        <w:fldChar w:fldCharType="begin"/>
      </w:r>
      <w:r>
        <w:instrText xml:space="preserve"> PAGEREF _Toc483131237 \h </w:instrText>
      </w:r>
      <w:r>
        <w:fldChar w:fldCharType="separate"/>
      </w:r>
      <w:r>
        <w:t>38</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"_Toc483131238" </w:instrText>
      </w:r>
      <w:r>
        <w:fldChar w:fldCharType="separate"/>
      </w:r>
      <w:r>
        <w:rPr>
          <w:rStyle w:val="29"/>
        </w:rPr>
        <w:t xml:space="preserve">6.1 </w:t>
      </w:r>
      <w:r>
        <w:rPr>
          <w:rStyle w:val="29"/>
          <w:rFonts w:hint="eastAsia"/>
        </w:rPr>
        <w:t>节能法律法规及其相关标准规范</w:t>
      </w:r>
      <w:r>
        <w:tab/>
      </w:r>
      <w:r>
        <w:fldChar w:fldCharType="begin"/>
      </w:r>
      <w:r>
        <w:instrText xml:space="preserve"> PAGEREF _Toc483131238 \h </w:instrText>
      </w:r>
      <w:r>
        <w:fldChar w:fldCharType="separate"/>
      </w:r>
      <w:r>
        <w:t>38</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"_Toc483131239" </w:instrText>
      </w:r>
      <w:r>
        <w:fldChar w:fldCharType="separate"/>
      </w:r>
      <w:r>
        <w:rPr>
          <w:rStyle w:val="29"/>
        </w:rPr>
        <w:t>6.2</w:t>
      </w:r>
      <w:r>
        <w:rPr>
          <w:rStyle w:val="29"/>
          <w:rFonts w:hint="eastAsia"/>
        </w:rPr>
        <w:t>用能状况和能耗指标分析</w:t>
      </w:r>
      <w:r>
        <w:tab/>
      </w:r>
      <w:r>
        <w:fldChar w:fldCharType="begin"/>
      </w:r>
      <w:r>
        <w:instrText xml:space="preserve"> PAGEREF _Toc483131239 \h </w:instrText>
      </w:r>
      <w:r>
        <w:fldChar w:fldCharType="separate"/>
      </w:r>
      <w:r>
        <w:t>39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"_Toc483131240" </w:instrText>
      </w:r>
      <w:r>
        <w:fldChar w:fldCharType="separate"/>
      </w:r>
      <w:r>
        <w:rPr>
          <w:rStyle w:val="29"/>
          <w:rFonts w:ascii="黑体" w:hAnsi="黑体"/>
        </w:rPr>
        <w:t xml:space="preserve">6.3 </w:t>
      </w:r>
      <w:r>
        <w:rPr>
          <w:rStyle w:val="29"/>
          <w:rFonts w:hint="eastAsia" w:ascii="黑体" w:hAnsi="黑体"/>
        </w:rPr>
        <w:t>节能措施</w:t>
      </w:r>
      <w:r>
        <w:tab/>
      </w:r>
      <w:r>
        <w:fldChar w:fldCharType="begin"/>
      </w:r>
      <w:r>
        <w:instrText xml:space="preserve"> PAGEREF _Toc483131240 \h </w:instrText>
      </w:r>
      <w:r>
        <w:fldChar w:fldCharType="separate"/>
      </w:r>
      <w:r>
        <w:t>40</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"_Toc483131241" </w:instrText>
      </w:r>
      <w:r>
        <w:fldChar w:fldCharType="separate"/>
      </w:r>
      <w:r>
        <w:rPr>
          <w:rStyle w:val="29"/>
          <w:rFonts w:ascii="黑体" w:hAnsi="黑体"/>
        </w:rPr>
        <w:t xml:space="preserve">6.4 </w:t>
      </w:r>
      <w:r>
        <w:rPr>
          <w:rStyle w:val="29"/>
          <w:rFonts w:hint="eastAsia" w:ascii="黑体" w:hAnsi="黑体"/>
        </w:rPr>
        <w:t>节水技术及节水措施</w:t>
      </w:r>
      <w:r>
        <w:tab/>
      </w:r>
      <w:r>
        <w:fldChar w:fldCharType="begin"/>
      </w:r>
      <w:r>
        <w:instrText xml:space="preserve"> PAGEREF _Toc483131241 \h </w:instrText>
      </w:r>
      <w:r>
        <w:fldChar w:fldCharType="separate"/>
      </w:r>
      <w:r>
        <w:t>47</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"_Toc483131242" </w:instrText>
      </w:r>
      <w:r>
        <w:fldChar w:fldCharType="separate"/>
      </w:r>
      <w:r>
        <w:rPr>
          <w:rStyle w:val="29"/>
          <w:rFonts w:hint="eastAsia" w:eastAsia="黑体"/>
        </w:rPr>
        <w:t>第七章</w:t>
      </w:r>
      <w:r>
        <w:rPr>
          <w:rStyle w:val="29"/>
          <w:rFonts w:eastAsia="黑体"/>
        </w:rPr>
        <w:t xml:space="preserve">  </w:t>
      </w:r>
      <w:r>
        <w:rPr>
          <w:rStyle w:val="29"/>
          <w:rFonts w:hint="eastAsia" w:eastAsia="黑体"/>
        </w:rPr>
        <w:t>安全措施</w:t>
      </w:r>
      <w:r>
        <w:tab/>
      </w:r>
      <w:r>
        <w:fldChar w:fldCharType="begin"/>
      </w:r>
      <w:r>
        <w:instrText xml:space="preserve"> PAGEREF _Toc483131242 \h </w:instrText>
      </w:r>
      <w:r>
        <w:fldChar w:fldCharType="separate"/>
      </w:r>
      <w:r>
        <w:t>49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"_Toc483131243" </w:instrText>
      </w:r>
      <w:r>
        <w:fldChar w:fldCharType="separate"/>
      </w:r>
      <w:r>
        <w:rPr>
          <w:rStyle w:val="29"/>
          <w:rFonts w:ascii="黑体" w:hAnsi="黑体"/>
        </w:rPr>
        <w:t xml:space="preserve">7.1 </w:t>
      </w:r>
      <w:r>
        <w:rPr>
          <w:rStyle w:val="29"/>
          <w:rFonts w:hint="eastAsia" w:ascii="黑体" w:hAnsi="黑体"/>
        </w:rPr>
        <w:t>劳动安全卫生</w:t>
      </w:r>
      <w:r>
        <w:tab/>
      </w:r>
      <w:r>
        <w:fldChar w:fldCharType="begin"/>
      </w:r>
      <w:r>
        <w:instrText xml:space="preserve"> PAGEREF _Toc483131243 \h </w:instrText>
      </w:r>
      <w:r>
        <w:fldChar w:fldCharType="separate"/>
      </w:r>
      <w:r>
        <w:t>49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"_Toc483131244" </w:instrText>
      </w:r>
      <w:r>
        <w:fldChar w:fldCharType="separate"/>
      </w:r>
      <w:r>
        <w:rPr>
          <w:rStyle w:val="29"/>
          <w:rFonts w:ascii="黑体" w:hAnsi="黑体"/>
        </w:rPr>
        <w:t xml:space="preserve">7.2 </w:t>
      </w:r>
      <w:r>
        <w:rPr>
          <w:rStyle w:val="29"/>
          <w:rFonts w:hint="eastAsia" w:ascii="黑体" w:hAnsi="黑体"/>
        </w:rPr>
        <w:t>消防设施</w:t>
      </w:r>
      <w:r>
        <w:tab/>
      </w:r>
      <w:r>
        <w:fldChar w:fldCharType="begin"/>
      </w:r>
      <w:r>
        <w:instrText xml:space="preserve"> PAGEREF _Toc483131244 \h </w:instrText>
      </w:r>
      <w:r>
        <w:fldChar w:fldCharType="separate"/>
      </w:r>
      <w:r>
        <w:t>55</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"_Toc483131245" </w:instrText>
      </w:r>
      <w:r>
        <w:fldChar w:fldCharType="separate"/>
      </w:r>
      <w:r>
        <w:rPr>
          <w:rStyle w:val="29"/>
          <w:rFonts w:hint="eastAsia" w:eastAsia="黑体"/>
        </w:rPr>
        <w:t>第八章</w:t>
      </w:r>
      <w:r>
        <w:rPr>
          <w:rStyle w:val="29"/>
          <w:rFonts w:eastAsia="黑体"/>
        </w:rPr>
        <w:t xml:space="preserve"> </w:t>
      </w:r>
      <w:r>
        <w:rPr>
          <w:rStyle w:val="29"/>
          <w:rFonts w:hint="eastAsia" w:eastAsia="黑体"/>
        </w:rPr>
        <w:t>项目组织机构和管理</w:t>
      </w:r>
      <w:r>
        <w:tab/>
      </w:r>
      <w:r>
        <w:fldChar w:fldCharType="begin"/>
      </w:r>
      <w:r>
        <w:instrText xml:space="preserve"> PAGEREF _Toc483131245 \h </w:instrText>
      </w:r>
      <w:r>
        <w:fldChar w:fldCharType="separate"/>
      </w:r>
      <w:r>
        <w:t>57</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"_Toc483131246" </w:instrText>
      </w:r>
      <w:r>
        <w:fldChar w:fldCharType="separate"/>
      </w:r>
      <w:r>
        <w:rPr>
          <w:rStyle w:val="29"/>
        </w:rPr>
        <w:t xml:space="preserve">8.1 </w:t>
      </w:r>
      <w:r>
        <w:rPr>
          <w:rStyle w:val="29"/>
          <w:rFonts w:hint="eastAsia"/>
        </w:rPr>
        <w:t>组织机构</w:t>
      </w:r>
      <w:r>
        <w:tab/>
      </w:r>
      <w:r>
        <w:fldChar w:fldCharType="begin"/>
      </w:r>
      <w:r>
        <w:instrText xml:space="preserve"> PAGEREF _Toc483131246 \h </w:instrText>
      </w:r>
      <w:r>
        <w:fldChar w:fldCharType="separate"/>
      </w:r>
      <w:r>
        <w:t>57</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"_Toc483131247" </w:instrText>
      </w:r>
      <w:r>
        <w:fldChar w:fldCharType="separate"/>
      </w:r>
      <w:r>
        <w:rPr>
          <w:rStyle w:val="29"/>
        </w:rPr>
        <w:t xml:space="preserve">8.2 </w:t>
      </w:r>
      <w:r>
        <w:rPr>
          <w:rStyle w:val="29"/>
          <w:rFonts w:hint="eastAsia"/>
        </w:rPr>
        <w:t>人力资源配置</w:t>
      </w:r>
      <w:r>
        <w:tab/>
      </w:r>
      <w:r>
        <w:fldChar w:fldCharType="begin"/>
      </w:r>
      <w:r>
        <w:instrText xml:space="preserve"> PAGEREF _Toc483131247 \h </w:instrText>
      </w:r>
      <w:r>
        <w:fldChar w:fldCharType="separate"/>
      </w:r>
      <w:r>
        <w:t>57</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"_Toc483131248" </w:instrText>
      </w:r>
      <w:r>
        <w:fldChar w:fldCharType="separate"/>
      </w:r>
      <w:r>
        <w:rPr>
          <w:rStyle w:val="29"/>
          <w:rFonts w:hint="eastAsia" w:eastAsia="黑体"/>
        </w:rPr>
        <w:t>第九章</w:t>
      </w:r>
      <w:r>
        <w:rPr>
          <w:rStyle w:val="29"/>
          <w:rFonts w:eastAsia="黑体"/>
        </w:rPr>
        <w:t xml:space="preserve">  </w:t>
      </w:r>
      <w:r>
        <w:rPr>
          <w:rStyle w:val="29"/>
          <w:rFonts w:hint="eastAsia" w:eastAsia="黑体"/>
        </w:rPr>
        <w:t>建设进度计划与招投标</w:t>
      </w:r>
      <w:r>
        <w:tab/>
      </w:r>
      <w:r>
        <w:fldChar w:fldCharType="begin"/>
      </w:r>
      <w:r>
        <w:instrText xml:space="preserve"> PAGEREF _Toc483131248 \h </w:instrText>
      </w:r>
      <w:r>
        <w:fldChar w:fldCharType="separate"/>
      </w:r>
      <w:r>
        <w:t>59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"_Toc483131249" </w:instrText>
      </w:r>
      <w:r>
        <w:fldChar w:fldCharType="separate"/>
      </w:r>
      <w:r>
        <w:rPr>
          <w:rStyle w:val="29"/>
        </w:rPr>
        <w:t xml:space="preserve">9.1 </w:t>
      </w:r>
      <w:r>
        <w:rPr>
          <w:rStyle w:val="29"/>
          <w:rFonts w:hint="eastAsia"/>
        </w:rPr>
        <w:t>建设进度</w:t>
      </w:r>
      <w:r>
        <w:tab/>
      </w:r>
      <w:r>
        <w:fldChar w:fldCharType="begin"/>
      </w:r>
      <w:r>
        <w:instrText xml:space="preserve"> PAGEREF _Toc483131249 \h </w:instrText>
      </w:r>
      <w:r>
        <w:fldChar w:fldCharType="separate"/>
      </w:r>
      <w:r>
        <w:t>59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"_Toc483131250" </w:instrText>
      </w:r>
      <w:r>
        <w:fldChar w:fldCharType="separate"/>
      </w:r>
      <w:r>
        <w:rPr>
          <w:rStyle w:val="29"/>
        </w:rPr>
        <w:t xml:space="preserve">9.2 </w:t>
      </w:r>
      <w:r>
        <w:rPr>
          <w:rStyle w:val="29"/>
          <w:rFonts w:hint="eastAsia"/>
        </w:rPr>
        <w:t>招投标</w:t>
      </w:r>
      <w:r>
        <w:tab/>
      </w:r>
      <w:r>
        <w:fldChar w:fldCharType="begin"/>
      </w:r>
      <w:r>
        <w:instrText xml:space="preserve"> PAGEREF _Toc483131250 \h </w:instrText>
      </w:r>
      <w:r>
        <w:fldChar w:fldCharType="separate"/>
      </w:r>
      <w:r>
        <w:t>61</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"_Toc483131251" </w:instrText>
      </w:r>
      <w:r>
        <w:fldChar w:fldCharType="separate"/>
      </w:r>
      <w:r>
        <w:rPr>
          <w:rStyle w:val="29"/>
          <w:rFonts w:hint="eastAsia" w:eastAsia="黑体"/>
        </w:rPr>
        <w:t>第十章</w:t>
      </w:r>
      <w:r>
        <w:rPr>
          <w:rStyle w:val="29"/>
          <w:rFonts w:eastAsia="黑体"/>
        </w:rPr>
        <w:t xml:space="preserve">  </w:t>
      </w:r>
      <w:r>
        <w:rPr>
          <w:rStyle w:val="29"/>
          <w:rFonts w:hint="eastAsia" w:eastAsia="黑体"/>
        </w:rPr>
        <w:t>投资估算与资金筹措</w:t>
      </w:r>
      <w:r>
        <w:tab/>
      </w:r>
      <w:r>
        <w:fldChar w:fldCharType="begin"/>
      </w:r>
      <w:r>
        <w:instrText xml:space="preserve"> PAGEREF _Toc483131251 \h </w:instrText>
      </w:r>
      <w:r>
        <w:fldChar w:fldCharType="separate"/>
      </w:r>
      <w:r>
        <w:t>64</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"_Toc483131252" </w:instrText>
      </w:r>
      <w:r>
        <w:fldChar w:fldCharType="separate"/>
      </w:r>
      <w:r>
        <w:rPr>
          <w:rStyle w:val="29"/>
        </w:rPr>
        <w:t xml:space="preserve">10.1 </w:t>
      </w:r>
      <w:r>
        <w:rPr>
          <w:rStyle w:val="29"/>
          <w:rFonts w:hint="eastAsia"/>
        </w:rPr>
        <w:t>编制范围</w:t>
      </w:r>
      <w:r>
        <w:tab/>
      </w:r>
      <w:r>
        <w:fldChar w:fldCharType="begin"/>
      </w:r>
      <w:r>
        <w:instrText xml:space="preserve"> PAGEREF _Toc483131252 \h </w:instrText>
      </w:r>
      <w:r>
        <w:fldChar w:fldCharType="separate"/>
      </w:r>
      <w:r>
        <w:t>64</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"_Toc483131253" </w:instrText>
      </w:r>
      <w:r>
        <w:fldChar w:fldCharType="separate"/>
      </w:r>
      <w:r>
        <w:rPr>
          <w:rStyle w:val="29"/>
        </w:rPr>
        <w:t xml:space="preserve">10.2 </w:t>
      </w:r>
      <w:r>
        <w:rPr>
          <w:rStyle w:val="29"/>
          <w:rFonts w:hint="eastAsia"/>
        </w:rPr>
        <w:t>编制依据</w:t>
      </w:r>
      <w:r>
        <w:tab/>
      </w:r>
      <w:r>
        <w:fldChar w:fldCharType="begin"/>
      </w:r>
      <w:r>
        <w:instrText xml:space="preserve"> PAGEREF _Toc483131253 \h </w:instrText>
      </w:r>
      <w:r>
        <w:fldChar w:fldCharType="separate"/>
      </w:r>
      <w:r>
        <w:t>64</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"_Toc483131254" </w:instrText>
      </w:r>
      <w:r>
        <w:fldChar w:fldCharType="separate"/>
      </w:r>
      <w:r>
        <w:rPr>
          <w:rStyle w:val="29"/>
        </w:rPr>
        <w:t xml:space="preserve">10.3 </w:t>
      </w:r>
      <w:r>
        <w:rPr>
          <w:rStyle w:val="29"/>
          <w:rFonts w:hint="eastAsia"/>
        </w:rPr>
        <w:t>估算方法</w:t>
      </w:r>
      <w:r>
        <w:tab/>
      </w:r>
      <w:r>
        <w:fldChar w:fldCharType="begin"/>
      </w:r>
      <w:r>
        <w:instrText xml:space="preserve"> PAGEREF _Toc483131254 \h </w:instrText>
      </w:r>
      <w:r>
        <w:fldChar w:fldCharType="separate"/>
      </w:r>
      <w:r>
        <w:t>65</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"_Toc483131255" </w:instrText>
      </w:r>
      <w:r>
        <w:fldChar w:fldCharType="separate"/>
      </w:r>
      <w:r>
        <w:rPr>
          <w:rStyle w:val="29"/>
        </w:rPr>
        <w:t xml:space="preserve">10.4 </w:t>
      </w:r>
      <w:r>
        <w:rPr>
          <w:rStyle w:val="29"/>
          <w:rFonts w:hint="eastAsia"/>
        </w:rPr>
        <w:t>总投资</w:t>
      </w:r>
      <w:r>
        <w:tab/>
      </w:r>
      <w:r>
        <w:fldChar w:fldCharType="begin"/>
      </w:r>
      <w:r>
        <w:instrText xml:space="preserve"> PAGEREF _Toc483131255 \h </w:instrText>
      </w:r>
      <w:r>
        <w:fldChar w:fldCharType="separate"/>
      </w:r>
      <w:r>
        <w:t>66</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"_Toc483131256" </w:instrText>
      </w:r>
      <w:r>
        <w:fldChar w:fldCharType="separate"/>
      </w:r>
      <w:r>
        <w:rPr>
          <w:rStyle w:val="29"/>
          <w:rFonts w:ascii="黑体"/>
        </w:rPr>
        <w:t xml:space="preserve">10.5 </w:t>
      </w:r>
      <w:r>
        <w:rPr>
          <w:rStyle w:val="29"/>
          <w:rFonts w:hint="eastAsia" w:ascii="黑体"/>
        </w:rPr>
        <w:t>资金使用计划与筹措</w:t>
      </w:r>
      <w:r>
        <w:tab/>
      </w:r>
      <w:r>
        <w:fldChar w:fldCharType="begin"/>
      </w:r>
      <w:r>
        <w:instrText xml:space="preserve"> PAGEREF _Toc483131256 \h </w:instrText>
      </w:r>
      <w:r>
        <w:fldChar w:fldCharType="separate"/>
      </w:r>
      <w:r>
        <w:t>70</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"_Toc483131257" </w:instrText>
      </w:r>
      <w:r>
        <w:fldChar w:fldCharType="separate"/>
      </w:r>
      <w:r>
        <w:rPr>
          <w:rStyle w:val="29"/>
          <w:rFonts w:hint="eastAsia" w:eastAsia="黑体"/>
        </w:rPr>
        <w:t>第十一章</w:t>
      </w:r>
      <w:r>
        <w:rPr>
          <w:rStyle w:val="29"/>
          <w:rFonts w:eastAsia="黑体"/>
        </w:rPr>
        <w:t xml:space="preserve">  </w:t>
      </w:r>
      <w:r>
        <w:rPr>
          <w:rStyle w:val="29"/>
          <w:rFonts w:hint="eastAsia" w:eastAsia="黑体"/>
        </w:rPr>
        <w:t>社会评价</w:t>
      </w:r>
      <w:r>
        <w:tab/>
      </w:r>
      <w:r>
        <w:fldChar w:fldCharType="begin"/>
      </w:r>
      <w:r>
        <w:instrText xml:space="preserve"> PAGEREF _Toc483131257 \h </w:instrText>
      </w:r>
      <w:r>
        <w:fldChar w:fldCharType="separate"/>
      </w:r>
      <w:r>
        <w:t>71</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"_Toc483131258" </w:instrText>
      </w:r>
      <w:r>
        <w:fldChar w:fldCharType="separate"/>
      </w:r>
      <w:r>
        <w:rPr>
          <w:rStyle w:val="29"/>
        </w:rPr>
        <w:t xml:space="preserve">11.1 </w:t>
      </w:r>
      <w:r>
        <w:rPr>
          <w:rStyle w:val="29"/>
          <w:rFonts w:hint="eastAsia"/>
        </w:rPr>
        <w:t>社会效益影响分析</w:t>
      </w:r>
      <w:r>
        <w:tab/>
      </w:r>
      <w:r>
        <w:fldChar w:fldCharType="begin"/>
      </w:r>
      <w:r>
        <w:instrText xml:space="preserve"> PAGEREF _Toc483131258 \h </w:instrText>
      </w:r>
      <w:r>
        <w:fldChar w:fldCharType="separate"/>
      </w:r>
      <w:r>
        <w:t>71</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"_Toc483131259" </w:instrText>
      </w:r>
      <w:r>
        <w:fldChar w:fldCharType="separate"/>
      </w:r>
      <w:r>
        <w:rPr>
          <w:rStyle w:val="29"/>
        </w:rPr>
        <w:t xml:space="preserve">11.2 </w:t>
      </w:r>
      <w:r>
        <w:rPr>
          <w:rStyle w:val="29"/>
          <w:rFonts w:hint="eastAsia"/>
        </w:rPr>
        <w:t>项目互适性分析</w:t>
      </w:r>
      <w:r>
        <w:tab/>
      </w:r>
      <w:r>
        <w:fldChar w:fldCharType="begin"/>
      </w:r>
      <w:r>
        <w:instrText xml:space="preserve"> PAGEREF _Toc483131259 \h </w:instrText>
      </w:r>
      <w:r>
        <w:fldChar w:fldCharType="separate"/>
      </w:r>
      <w:r>
        <w:t>74</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"_Toc483131260" </w:instrText>
      </w:r>
      <w:r>
        <w:fldChar w:fldCharType="separate"/>
      </w:r>
      <w:r>
        <w:rPr>
          <w:rStyle w:val="29"/>
        </w:rPr>
        <w:t>11.3</w:t>
      </w:r>
      <w:r>
        <w:rPr>
          <w:rStyle w:val="29"/>
          <w:rFonts w:hint="eastAsia"/>
        </w:rPr>
        <w:t>社会评价结论</w:t>
      </w:r>
      <w:r>
        <w:tab/>
      </w:r>
      <w:r>
        <w:fldChar w:fldCharType="begin"/>
      </w:r>
      <w:r>
        <w:instrText xml:space="preserve"> PAGEREF _Toc483131260 \h </w:instrText>
      </w:r>
      <w:r>
        <w:fldChar w:fldCharType="separate"/>
      </w:r>
      <w:r>
        <w:t>74</w:t>
      </w:r>
      <w:r>
        <w:fldChar w:fldCharType="end"/>
      </w:r>
      <w:r>
        <w:fldChar w:fldCharType="end"/>
      </w:r>
    </w:p>
    <w:p>
      <w:pPr>
        <w:pStyle w:val="20"/>
        <w:rPr>
          <w:rFonts w:asciiTheme="minorHAnsi" w:hAnsiTheme="minorHAnsi" w:eastAsiaTheme="minorEastAsia" w:cstheme="minorBidi"/>
          <w:sz w:val="21"/>
          <w:szCs w:val="22"/>
        </w:rPr>
      </w:pPr>
      <w:r>
        <w:fldChar w:fldCharType="begin"/>
      </w:r>
      <w:r>
        <w:instrText xml:space="preserve"> HYPERLINK \l "_Toc483131261" </w:instrText>
      </w:r>
      <w:r>
        <w:fldChar w:fldCharType="separate"/>
      </w:r>
      <w:r>
        <w:rPr>
          <w:rStyle w:val="29"/>
          <w:rFonts w:hint="eastAsia" w:eastAsia="黑体"/>
        </w:rPr>
        <w:t>第十二章</w:t>
      </w:r>
      <w:r>
        <w:rPr>
          <w:rStyle w:val="29"/>
          <w:rFonts w:eastAsia="黑体"/>
        </w:rPr>
        <w:t xml:space="preserve">  </w:t>
      </w:r>
      <w:r>
        <w:rPr>
          <w:rStyle w:val="29"/>
          <w:rFonts w:hint="eastAsia" w:eastAsia="黑体"/>
        </w:rPr>
        <w:t>结论与建议</w:t>
      </w:r>
      <w:r>
        <w:tab/>
      </w:r>
      <w:r>
        <w:fldChar w:fldCharType="begin"/>
      </w:r>
      <w:r>
        <w:instrText xml:space="preserve"> PAGEREF _Toc483131261 \h </w:instrText>
      </w:r>
      <w:r>
        <w:fldChar w:fldCharType="separate"/>
      </w:r>
      <w:r>
        <w:t>75</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"_Toc483131262" </w:instrText>
      </w:r>
      <w:r>
        <w:fldChar w:fldCharType="separate"/>
      </w:r>
      <w:r>
        <w:rPr>
          <w:rStyle w:val="29"/>
        </w:rPr>
        <w:t xml:space="preserve">12.1 </w:t>
      </w:r>
      <w:r>
        <w:rPr>
          <w:rStyle w:val="29"/>
          <w:rFonts w:hint="eastAsia"/>
        </w:rPr>
        <w:t>结论</w:t>
      </w:r>
      <w:r>
        <w:tab/>
      </w:r>
      <w:r>
        <w:fldChar w:fldCharType="begin"/>
      </w:r>
      <w:r>
        <w:instrText xml:space="preserve"> PAGEREF _Toc483131262 \h </w:instrText>
      </w:r>
      <w:r>
        <w:fldChar w:fldCharType="separate"/>
      </w:r>
      <w:r>
        <w:t>75</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"_Toc483131263" </w:instrText>
      </w:r>
      <w:r>
        <w:fldChar w:fldCharType="separate"/>
      </w:r>
      <w:r>
        <w:rPr>
          <w:rStyle w:val="29"/>
        </w:rPr>
        <w:t xml:space="preserve">12.2 </w:t>
      </w:r>
      <w:r>
        <w:rPr>
          <w:rStyle w:val="29"/>
          <w:rFonts w:hint="eastAsia"/>
        </w:rPr>
        <w:t>建议</w:t>
      </w:r>
      <w:r>
        <w:tab/>
      </w:r>
      <w:r>
        <w:fldChar w:fldCharType="begin"/>
      </w:r>
      <w:r>
        <w:instrText xml:space="preserve"> PAGEREF _Toc483131263 \h </w:instrText>
      </w:r>
      <w:r>
        <w:fldChar w:fldCharType="separate"/>
      </w:r>
      <w:r>
        <w:t>76</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"_Toc483131264" </w:instrText>
      </w:r>
      <w:r>
        <w:fldChar w:fldCharType="separate"/>
      </w:r>
      <w:r>
        <w:rPr>
          <w:rStyle w:val="29"/>
          <w:rFonts w:hint="eastAsia" w:ascii="仿宋_GB2312" w:hAnsi="宋体" w:eastAsia="仿宋_GB2312"/>
          <w:b/>
        </w:rPr>
        <w:t>附件</w:t>
      </w:r>
      <w:r>
        <w:rPr>
          <w:rStyle w:val="29"/>
          <w:rFonts w:ascii="仿宋_GB2312" w:hAnsi="宋体" w:eastAsia="仿宋_GB2312"/>
          <w:b/>
        </w:rPr>
        <w:t>1</w:t>
      </w:r>
      <w:r>
        <w:rPr>
          <w:rStyle w:val="29"/>
          <w:rFonts w:hint="eastAsia" w:ascii="仿宋_GB2312" w:hAnsi="宋体" w:eastAsia="仿宋_GB2312"/>
          <w:b/>
        </w:rPr>
        <w:t>大华路平面图</w:t>
      </w:r>
      <w:r>
        <w:tab/>
      </w:r>
      <w:r>
        <w:fldChar w:fldCharType="begin"/>
      </w:r>
      <w:r>
        <w:instrText xml:space="preserve"> PAGEREF _Toc483131264 \h </w:instrText>
      </w:r>
      <w:r>
        <w:fldChar w:fldCharType="separate"/>
      </w:r>
      <w:r>
        <w:t>77</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"_Toc483131265" </w:instrText>
      </w:r>
      <w:r>
        <w:fldChar w:fldCharType="separate"/>
      </w:r>
      <w:r>
        <w:rPr>
          <w:rStyle w:val="29"/>
          <w:rFonts w:hint="eastAsia" w:ascii="仿宋_GB2312" w:hAnsi="宋体" w:eastAsia="仿宋_GB2312"/>
          <w:b/>
        </w:rPr>
        <w:t>附件</w:t>
      </w:r>
      <w:r>
        <w:rPr>
          <w:rStyle w:val="29"/>
          <w:rFonts w:ascii="仿宋_GB2312" w:hAnsi="宋体" w:eastAsia="仿宋_GB2312"/>
          <w:b/>
        </w:rPr>
        <w:t>2</w:t>
      </w:r>
      <w:r>
        <w:rPr>
          <w:rStyle w:val="29"/>
          <w:rFonts w:hint="eastAsia" w:ascii="仿宋_GB2312" w:hAnsi="宋体" w:eastAsia="仿宋_GB2312"/>
          <w:b/>
        </w:rPr>
        <w:t>大华路平面指标</w:t>
      </w:r>
      <w:r>
        <w:tab/>
      </w:r>
      <w:r>
        <w:fldChar w:fldCharType="begin"/>
      </w:r>
      <w:r>
        <w:instrText xml:space="preserve"> PAGEREF _Toc483131265 \h </w:instrText>
      </w:r>
      <w:r>
        <w:fldChar w:fldCharType="separate"/>
      </w:r>
      <w:r>
        <w:t>78</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"_Toc483131266" </w:instrText>
      </w:r>
      <w:r>
        <w:fldChar w:fldCharType="separate"/>
      </w:r>
      <w:r>
        <w:rPr>
          <w:rStyle w:val="29"/>
          <w:rFonts w:hint="eastAsia" w:ascii="仿宋_GB2312" w:hAnsi="宋体" w:eastAsia="仿宋_GB2312"/>
          <w:b/>
        </w:rPr>
        <w:t>附件</w:t>
      </w:r>
      <w:r>
        <w:rPr>
          <w:rStyle w:val="29"/>
          <w:rFonts w:ascii="仿宋_GB2312" w:hAnsi="宋体" w:eastAsia="仿宋_GB2312"/>
          <w:b/>
        </w:rPr>
        <w:t>3</w:t>
      </w:r>
      <w:r>
        <w:rPr>
          <w:rStyle w:val="29"/>
          <w:rFonts w:hint="eastAsia" w:ascii="仿宋_GB2312" w:hAnsi="宋体" w:eastAsia="仿宋_GB2312"/>
          <w:b/>
        </w:rPr>
        <w:t>效果图</w:t>
      </w:r>
      <w:r>
        <w:tab/>
      </w:r>
      <w:r>
        <w:fldChar w:fldCharType="begin"/>
      </w:r>
      <w:r>
        <w:instrText xml:space="preserve"> PAGEREF _Toc483131266 \h </w:instrText>
      </w:r>
      <w:r>
        <w:fldChar w:fldCharType="separate"/>
      </w:r>
      <w:r>
        <w:t>79</w:t>
      </w:r>
      <w:r>
        <w:fldChar w:fldCharType="end"/>
      </w:r>
      <w:r>
        <w:fldChar w:fldCharType="end"/>
      </w:r>
    </w:p>
    <w:p>
      <w:pPr>
        <w:pStyle w:val="24"/>
        <w:rPr>
          <w:rFonts w:asciiTheme="minorHAnsi" w:hAnsiTheme="minorHAnsi" w:eastAsiaTheme="minorEastAsia" w:cstheme="minorBidi"/>
          <w:sz w:val="21"/>
          <w:szCs w:val="22"/>
        </w:rPr>
      </w:pPr>
      <w:r>
        <w:fldChar w:fldCharType="begin"/>
      </w:r>
      <w:r>
        <w:instrText xml:space="preserve"> HYPERLINK \l "_Toc483131267" </w:instrText>
      </w:r>
      <w:r>
        <w:fldChar w:fldCharType="separate"/>
      </w:r>
      <w:r>
        <w:rPr>
          <w:rStyle w:val="29"/>
          <w:rFonts w:hint="eastAsia" w:ascii="仿宋_GB2312" w:hAnsi="宋体" w:eastAsia="仿宋_GB2312"/>
          <w:b/>
        </w:rPr>
        <w:t>附件</w:t>
      </w:r>
      <w:r>
        <w:rPr>
          <w:rStyle w:val="29"/>
          <w:rFonts w:ascii="仿宋_GB2312" w:hAnsi="宋体" w:eastAsia="仿宋_GB2312"/>
          <w:b/>
        </w:rPr>
        <w:t>4</w:t>
      </w:r>
      <w:r>
        <w:rPr>
          <w:rStyle w:val="29"/>
          <w:rFonts w:hint="eastAsia" w:ascii="仿宋_GB2312" w:hAnsi="宋体" w:eastAsia="仿宋_GB2312"/>
          <w:b/>
        </w:rPr>
        <w:t>效果图</w:t>
      </w:r>
      <w:r>
        <w:tab/>
      </w:r>
      <w:r>
        <w:fldChar w:fldCharType="begin"/>
      </w:r>
      <w:r>
        <w:instrText xml:space="preserve"> PAGEREF _Toc483131267 \h </w:instrText>
      </w:r>
      <w:r>
        <w:fldChar w:fldCharType="separate"/>
      </w:r>
      <w:r>
        <w:t>80</w:t>
      </w:r>
      <w:r>
        <w:fldChar w:fldCharType="end"/>
      </w:r>
      <w:r>
        <w:fldChar w:fldCharType="end"/>
      </w:r>
    </w:p>
    <w:p>
      <w:pPr>
        <w:tabs>
          <w:tab w:val="left" w:pos="681"/>
        </w:tabs>
        <w:spacing w:line="360" w:lineRule="auto"/>
        <w:ind w:firstLine="560" w:firstLineChars="200"/>
        <w:rPr>
          <w:rFonts w:ascii="仿宋_GB2312" w:eastAsia="仿宋_GB2312"/>
          <w:color w:val="000000"/>
          <w:szCs w:val="21"/>
        </w:rPr>
      </w:pPr>
      <w:r>
        <w:rPr>
          <w:rFonts w:ascii="仿宋_GB2312" w:eastAsia="仿宋_GB2312"/>
          <w:color w:val="000000"/>
          <w:sz w:val="28"/>
          <w:szCs w:val="28"/>
        </w:rPr>
        <w:fldChar w:fldCharType="end"/>
      </w:r>
    </w:p>
    <w:p>
      <w:pPr>
        <w:tabs>
          <w:tab w:val="left" w:pos="681"/>
        </w:tabs>
        <w:spacing w:line="360" w:lineRule="auto"/>
        <w:ind w:firstLine="560" w:firstLineChars="200"/>
        <w:rPr>
          <w:rFonts w:ascii="仿宋_GB2312" w:eastAsia="仿宋_GB2312"/>
          <w:color w:val="000000"/>
          <w:sz w:val="28"/>
          <w:szCs w:val="28"/>
        </w:rPr>
        <w:sectPr>
          <w:pgSz w:w="11906" w:h="16838"/>
          <w:pgMar w:top="1440" w:right="1800" w:bottom="1440" w:left="1800" w:header="851" w:footer="840" w:gutter="0"/>
          <w:pgNumType w:fmt="upperRoman" w:start="1"/>
          <w:cols w:space="425" w:num="1"/>
          <w:docGrid w:type="lines" w:linePitch="312" w:charSpace="0"/>
        </w:sectPr>
      </w:pPr>
    </w:p>
    <w:p>
      <w:pPr>
        <w:pStyle w:val="2"/>
        <w:spacing w:beforeLines="50" w:afterLines="50" w:line="540" w:lineRule="exact"/>
        <w:jc w:val="center"/>
        <w:rPr>
          <w:rFonts w:ascii="黑体" w:eastAsia="黑体"/>
          <w:color w:val="000000"/>
          <w:sz w:val="32"/>
          <w:szCs w:val="32"/>
        </w:rPr>
      </w:pPr>
      <w:bookmarkStart w:id="3" w:name="_Toc483131214"/>
      <w:r>
        <w:rPr>
          <w:rFonts w:hint="eastAsia" w:ascii="黑体" w:eastAsia="黑体"/>
          <w:color w:val="000000"/>
          <w:sz w:val="32"/>
          <w:szCs w:val="32"/>
        </w:rPr>
        <w:t>第一章 总论</w:t>
      </w:r>
      <w:bookmarkEnd w:id="1"/>
      <w:bookmarkEnd w:id="2"/>
      <w:bookmarkEnd w:id="3"/>
    </w:p>
    <w:p>
      <w:pPr>
        <w:pStyle w:val="3"/>
        <w:spacing w:beforeLines="50" w:afterLines="50" w:line="540" w:lineRule="exact"/>
        <w:rPr>
          <w:rFonts w:cs="Arial"/>
          <w:color w:val="000000"/>
        </w:rPr>
      </w:pPr>
      <w:bookmarkStart w:id="4" w:name="_Toc101342680"/>
      <w:bookmarkStart w:id="5" w:name="_Toc115148125"/>
      <w:bookmarkStart w:id="6" w:name="_Toc483131215"/>
      <w:bookmarkStart w:id="7" w:name="_Toc195434087"/>
      <w:r>
        <w:rPr>
          <w:rFonts w:cs="Arial"/>
          <w:color w:val="000000"/>
        </w:rPr>
        <w:t>1.1</w:t>
      </w:r>
      <w:r>
        <w:rPr>
          <w:rFonts w:hint="eastAsia" w:cs="Arial"/>
          <w:color w:val="000000"/>
        </w:rPr>
        <w:t xml:space="preserve"> 项目</w:t>
      </w:r>
      <w:bookmarkEnd w:id="4"/>
      <w:bookmarkEnd w:id="5"/>
      <w:r>
        <w:rPr>
          <w:rFonts w:hint="eastAsia" w:cs="Arial"/>
          <w:color w:val="000000"/>
        </w:rPr>
        <w:t>背景</w:t>
      </w:r>
      <w:bookmarkEnd w:id="6"/>
      <w:bookmarkEnd w:id="7"/>
    </w:p>
    <w:p>
      <w:pPr>
        <w:spacing w:beforeLines="50" w:afterLines="50" w:line="540" w:lineRule="exact"/>
        <w:outlineLvl w:val="2"/>
        <w:rPr>
          <w:rFonts w:ascii="Arial" w:hAnsi="Arial" w:eastAsia="黑体" w:cs="Arial"/>
          <w:bCs/>
          <w:color w:val="000000"/>
          <w:sz w:val="32"/>
          <w:szCs w:val="32"/>
        </w:rPr>
      </w:pPr>
      <w:r>
        <w:rPr>
          <w:rFonts w:ascii="Arial" w:hAnsi="Arial" w:eastAsia="黑体" w:cs="Arial"/>
          <w:bCs/>
          <w:color w:val="000000"/>
          <w:sz w:val="32"/>
          <w:szCs w:val="32"/>
        </w:rPr>
        <w:t>1.1.1</w:t>
      </w:r>
      <w:r>
        <w:rPr>
          <w:rFonts w:hint="eastAsia" w:ascii="Arial" w:hAnsi="Arial" w:eastAsia="黑体" w:cs="Arial"/>
          <w:bCs/>
          <w:color w:val="000000"/>
          <w:sz w:val="32"/>
          <w:szCs w:val="32"/>
        </w:rPr>
        <w:t xml:space="preserve"> 项目名称</w:t>
      </w:r>
    </w:p>
    <w:p>
      <w:pPr>
        <w:spacing w:beforeLines="50" w:afterLines="50" w:line="360" w:lineRule="auto"/>
        <w:ind w:firstLine="640" w:firstLineChars="200"/>
        <w:rPr>
          <w:rFonts w:ascii="仿宋_GB2312" w:hAnsi="宋体" w:eastAsia="仿宋_GB2312"/>
          <w:color w:val="000000"/>
          <w:sz w:val="32"/>
          <w:szCs w:val="32"/>
        </w:rPr>
      </w:pPr>
      <w:bookmarkStart w:id="8" w:name="_Toc101342682"/>
      <w:r>
        <w:rPr>
          <w:rFonts w:hint="eastAsia" w:ascii="仿宋_GB2312" w:hAnsi="宋体" w:eastAsia="仿宋_GB2312"/>
          <w:color w:val="000000"/>
          <w:sz w:val="32"/>
          <w:szCs w:val="32"/>
        </w:rPr>
        <w:t>大华路景观美化（海滨路—金砂路）工程项目</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1.1.2 项目建设单位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汕头市金平区住房和城乡建设局</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1.1.3 承担编制项目可行性研究报告的咨询单位</w:t>
      </w:r>
    </w:p>
    <w:p>
      <w:pPr>
        <w:spacing w:beforeLines="50" w:afterLines="50" w:line="360" w:lineRule="auto"/>
        <w:ind w:firstLine="640" w:firstLineChars="200"/>
        <w:rPr>
          <w:rFonts w:hint="eastAsia" w:ascii="仿宋_GB2312" w:hAnsi="宋体" w:eastAsia="仿宋_GB2312"/>
          <w:color w:val="000000"/>
          <w:sz w:val="32"/>
          <w:szCs w:val="32"/>
        </w:rPr>
      </w:pPr>
      <w:r>
        <w:rPr>
          <w:rFonts w:hint="eastAsia" w:ascii="仿宋_GB2312" w:hAnsi="宋体" w:eastAsia="仿宋_GB2312"/>
          <w:color w:val="000000"/>
          <w:sz w:val="32"/>
          <w:szCs w:val="32"/>
        </w:rPr>
        <w:t>编制单位：广东国建工程项目管理有限公司</w:t>
      </w:r>
    </w:p>
    <w:p>
      <w:pPr>
        <w:spacing w:beforeLines="50" w:afterLines="50" w:line="360" w:lineRule="auto"/>
        <w:ind w:firstLine="640" w:firstLineChars="200"/>
        <w:rPr>
          <w:rFonts w:hint="eastAsia" w:ascii="仿宋_GB2312" w:hAnsi="宋体" w:eastAsia="仿宋_GB2312"/>
          <w:color w:val="000000"/>
          <w:sz w:val="32"/>
          <w:szCs w:val="32"/>
        </w:rPr>
      </w:pPr>
      <w:r>
        <w:rPr>
          <w:rFonts w:hint="eastAsia" w:ascii="仿宋_GB2312" w:hAnsi="宋体" w:eastAsia="仿宋_GB2312"/>
          <w:color w:val="000000"/>
          <w:sz w:val="32"/>
          <w:szCs w:val="32"/>
        </w:rPr>
        <w:t>法人代表：刘绍蓬</w:t>
      </w:r>
    </w:p>
    <w:p>
      <w:pPr>
        <w:spacing w:beforeLines="50" w:afterLines="50" w:line="360" w:lineRule="auto"/>
        <w:ind w:firstLine="640" w:firstLineChars="200"/>
        <w:rPr>
          <w:rFonts w:hint="eastAsia" w:ascii="仿宋_GB2312" w:hAnsi="宋体" w:eastAsia="仿宋_GB2312"/>
          <w:color w:val="000000"/>
          <w:sz w:val="32"/>
          <w:szCs w:val="32"/>
        </w:rPr>
      </w:pPr>
      <w:r>
        <w:rPr>
          <w:rFonts w:hint="eastAsia" w:ascii="仿宋_GB2312" w:hAnsi="宋体" w:eastAsia="仿宋_GB2312"/>
          <w:color w:val="000000"/>
          <w:sz w:val="32"/>
          <w:szCs w:val="32"/>
        </w:rPr>
        <w:t>注册资本：人民币1050.00万元</w:t>
      </w:r>
    </w:p>
    <w:p>
      <w:pPr>
        <w:spacing w:beforeLines="50" w:afterLines="50" w:line="360" w:lineRule="auto"/>
        <w:ind w:firstLine="640" w:firstLineChars="200"/>
        <w:rPr>
          <w:rFonts w:hint="eastAsia" w:ascii="仿宋_GB2312" w:hAnsi="宋体" w:eastAsia="仿宋_GB2312"/>
          <w:color w:val="000000"/>
          <w:sz w:val="32"/>
          <w:szCs w:val="32"/>
        </w:rPr>
      </w:pPr>
      <w:r>
        <w:rPr>
          <w:rFonts w:hint="eastAsia" w:ascii="仿宋_GB2312" w:hAnsi="宋体" w:eastAsia="仿宋_GB2312"/>
          <w:color w:val="000000"/>
          <w:sz w:val="32"/>
          <w:szCs w:val="32"/>
        </w:rPr>
        <w:t>工程咨询资格：工咨甲12320060076</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发证机关：中华人民共和国国家发展和改革委员会</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1.1.4 可行性研究报告的编制依据</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w:t>
      </w:r>
      <w:r>
        <w:rPr>
          <w:rFonts w:hint="eastAsia" w:ascii="仿宋_GB2312" w:hAnsi="宋体" w:eastAsia="仿宋_GB2312"/>
          <w:color w:val="000000"/>
          <w:sz w:val="32"/>
          <w:szCs w:val="32"/>
        </w:rPr>
        <w:tab/>
      </w:r>
      <w:r>
        <w:rPr>
          <w:rFonts w:hint="eastAsia" w:ascii="仿宋_GB2312" w:hAnsi="宋体" w:eastAsia="仿宋_GB2312"/>
          <w:color w:val="000000"/>
          <w:sz w:val="32"/>
          <w:szCs w:val="32"/>
        </w:rPr>
        <w:t>《汕头市城市发展战略规划》；</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w:t>
      </w:r>
      <w:r>
        <w:rPr>
          <w:rFonts w:hint="eastAsia" w:ascii="仿宋_GB2312" w:hAnsi="宋体" w:eastAsia="仿宋_GB2312"/>
          <w:color w:val="000000"/>
          <w:sz w:val="32"/>
          <w:szCs w:val="32"/>
        </w:rPr>
        <w:tab/>
      </w:r>
      <w:r>
        <w:rPr>
          <w:rFonts w:hint="eastAsia" w:ascii="仿宋_GB2312" w:hAnsi="宋体" w:eastAsia="仿宋_GB2312"/>
          <w:color w:val="000000"/>
          <w:sz w:val="32"/>
          <w:szCs w:val="32"/>
        </w:rPr>
        <w:t>《汕头市国民经济和社会发展第十三个五年规划纲要》；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w:t>
      </w:r>
      <w:r>
        <w:rPr>
          <w:rFonts w:hint="eastAsia" w:ascii="仿宋_GB2312" w:hAnsi="宋体" w:eastAsia="仿宋_GB2312"/>
          <w:color w:val="000000"/>
          <w:sz w:val="32"/>
          <w:szCs w:val="32"/>
        </w:rPr>
        <w:tab/>
      </w:r>
      <w:r>
        <w:rPr>
          <w:rFonts w:hint="eastAsia" w:ascii="仿宋_GB2312" w:hAnsi="宋体" w:eastAsia="仿宋_GB2312"/>
          <w:color w:val="000000"/>
          <w:sz w:val="32"/>
          <w:szCs w:val="32"/>
        </w:rPr>
        <w:t>《汕头市城市总体规划（2002—2020</w:t>
      </w:r>
      <w:r>
        <w:rPr>
          <w:rFonts w:hint="eastAsia" w:ascii="仿宋_GB2312" w:hAnsi="宋体" w:eastAsia="仿宋_GB2312"/>
          <w:color w:val="000000"/>
          <w:sz w:val="32"/>
          <w:szCs w:val="32"/>
          <w:lang w:eastAsia="zh-CN"/>
        </w:rPr>
        <w:t>年</w:t>
      </w:r>
      <w:r>
        <w:rPr>
          <w:rFonts w:hint="eastAsia" w:ascii="仿宋_GB2312" w:hAnsi="宋体" w:eastAsia="仿宋_GB2312"/>
          <w:color w:val="000000"/>
          <w:sz w:val="32"/>
          <w:szCs w:val="32"/>
        </w:rPr>
        <w:t>）</w:t>
      </w:r>
      <w:r>
        <w:rPr>
          <w:rFonts w:hint="eastAsia" w:ascii="仿宋_GB2312" w:hAnsi="宋体" w:eastAsia="仿宋_GB2312"/>
          <w:color w:val="000000"/>
          <w:sz w:val="32"/>
          <w:szCs w:val="32"/>
          <w:lang w:eastAsia="zh-CN"/>
        </w:rPr>
        <w:t>（</w:t>
      </w:r>
      <w:r>
        <w:rPr>
          <w:rFonts w:hint="eastAsia" w:ascii="仿宋_GB2312" w:hAnsi="宋体" w:eastAsia="仿宋_GB2312"/>
          <w:color w:val="000000"/>
          <w:sz w:val="32"/>
          <w:szCs w:val="32"/>
          <w:lang w:val="en-US" w:eastAsia="zh-CN"/>
        </w:rPr>
        <w:t>2017年修订）</w:t>
      </w:r>
      <w:r>
        <w:rPr>
          <w:rFonts w:hint="eastAsia" w:ascii="仿宋_GB2312" w:hAnsi="宋体" w:eastAsia="仿宋_GB2312"/>
          <w:color w:val="000000"/>
          <w:sz w:val="32"/>
          <w:szCs w:val="32"/>
        </w:rPr>
        <w:t>》；</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w:t>
      </w:r>
      <w:r>
        <w:rPr>
          <w:rFonts w:hint="eastAsia" w:ascii="仿宋_GB2312" w:hAnsi="宋体" w:eastAsia="仿宋_GB2312"/>
          <w:color w:val="000000"/>
          <w:sz w:val="32"/>
          <w:szCs w:val="32"/>
        </w:rPr>
        <w:tab/>
      </w:r>
      <w:r>
        <w:rPr>
          <w:rFonts w:hint="eastAsia" w:ascii="仿宋_GB2312" w:hAnsi="宋体" w:eastAsia="仿宋_GB2312"/>
          <w:color w:val="000000"/>
          <w:sz w:val="32"/>
          <w:szCs w:val="32"/>
        </w:rPr>
        <w:t>《投资项目可行性研究指南》；</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w:t>
      </w:r>
      <w:r>
        <w:rPr>
          <w:rFonts w:hint="eastAsia" w:ascii="仿宋_GB2312" w:hAnsi="宋体" w:eastAsia="仿宋_GB2312"/>
          <w:color w:val="000000"/>
          <w:sz w:val="32"/>
          <w:szCs w:val="32"/>
        </w:rPr>
        <w:tab/>
      </w:r>
      <w:r>
        <w:rPr>
          <w:rFonts w:hint="eastAsia" w:ascii="仿宋_GB2312" w:hAnsi="宋体" w:eastAsia="仿宋_GB2312"/>
          <w:color w:val="000000"/>
          <w:sz w:val="32"/>
          <w:szCs w:val="32"/>
        </w:rPr>
        <w:t>本项目委托合同；</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  国家、省市现行相关政策法规、标准规范；</w:t>
      </w:r>
    </w:p>
    <w:p>
      <w:pPr>
        <w:spacing w:beforeLines="50" w:afterLines="50" w:line="360" w:lineRule="auto"/>
        <w:ind w:firstLine="640" w:firstLineChars="200"/>
        <w:rPr>
          <w:rFonts w:ascii="仿宋_GB2312" w:eastAsia="仿宋_GB2312"/>
          <w:color w:val="000000"/>
          <w:sz w:val="32"/>
          <w:szCs w:val="32"/>
        </w:rPr>
      </w:pPr>
      <w:r>
        <w:rPr>
          <w:rFonts w:hint="eastAsia" w:ascii="仿宋_GB2312" w:hAnsi="宋体" w:eastAsia="仿宋_GB2312"/>
          <w:color w:val="000000"/>
          <w:sz w:val="32"/>
          <w:szCs w:val="32"/>
        </w:rPr>
        <w:t>7.</w:t>
      </w:r>
      <w:r>
        <w:rPr>
          <w:rFonts w:hint="eastAsia" w:ascii="仿宋_GB2312" w:hAnsi="宋体" w:eastAsia="仿宋_GB2312"/>
          <w:color w:val="000000"/>
          <w:sz w:val="32"/>
          <w:szCs w:val="32"/>
        </w:rPr>
        <w:tab/>
      </w:r>
      <w:r>
        <w:rPr>
          <w:rFonts w:hint="eastAsia" w:ascii="仿宋_GB2312" w:hAnsi="宋体" w:eastAsia="仿宋_GB2312"/>
          <w:color w:val="000000"/>
          <w:sz w:val="32"/>
          <w:szCs w:val="32"/>
        </w:rPr>
        <w:t>委托方提供的相关资料。</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1.1.5 项目提出的理由与过程</w:t>
      </w:r>
    </w:p>
    <w:p>
      <w:pPr>
        <w:autoSpaceDE w:val="0"/>
        <w:autoSpaceDN w:val="0"/>
        <w:adjustRightInd w:val="0"/>
        <w:spacing w:beforeLines="50" w:afterLines="50" w:line="360" w:lineRule="auto"/>
        <w:ind w:firstLine="640" w:firstLineChars="200"/>
        <w:jc w:val="left"/>
        <w:rPr>
          <w:rFonts w:ascii="仿宋_GB2312" w:hAnsi="华文仿宋" w:eastAsia="仿宋_GB2312"/>
          <w:color w:val="000000"/>
          <w:sz w:val="32"/>
          <w:szCs w:val="32"/>
        </w:rPr>
      </w:pPr>
      <w:r>
        <w:rPr>
          <w:rFonts w:hint="eastAsia" w:ascii="仿宋_GB2312" w:hAnsi="华文仿宋" w:eastAsia="仿宋_GB2312"/>
          <w:color w:val="000000"/>
          <w:sz w:val="32"/>
          <w:szCs w:val="32"/>
        </w:rPr>
        <w:t>大华路建设过程与大多数的街道相类似，大华路沿街立面景观形成与上世纪末，主干道两侧建筑建成年代跨度很大，规划的分期性、不完整性，商业开发自身的多次性、自发性等主客观饿因素，使得大华街沿街立面景观呈现出一种相对混乱的状态变现为建筑立面缺乏特色，色彩风格不协调，户外广告数量多，店铺招牌高低不齐，城市街区面貌陈旧杂乱，严重影响城市形象。随着城市的社会经济发展，目前大华路的现状与其承担的城市职能和所处的城市地位远不相称。大华路沿街立面景观改造整治已势在必行。</w:t>
      </w:r>
    </w:p>
    <w:p>
      <w:pPr>
        <w:autoSpaceDE w:val="0"/>
        <w:autoSpaceDN w:val="0"/>
        <w:adjustRightInd w:val="0"/>
        <w:spacing w:beforeLines="50" w:afterLines="50" w:line="360" w:lineRule="auto"/>
        <w:ind w:firstLine="640" w:firstLineChars="200"/>
        <w:jc w:val="left"/>
        <w:rPr>
          <w:rFonts w:ascii="仿宋_GB2312" w:hAnsi="华文仿宋" w:eastAsia="仿宋_GB2312"/>
          <w:color w:val="000000"/>
          <w:sz w:val="32"/>
          <w:szCs w:val="32"/>
        </w:rPr>
      </w:pPr>
      <w:r>
        <w:rPr>
          <w:rFonts w:hint="eastAsia" w:ascii="仿宋_GB2312" w:hAnsi="华文仿宋" w:eastAsia="仿宋_GB2312"/>
          <w:color w:val="000000"/>
          <w:sz w:val="32"/>
          <w:szCs w:val="32"/>
        </w:rPr>
        <w:t>按照市委市政府、区委区政府关于汕头市争创全国文明城市的工作部署，为提升城市整体景观，针对大华路的现状和功能定位，区政府提出对街道辖区大华路（海滨路-金砂路）沿路两侧建筑进行“穿衣戴帽”美化提升工程。</w:t>
      </w:r>
    </w:p>
    <w:p>
      <w:pPr>
        <w:pStyle w:val="3"/>
        <w:spacing w:before="50" w:after="50" w:line="540" w:lineRule="exact"/>
        <w:rPr>
          <w:rFonts w:cs="Arial"/>
          <w:color w:val="000000"/>
        </w:rPr>
      </w:pPr>
      <w:bookmarkStart w:id="9" w:name="_Toc195434088"/>
      <w:bookmarkStart w:id="10" w:name="_Toc483131216"/>
      <w:r>
        <w:rPr>
          <w:rFonts w:cs="Arial"/>
          <w:color w:val="000000"/>
        </w:rPr>
        <w:t>1.2</w:t>
      </w:r>
      <w:r>
        <w:rPr>
          <w:rFonts w:hint="eastAsia" w:cs="Arial"/>
          <w:color w:val="000000"/>
        </w:rPr>
        <w:t xml:space="preserve"> 项目概况</w:t>
      </w:r>
      <w:bookmarkEnd w:id="9"/>
      <w:bookmarkEnd w:id="10"/>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1.2.1 项目地点</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本项目的建设地点位于汕头市金平区东南部，临近中山公园。</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1.2.2 建设规模及建设内容</w:t>
      </w:r>
    </w:p>
    <w:p>
      <w:pPr>
        <w:autoSpaceDE w:val="0"/>
        <w:autoSpaceDN w:val="0"/>
        <w:adjustRightInd w:val="0"/>
        <w:spacing w:before="50" w:after="50" w:line="360" w:lineRule="auto"/>
        <w:ind w:firstLine="640" w:firstLineChars="200"/>
        <w:jc w:val="left"/>
        <w:rPr>
          <w:rFonts w:ascii="仿宋_GB2312" w:hAnsi="华文仿宋" w:eastAsia="仿宋_GB2312"/>
          <w:color w:val="000000"/>
          <w:sz w:val="32"/>
          <w:szCs w:val="32"/>
        </w:rPr>
      </w:pPr>
      <w:r>
        <w:rPr>
          <w:rFonts w:hint="eastAsia" w:ascii="仿宋_GB2312" w:hAnsi="华文仿宋" w:eastAsia="仿宋_GB2312"/>
          <w:color w:val="000000"/>
          <w:sz w:val="32"/>
          <w:szCs w:val="32"/>
        </w:rPr>
        <w:t>大华路全长约1.8公里，建筑总面积：226207.95㎡，立面改造长度：31297.80米，立面改造面积：92893.39㎡（层高按3m计）。建设内容包括外墙立面美化改造、拆除老旧附着物、灯光亮化工程、沿街招牌美化、安装交叉路口监控设备等。改造路段共有</w:t>
      </w:r>
      <w:r>
        <w:rPr>
          <w:rFonts w:hint="eastAsia" w:ascii="仿宋_GB2312" w:hAnsi="华文仿宋" w:eastAsia="仿宋_GB2312"/>
          <w:color w:val="000000"/>
          <w:sz w:val="32"/>
          <w:szCs w:val="32"/>
          <w:lang w:val="en-US" w:eastAsia="zh-CN"/>
        </w:rPr>
        <w:t>8</w:t>
      </w:r>
      <w:r>
        <w:rPr>
          <w:rFonts w:hint="eastAsia" w:ascii="仿宋_GB2312" w:hAnsi="华文仿宋" w:eastAsia="仿宋_GB2312"/>
          <w:color w:val="000000"/>
          <w:sz w:val="32"/>
          <w:szCs w:val="32"/>
        </w:rPr>
        <w:t>个交叉路口，交叉路口改造范围为沿交叉路口方向往里延伸一栋建筑。</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 xml:space="preserve">1.2.3 </w:t>
      </w:r>
      <w:bookmarkEnd w:id="8"/>
      <w:r>
        <w:rPr>
          <w:rFonts w:hint="eastAsia" w:ascii="Arial" w:hAnsi="Arial" w:eastAsia="黑体" w:cs="Arial"/>
          <w:bCs/>
          <w:color w:val="000000"/>
          <w:sz w:val="32"/>
          <w:szCs w:val="32"/>
        </w:rPr>
        <w:t>主要建设条件</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项目用地所在区域为汕头市中心城区，街道两侧主要为商铺、酒店、学校、住宅等。项目附近水电供应能满足项目建设、运营需求；当地各类建筑施工材料供应充足，各种</w:t>
      </w:r>
      <w:r>
        <w:rPr>
          <w:rFonts w:hint="eastAsia" w:ascii="仿宋_GB2312" w:hAnsi="宋体" w:eastAsia="仿宋_GB2312" w:cs="宋体"/>
          <w:color w:val="000000"/>
          <w:kern w:val="0"/>
          <w:sz w:val="32"/>
          <w:szCs w:val="32"/>
        </w:rPr>
        <w:t>施工机械设备完备</w:t>
      </w:r>
      <w:r>
        <w:rPr>
          <w:rFonts w:hint="eastAsia" w:ascii="仿宋_GB2312" w:hAnsi="宋体" w:eastAsia="仿宋_GB2312"/>
          <w:color w:val="000000"/>
          <w:sz w:val="32"/>
          <w:szCs w:val="32"/>
        </w:rPr>
        <w:t>。</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1.2.4 项目投入总资金</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w:t>
      </w:r>
      <w:r>
        <w:rPr>
          <w:rFonts w:hint="eastAsia" w:ascii="仿宋_GB2312" w:hAnsi="Arial" w:eastAsia="仿宋_GB2312"/>
          <w:color w:val="000000"/>
          <w:sz w:val="32"/>
          <w:szCs w:val="32"/>
        </w:rPr>
        <w:t>建设投资13069.06万元，其中工程费用11054.80万元、其它费用1633.61万元、预备费380.65万元</w:t>
      </w:r>
      <w:r>
        <w:rPr>
          <w:rFonts w:hint="eastAsia" w:ascii="仿宋_GB2312" w:hAnsi="宋体" w:eastAsia="仿宋_GB2312"/>
          <w:color w:val="000000"/>
          <w:sz w:val="32"/>
          <w:szCs w:val="32"/>
        </w:rPr>
        <w:t>。</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资金来源为汕头市财政资金。</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1</w:t>
      </w:r>
      <w:r>
        <w:rPr>
          <w:rFonts w:ascii="Arial" w:hAnsi="Arial" w:eastAsia="黑体" w:cs="Arial"/>
          <w:bCs/>
          <w:color w:val="000000"/>
          <w:sz w:val="32"/>
          <w:szCs w:val="32"/>
        </w:rPr>
        <w:t>.</w:t>
      </w:r>
      <w:r>
        <w:rPr>
          <w:rFonts w:hint="eastAsia" w:ascii="Arial" w:hAnsi="Arial" w:eastAsia="黑体" w:cs="Arial"/>
          <w:bCs/>
          <w:color w:val="000000"/>
          <w:sz w:val="32"/>
          <w:szCs w:val="32"/>
        </w:rPr>
        <w:t>2</w:t>
      </w:r>
      <w:r>
        <w:rPr>
          <w:rFonts w:ascii="Arial" w:hAnsi="Arial" w:eastAsia="黑体" w:cs="Arial"/>
          <w:bCs/>
          <w:color w:val="000000"/>
          <w:sz w:val="32"/>
          <w:szCs w:val="32"/>
        </w:rPr>
        <w:t>.</w:t>
      </w:r>
      <w:r>
        <w:rPr>
          <w:rFonts w:hint="eastAsia" w:ascii="Arial" w:hAnsi="Arial" w:eastAsia="黑体" w:cs="Arial"/>
          <w:bCs/>
          <w:color w:val="000000"/>
          <w:sz w:val="32"/>
          <w:szCs w:val="32"/>
        </w:rPr>
        <w:t>5 主要技术经济指标</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主要技术经济指标见表1-1。</w:t>
      </w:r>
    </w:p>
    <w:p>
      <w:pPr>
        <w:spacing w:beforeLines="50" w:afterLines="50" w:line="360" w:lineRule="auto"/>
        <w:ind w:firstLine="640" w:firstLineChars="200"/>
        <w:rPr>
          <w:rFonts w:ascii="仿宋_GB2312" w:eastAsia="仿宋_GB2312"/>
          <w:color w:val="000000"/>
          <w:sz w:val="32"/>
          <w:szCs w:val="32"/>
        </w:rPr>
      </w:pPr>
    </w:p>
    <w:p>
      <w:pPr>
        <w:ind w:firstLine="562" w:firstLineChars="200"/>
        <w:jc w:val="center"/>
        <w:rPr>
          <w:rFonts w:ascii="黑体" w:eastAsia="黑体"/>
          <w:b/>
          <w:color w:val="000000"/>
          <w:sz w:val="28"/>
          <w:szCs w:val="28"/>
        </w:rPr>
      </w:pPr>
      <w:bookmarkStart w:id="11" w:name="_Toc195434089"/>
      <w:r>
        <w:rPr>
          <w:rFonts w:hint="eastAsia" w:ascii="黑体" w:eastAsia="黑体"/>
          <w:b/>
          <w:color w:val="000000"/>
          <w:sz w:val="28"/>
          <w:szCs w:val="28"/>
        </w:rPr>
        <w:t>主要技术经济指标</w:t>
      </w:r>
    </w:p>
    <w:p>
      <w:pPr>
        <w:spacing w:line="360" w:lineRule="auto"/>
        <w:rPr>
          <w:rFonts w:ascii="仿宋_GB2312" w:eastAsia="仿宋_GB2312"/>
          <w:color w:val="000000"/>
          <w:sz w:val="24"/>
        </w:rPr>
      </w:pPr>
      <w:r>
        <w:rPr>
          <w:rFonts w:hint="eastAsia" w:ascii="仿宋_GB2312" w:eastAsia="仿宋_GB2312"/>
          <w:color w:val="000000"/>
          <w:sz w:val="24"/>
        </w:rPr>
        <w:t>表1-1</w:t>
      </w:r>
    </w:p>
    <w:tbl>
      <w:tblPr>
        <w:tblStyle w:val="31"/>
        <w:tblW w:w="852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0"/>
        <w:gridCol w:w="3414"/>
        <w:gridCol w:w="1432"/>
        <w:gridCol w:w="1296"/>
        <w:gridCol w:w="156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blHeader/>
        </w:trPr>
        <w:tc>
          <w:tcPr>
            <w:tcW w:w="820" w:type="dxa"/>
            <w:vAlign w:val="center"/>
          </w:tcPr>
          <w:p>
            <w:pPr>
              <w:spacing w:line="300" w:lineRule="exact"/>
              <w:jc w:val="center"/>
              <w:rPr>
                <w:rFonts w:ascii="宋体" w:hAnsi="宋体"/>
                <w:b/>
                <w:color w:val="000000"/>
                <w:sz w:val="24"/>
              </w:rPr>
            </w:pPr>
            <w:r>
              <w:rPr>
                <w:rFonts w:hint="eastAsia" w:ascii="宋体" w:hAnsi="宋体"/>
                <w:b/>
                <w:color w:val="000000"/>
                <w:sz w:val="24"/>
              </w:rPr>
              <w:t>序号</w:t>
            </w:r>
          </w:p>
        </w:tc>
        <w:tc>
          <w:tcPr>
            <w:tcW w:w="3414" w:type="dxa"/>
            <w:vAlign w:val="center"/>
          </w:tcPr>
          <w:p>
            <w:pPr>
              <w:spacing w:line="300" w:lineRule="exact"/>
              <w:jc w:val="center"/>
              <w:rPr>
                <w:rFonts w:ascii="宋体" w:hAnsi="宋体"/>
                <w:b/>
                <w:color w:val="000000"/>
                <w:sz w:val="24"/>
              </w:rPr>
            </w:pPr>
            <w:r>
              <w:rPr>
                <w:rFonts w:hint="eastAsia" w:ascii="宋体" w:hAnsi="宋体"/>
                <w:b/>
                <w:color w:val="000000"/>
                <w:sz w:val="24"/>
              </w:rPr>
              <w:t>项  目</w:t>
            </w:r>
          </w:p>
        </w:tc>
        <w:tc>
          <w:tcPr>
            <w:tcW w:w="1432" w:type="dxa"/>
            <w:vAlign w:val="center"/>
          </w:tcPr>
          <w:p>
            <w:pPr>
              <w:spacing w:line="300" w:lineRule="exact"/>
              <w:jc w:val="center"/>
              <w:rPr>
                <w:rFonts w:ascii="宋体" w:hAnsi="宋体"/>
                <w:b/>
                <w:color w:val="000000"/>
                <w:sz w:val="24"/>
              </w:rPr>
            </w:pPr>
            <w:r>
              <w:rPr>
                <w:rFonts w:hint="eastAsia" w:ascii="宋体" w:hAnsi="宋体"/>
                <w:b/>
                <w:color w:val="000000"/>
                <w:sz w:val="24"/>
              </w:rPr>
              <w:t>单  位</w:t>
            </w:r>
          </w:p>
        </w:tc>
        <w:tc>
          <w:tcPr>
            <w:tcW w:w="1296" w:type="dxa"/>
            <w:vAlign w:val="center"/>
          </w:tcPr>
          <w:p>
            <w:pPr>
              <w:spacing w:line="300" w:lineRule="exact"/>
              <w:jc w:val="center"/>
              <w:rPr>
                <w:rFonts w:ascii="宋体" w:hAnsi="宋体"/>
                <w:b/>
                <w:color w:val="000000"/>
                <w:sz w:val="24"/>
              </w:rPr>
            </w:pPr>
            <w:r>
              <w:rPr>
                <w:rFonts w:hint="eastAsia" w:ascii="宋体" w:hAnsi="宋体"/>
                <w:b/>
                <w:color w:val="000000"/>
                <w:sz w:val="24"/>
              </w:rPr>
              <w:t>指  标</w:t>
            </w:r>
          </w:p>
        </w:tc>
        <w:tc>
          <w:tcPr>
            <w:tcW w:w="1566" w:type="dxa"/>
            <w:vAlign w:val="center"/>
          </w:tcPr>
          <w:p>
            <w:pPr>
              <w:spacing w:line="300" w:lineRule="exact"/>
              <w:jc w:val="center"/>
              <w:rPr>
                <w:rFonts w:ascii="宋体" w:hAnsi="宋体"/>
                <w:b/>
                <w:color w:val="000000"/>
                <w:sz w:val="24"/>
              </w:rPr>
            </w:pPr>
            <w:r>
              <w:rPr>
                <w:rFonts w:hint="eastAsia" w:ascii="宋体" w:hAnsi="宋体"/>
                <w:b/>
                <w:color w:val="000000"/>
                <w:sz w:val="24"/>
              </w:rPr>
              <w:t>备  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16"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1</w:t>
            </w:r>
          </w:p>
        </w:tc>
        <w:tc>
          <w:tcPr>
            <w:tcW w:w="3414" w:type="dxa"/>
            <w:vAlign w:val="center"/>
          </w:tcPr>
          <w:p>
            <w:pPr>
              <w:widowControl/>
              <w:jc w:val="center"/>
              <w:textAlignment w:val="center"/>
              <w:rPr>
                <w:rFonts w:ascii="宋体" w:hAnsi="宋体" w:cs="宋体"/>
                <w:color w:val="000000"/>
                <w:kern w:val="0"/>
                <w:sz w:val="24"/>
              </w:rPr>
            </w:pPr>
            <w:r>
              <w:rPr>
                <w:rFonts w:hint="eastAsia" w:ascii="宋体" w:hAnsi="宋体" w:cs="宋体"/>
                <w:color w:val="000000"/>
                <w:kern w:val="0"/>
                <w:sz w:val="24"/>
              </w:rPr>
              <w:t>建筑总面积</w:t>
            </w:r>
          </w:p>
        </w:tc>
        <w:tc>
          <w:tcPr>
            <w:tcW w:w="1432" w:type="dxa"/>
            <w:vAlign w:val="center"/>
          </w:tcPr>
          <w:p>
            <w:pPr>
              <w:pStyle w:val="12"/>
              <w:ind w:firstLine="0" w:firstLineChars="0"/>
              <w:jc w:val="center"/>
              <w:rPr>
                <w:rFonts w:ascii="宋体" w:hAnsi="宋体"/>
                <w:color w:val="000000"/>
                <w:sz w:val="24"/>
              </w:rPr>
            </w:pPr>
            <w:r>
              <w:rPr>
                <w:rFonts w:hint="eastAsia" w:ascii="宋体" w:hAnsi="宋体"/>
                <w:color w:val="000000"/>
                <w:sz w:val="24"/>
              </w:rPr>
              <w:t>平方米</w:t>
            </w:r>
          </w:p>
        </w:tc>
        <w:tc>
          <w:tcPr>
            <w:tcW w:w="1296" w:type="dxa"/>
            <w:vAlign w:val="center"/>
          </w:tcPr>
          <w:p>
            <w:pPr>
              <w:pStyle w:val="12"/>
              <w:ind w:firstLine="0" w:firstLineChars="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6207.95</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16"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2</w:t>
            </w:r>
          </w:p>
        </w:tc>
        <w:tc>
          <w:tcPr>
            <w:tcW w:w="3414" w:type="dxa"/>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rPr>
              <w:t>立面改造长度</w:t>
            </w:r>
          </w:p>
        </w:tc>
        <w:tc>
          <w:tcPr>
            <w:tcW w:w="1432" w:type="dxa"/>
            <w:vAlign w:val="center"/>
          </w:tcPr>
          <w:p>
            <w:pPr>
              <w:pStyle w:val="12"/>
              <w:ind w:firstLine="0" w:firstLineChars="0"/>
              <w:jc w:val="center"/>
              <w:rPr>
                <w:rFonts w:ascii="宋体" w:hAnsi="宋体"/>
                <w:color w:val="000000"/>
                <w:sz w:val="24"/>
              </w:rPr>
            </w:pPr>
            <w:r>
              <w:rPr>
                <w:rFonts w:hint="eastAsia" w:ascii="宋体" w:hAnsi="宋体"/>
                <w:color w:val="000000"/>
                <w:sz w:val="24"/>
              </w:rPr>
              <w:t>米</w:t>
            </w:r>
          </w:p>
        </w:tc>
        <w:tc>
          <w:tcPr>
            <w:tcW w:w="1296" w:type="dxa"/>
            <w:vAlign w:val="center"/>
          </w:tcPr>
          <w:p>
            <w:pPr>
              <w:pStyle w:val="12"/>
              <w:ind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31297.80</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91"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3</w:t>
            </w:r>
          </w:p>
        </w:tc>
        <w:tc>
          <w:tcPr>
            <w:tcW w:w="3414" w:type="dxa"/>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rPr>
              <w:t>立面改造面积</w:t>
            </w:r>
          </w:p>
        </w:tc>
        <w:tc>
          <w:tcPr>
            <w:tcW w:w="1432" w:type="dxa"/>
            <w:vAlign w:val="center"/>
          </w:tcPr>
          <w:p>
            <w:pPr>
              <w:pStyle w:val="12"/>
              <w:ind w:firstLine="0" w:firstLineChars="0"/>
              <w:jc w:val="center"/>
              <w:rPr>
                <w:rFonts w:ascii="宋体" w:hAnsi="宋体"/>
                <w:color w:val="000000"/>
                <w:sz w:val="24"/>
              </w:rPr>
            </w:pPr>
            <w:r>
              <w:rPr>
                <w:rFonts w:hint="eastAsia" w:ascii="宋体" w:hAnsi="宋体"/>
                <w:color w:val="000000"/>
                <w:sz w:val="24"/>
              </w:rPr>
              <w:t>平方米</w:t>
            </w:r>
          </w:p>
        </w:tc>
        <w:tc>
          <w:tcPr>
            <w:tcW w:w="1296" w:type="dxa"/>
            <w:vAlign w:val="center"/>
          </w:tcPr>
          <w:p>
            <w:pPr>
              <w:pStyle w:val="12"/>
              <w:ind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92893.39</w:t>
            </w:r>
          </w:p>
        </w:tc>
        <w:tc>
          <w:tcPr>
            <w:tcW w:w="1566" w:type="dxa"/>
            <w:vAlign w:val="center"/>
          </w:tcPr>
          <w:p>
            <w:pPr>
              <w:spacing w:line="300" w:lineRule="exact"/>
              <w:jc w:val="center"/>
              <w:rPr>
                <w:rFonts w:ascii="宋体" w:hAnsi="宋体"/>
                <w:color w:val="000000"/>
                <w:sz w:val="24"/>
              </w:rPr>
            </w:pPr>
            <w:r>
              <w:rPr>
                <w:rFonts w:hint="eastAsia" w:ascii="宋体" w:hAnsi="宋体" w:cs="仿宋_GB2312"/>
                <w:color w:val="000000"/>
                <w:sz w:val="24"/>
              </w:rPr>
              <w:t>层高按</w:t>
            </w:r>
            <w:r>
              <w:rPr>
                <w:rFonts w:hint="eastAsia" w:ascii="宋体" w:hAnsi="宋体"/>
                <w:color w:val="000000"/>
                <w:sz w:val="24"/>
              </w:rPr>
              <w:t>3m计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4</w:t>
            </w:r>
          </w:p>
        </w:tc>
        <w:tc>
          <w:tcPr>
            <w:tcW w:w="3414" w:type="dxa"/>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rPr>
              <w:t>楼栋数</w:t>
            </w:r>
          </w:p>
        </w:tc>
        <w:tc>
          <w:tcPr>
            <w:tcW w:w="1432" w:type="dxa"/>
            <w:vAlign w:val="center"/>
          </w:tcPr>
          <w:p>
            <w:pPr>
              <w:pStyle w:val="12"/>
              <w:ind w:firstLine="0" w:firstLineChars="0"/>
              <w:jc w:val="center"/>
              <w:rPr>
                <w:rFonts w:ascii="宋体" w:hAnsi="宋体"/>
                <w:color w:val="000000"/>
                <w:sz w:val="24"/>
              </w:rPr>
            </w:pPr>
            <w:r>
              <w:rPr>
                <w:rFonts w:hint="eastAsia" w:ascii="宋体" w:hAnsi="宋体"/>
                <w:color w:val="000000"/>
                <w:sz w:val="24"/>
              </w:rPr>
              <w:t>栋</w:t>
            </w:r>
          </w:p>
        </w:tc>
        <w:tc>
          <w:tcPr>
            <w:tcW w:w="1296" w:type="dxa"/>
            <w:vAlign w:val="center"/>
          </w:tcPr>
          <w:p>
            <w:pPr>
              <w:pStyle w:val="12"/>
              <w:ind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134</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5</w:t>
            </w:r>
          </w:p>
        </w:tc>
        <w:tc>
          <w:tcPr>
            <w:tcW w:w="3414" w:type="dxa"/>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rPr>
              <w:t>道路监控设备</w:t>
            </w:r>
          </w:p>
        </w:tc>
        <w:tc>
          <w:tcPr>
            <w:tcW w:w="1432" w:type="dxa"/>
            <w:vAlign w:val="center"/>
          </w:tcPr>
          <w:p>
            <w:pPr>
              <w:pStyle w:val="12"/>
              <w:ind w:firstLine="0" w:firstLineChars="0"/>
              <w:jc w:val="center"/>
              <w:rPr>
                <w:rFonts w:ascii="宋体" w:hAnsi="宋体"/>
                <w:color w:val="000000"/>
                <w:sz w:val="24"/>
              </w:rPr>
            </w:pPr>
            <w:r>
              <w:rPr>
                <w:rFonts w:hint="eastAsia" w:ascii="宋体" w:hAnsi="宋体"/>
                <w:color w:val="000000"/>
                <w:sz w:val="24"/>
              </w:rPr>
              <w:t>套</w:t>
            </w:r>
          </w:p>
        </w:tc>
        <w:tc>
          <w:tcPr>
            <w:tcW w:w="1296" w:type="dxa"/>
            <w:vAlign w:val="center"/>
          </w:tcPr>
          <w:p>
            <w:pPr>
              <w:pStyle w:val="12"/>
              <w:ind w:firstLine="0" w:firstLineChars="0"/>
              <w:jc w:val="center"/>
              <w:rPr>
                <w:rFonts w:ascii="宋体" w:hAnsi="宋体"/>
                <w:color w:val="000000"/>
                <w:sz w:val="24"/>
              </w:rPr>
            </w:pPr>
            <w:r>
              <w:rPr>
                <w:rFonts w:hint="eastAsia" w:ascii="宋体" w:hAnsi="宋体"/>
                <w:color w:val="000000"/>
                <w:sz w:val="24"/>
              </w:rPr>
              <w:t>10</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6</w:t>
            </w:r>
          </w:p>
        </w:tc>
        <w:tc>
          <w:tcPr>
            <w:tcW w:w="3414" w:type="dxa"/>
          </w:tcPr>
          <w:p>
            <w:pPr>
              <w:widowControl/>
              <w:spacing w:line="360" w:lineRule="auto"/>
              <w:jc w:val="center"/>
              <w:rPr>
                <w:rFonts w:ascii="宋体" w:hAnsi="宋体"/>
                <w:color w:val="000000"/>
                <w:sz w:val="24"/>
              </w:rPr>
            </w:pPr>
            <w:r>
              <w:rPr>
                <w:rFonts w:hint="eastAsia" w:ascii="宋体" w:hAnsi="宋体"/>
                <w:color w:val="000000"/>
                <w:sz w:val="24"/>
              </w:rPr>
              <w:t>总投资</w:t>
            </w:r>
          </w:p>
        </w:tc>
        <w:tc>
          <w:tcPr>
            <w:tcW w:w="1432" w:type="dxa"/>
            <w:vAlign w:val="center"/>
          </w:tcPr>
          <w:p>
            <w:pPr>
              <w:pStyle w:val="12"/>
              <w:ind w:firstLine="0" w:firstLineChars="0"/>
              <w:jc w:val="center"/>
              <w:rPr>
                <w:rFonts w:ascii="宋体" w:hAnsi="宋体"/>
                <w:color w:val="000000"/>
                <w:sz w:val="24"/>
              </w:rPr>
            </w:pPr>
            <w:r>
              <w:rPr>
                <w:rFonts w:hint="eastAsia" w:ascii="宋体" w:hAnsi="宋体"/>
                <w:color w:val="000000"/>
                <w:sz w:val="24"/>
              </w:rPr>
              <w:t>万元</w:t>
            </w:r>
          </w:p>
        </w:tc>
        <w:tc>
          <w:tcPr>
            <w:tcW w:w="1296" w:type="dxa"/>
            <w:vAlign w:val="center"/>
          </w:tcPr>
          <w:p>
            <w:pPr>
              <w:pStyle w:val="12"/>
              <w:ind w:firstLine="0" w:firstLineChars="0"/>
              <w:jc w:val="center"/>
              <w:rPr>
                <w:rFonts w:ascii="宋体" w:hAnsi="宋体"/>
                <w:color w:val="000000"/>
                <w:sz w:val="24"/>
              </w:rPr>
            </w:pPr>
            <w:r>
              <w:rPr>
                <w:rFonts w:hint="eastAsia" w:ascii="宋体" w:hAnsi="宋体"/>
                <w:color w:val="000000"/>
                <w:sz w:val="24"/>
              </w:rPr>
              <w:t>13069.06</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7</w:t>
            </w:r>
          </w:p>
        </w:tc>
        <w:tc>
          <w:tcPr>
            <w:tcW w:w="3414" w:type="dxa"/>
          </w:tcPr>
          <w:p>
            <w:pPr>
              <w:widowControl/>
              <w:spacing w:line="360" w:lineRule="auto"/>
              <w:jc w:val="center"/>
              <w:rPr>
                <w:rFonts w:ascii="宋体" w:hAnsi="宋体"/>
                <w:color w:val="000000"/>
                <w:sz w:val="24"/>
              </w:rPr>
            </w:pPr>
            <w:r>
              <w:rPr>
                <w:rFonts w:hint="eastAsia" w:ascii="宋体" w:hAnsi="宋体"/>
                <w:color w:val="000000"/>
                <w:sz w:val="24"/>
              </w:rPr>
              <w:t>工程费用</w:t>
            </w:r>
          </w:p>
        </w:tc>
        <w:tc>
          <w:tcPr>
            <w:tcW w:w="1432" w:type="dxa"/>
            <w:vAlign w:val="center"/>
          </w:tcPr>
          <w:p>
            <w:pPr>
              <w:pStyle w:val="34"/>
              <w:ind w:firstLine="0"/>
              <w:jc w:val="center"/>
              <w:rPr>
                <w:rFonts w:ascii="宋体" w:hAnsi="宋体"/>
                <w:color w:val="000000"/>
                <w:sz w:val="24"/>
                <w:szCs w:val="24"/>
              </w:rPr>
            </w:pPr>
            <w:r>
              <w:rPr>
                <w:rFonts w:hint="eastAsia" w:ascii="宋体" w:hAnsi="宋体"/>
                <w:color w:val="000000"/>
                <w:sz w:val="24"/>
                <w:szCs w:val="24"/>
              </w:rPr>
              <w:t>万元</w:t>
            </w:r>
          </w:p>
        </w:tc>
        <w:tc>
          <w:tcPr>
            <w:tcW w:w="1296" w:type="dxa"/>
            <w:vAlign w:val="center"/>
          </w:tcPr>
          <w:p>
            <w:pPr>
              <w:pStyle w:val="12"/>
              <w:ind w:firstLine="0" w:firstLineChars="0"/>
              <w:jc w:val="center"/>
              <w:rPr>
                <w:rFonts w:ascii="宋体" w:hAnsi="宋体"/>
                <w:color w:val="000000"/>
                <w:sz w:val="24"/>
              </w:rPr>
            </w:pPr>
            <w:r>
              <w:rPr>
                <w:rFonts w:ascii="宋体" w:hAnsi="宋体"/>
                <w:color w:val="000000"/>
                <w:sz w:val="24"/>
              </w:rPr>
              <w:t>11054.80</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8</w:t>
            </w:r>
          </w:p>
        </w:tc>
        <w:tc>
          <w:tcPr>
            <w:tcW w:w="3414" w:type="dxa"/>
          </w:tcPr>
          <w:p>
            <w:pPr>
              <w:widowControl/>
              <w:spacing w:line="360" w:lineRule="auto"/>
              <w:jc w:val="center"/>
              <w:rPr>
                <w:rFonts w:ascii="宋体" w:hAnsi="宋体"/>
                <w:color w:val="000000"/>
                <w:sz w:val="24"/>
              </w:rPr>
            </w:pPr>
            <w:r>
              <w:rPr>
                <w:rFonts w:hint="eastAsia" w:ascii="宋体" w:hAnsi="宋体"/>
                <w:color w:val="000000"/>
                <w:sz w:val="24"/>
              </w:rPr>
              <w:t>工程建设其它费</w:t>
            </w:r>
          </w:p>
        </w:tc>
        <w:tc>
          <w:tcPr>
            <w:tcW w:w="1432" w:type="dxa"/>
          </w:tcPr>
          <w:p>
            <w:pPr>
              <w:jc w:val="center"/>
              <w:rPr>
                <w:rFonts w:ascii="宋体" w:hAnsi="宋体"/>
                <w:color w:val="000000"/>
                <w:sz w:val="24"/>
              </w:rPr>
            </w:pPr>
            <w:r>
              <w:rPr>
                <w:rFonts w:hint="eastAsia" w:ascii="宋体" w:hAnsi="宋体"/>
                <w:color w:val="000000"/>
                <w:sz w:val="24"/>
              </w:rPr>
              <w:t>万元</w:t>
            </w:r>
          </w:p>
        </w:tc>
        <w:tc>
          <w:tcPr>
            <w:tcW w:w="1296" w:type="dxa"/>
            <w:vAlign w:val="center"/>
          </w:tcPr>
          <w:p>
            <w:pPr>
              <w:pStyle w:val="12"/>
              <w:ind w:firstLine="0" w:firstLineChars="0"/>
              <w:jc w:val="center"/>
              <w:rPr>
                <w:rFonts w:ascii="宋体" w:hAnsi="宋体"/>
                <w:color w:val="000000"/>
                <w:sz w:val="24"/>
              </w:rPr>
            </w:pPr>
            <w:r>
              <w:rPr>
                <w:rFonts w:ascii="宋体" w:hAnsi="宋体"/>
                <w:color w:val="000000"/>
                <w:sz w:val="24"/>
              </w:rPr>
              <w:t>1633.61</w:t>
            </w:r>
          </w:p>
        </w:tc>
        <w:tc>
          <w:tcPr>
            <w:tcW w:w="1566" w:type="dxa"/>
            <w:vAlign w:val="center"/>
          </w:tcPr>
          <w:p>
            <w:pPr>
              <w:spacing w:line="300" w:lineRule="exact"/>
              <w:jc w:val="center"/>
              <w:rPr>
                <w:rFonts w:ascii="宋体"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5" w:hRule="exact"/>
        </w:trPr>
        <w:tc>
          <w:tcPr>
            <w:tcW w:w="820" w:type="dxa"/>
            <w:vAlign w:val="center"/>
          </w:tcPr>
          <w:p>
            <w:pPr>
              <w:spacing w:line="300" w:lineRule="exact"/>
              <w:jc w:val="center"/>
              <w:rPr>
                <w:rFonts w:ascii="宋体" w:hAnsi="宋体"/>
                <w:color w:val="000000"/>
                <w:sz w:val="24"/>
              </w:rPr>
            </w:pPr>
            <w:r>
              <w:rPr>
                <w:rFonts w:hint="eastAsia" w:ascii="宋体" w:hAnsi="宋体"/>
                <w:color w:val="000000"/>
                <w:sz w:val="24"/>
              </w:rPr>
              <w:t>9</w:t>
            </w:r>
          </w:p>
        </w:tc>
        <w:tc>
          <w:tcPr>
            <w:tcW w:w="3414" w:type="dxa"/>
          </w:tcPr>
          <w:p>
            <w:pPr>
              <w:widowControl/>
              <w:spacing w:line="360" w:lineRule="auto"/>
              <w:jc w:val="center"/>
              <w:rPr>
                <w:rFonts w:ascii="宋体" w:hAnsi="宋体"/>
                <w:color w:val="000000"/>
                <w:sz w:val="24"/>
              </w:rPr>
            </w:pPr>
            <w:r>
              <w:rPr>
                <w:rFonts w:hint="eastAsia" w:ascii="宋体" w:hAnsi="宋体"/>
                <w:color w:val="000000"/>
                <w:sz w:val="24"/>
              </w:rPr>
              <w:t>预备费</w:t>
            </w:r>
          </w:p>
        </w:tc>
        <w:tc>
          <w:tcPr>
            <w:tcW w:w="1432" w:type="dxa"/>
          </w:tcPr>
          <w:p>
            <w:pPr>
              <w:jc w:val="center"/>
              <w:rPr>
                <w:rFonts w:ascii="宋体" w:hAnsi="宋体"/>
                <w:color w:val="000000"/>
                <w:sz w:val="24"/>
              </w:rPr>
            </w:pPr>
            <w:r>
              <w:rPr>
                <w:rFonts w:hint="eastAsia" w:ascii="宋体" w:hAnsi="宋体"/>
                <w:color w:val="000000"/>
                <w:sz w:val="24"/>
              </w:rPr>
              <w:t>万元</w:t>
            </w:r>
          </w:p>
        </w:tc>
        <w:tc>
          <w:tcPr>
            <w:tcW w:w="1296" w:type="dxa"/>
            <w:vAlign w:val="center"/>
          </w:tcPr>
          <w:p>
            <w:pPr>
              <w:pStyle w:val="12"/>
              <w:ind w:firstLine="0" w:firstLineChars="0"/>
              <w:jc w:val="center"/>
              <w:rPr>
                <w:rFonts w:ascii="宋体" w:hAnsi="宋体"/>
                <w:color w:val="000000"/>
                <w:sz w:val="24"/>
              </w:rPr>
            </w:pPr>
            <w:r>
              <w:rPr>
                <w:rFonts w:ascii="宋体" w:hAnsi="宋体"/>
                <w:color w:val="000000"/>
                <w:sz w:val="24"/>
              </w:rPr>
              <w:t>380.65</w:t>
            </w:r>
          </w:p>
        </w:tc>
        <w:tc>
          <w:tcPr>
            <w:tcW w:w="1566" w:type="dxa"/>
            <w:vAlign w:val="center"/>
          </w:tcPr>
          <w:p>
            <w:pPr>
              <w:spacing w:line="300" w:lineRule="exact"/>
              <w:jc w:val="center"/>
              <w:rPr>
                <w:rFonts w:ascii="宋体" w:hAnsi="宋体"/>
                <w:color w:val="000000"/>
                <w:sz w:val="24"/>
              </w:rPr>
            </w:pPr>
          </w:p>
        </w:tc>
      </w:tr>
    </w:tbl>
    <w:p>
      <w:pPr>
        <w:pStyle w:val="3"/>
        <w:spacing w:before="50" w:after="50" w:line="540" w:lineRule="exact"/>
        <w:rPr>
          <w:rFonts w:cs="Arial"/>
          <w:color w:val="000000"/>
        </w:rPr>
      </w:pPr>
      <w:bookmarkStart w:id="12" w:name="_Toc483131217"/>
      <w:r>
        <w:rPr>
          <w:rFonts w:hint="eastAsia" w:cs="Arial"/>
          <w:color w:val="000000"/>
        </w:rPr>
        <w:t>1.3 结论与建议</w:t>
      </w:r>
      <w:bookmarkEnd w:id="11"/>
      <w:bookmarkEnd w:id="12"/>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本项目的建设可</w:t>
      </w:r>
      <w:r>
        <w:rPr>
          <w:rFonts w:hint="eastAsia" w:ascii="仿宋_GB2312" w:hAnsi="华文仿宋" w:eastAsia="仿宋_GB2312"/>
          <w:color w:val="000000"/>
          <w:sz w:val="32"/>
          <w:szCs w:val="32"/>
        </w:rPr>
        <w:t>提升汕头市的整体城市景观，为</w:t>
      </w:r>
      <w:r>
        <w:rPr>
          <w:rFonts w:hint="eastAsia" w:ascii="仿宋_GB2312" w:hAnsi="Arial" w:eastAsia="仿宋_GB2312"/>
          <w:color w:val="000000"/>
          <w:sz w:val="32"/>
          <w:szCs w:val="32"/>
        </w:rPr>
        <w:t>汕头市</w:t>
      </w:r>
      <w:r>
        <w:rPr>
          <w:rFonts w:hint="eastAsia" w:ascii="仿宋_GB2312" w:hAnsi="华文仿宋" w:eastAsia="仿宋_GB2312"/>
          <w:color w:val="000000"/>
          <w:sz w:val="32"/>
          <w:szCs w:val="32"/>
        </w:rPr>
        <w:t>争创全国文明城市创造更加有利的条件。可彻底解决沿街里面景观混乱无序的状态，对提升整条街道的整体商业价值，创造更大的社会经济效益</w:t>
      </w:r>
      <w:r>
        <w:rPr>
          <w:rFonts w:hint="eastAsia" w:ascii="仿宋_GB2312" w:hAnsi="Arial" w:eastAsia="仿宋_GB2312"/>
          <w:color w:val="000000"/>
          <w:sz w:val="32"/>
          <w:szCs w:val="32"/>
        </w:rPr>
        <w:t>。</w:t>
      </w:r>
    </w:p>
    <w:p>
      <w:pPr>
        <w:spacing w:beforeLines="50" w:afterLines="50" w:line="360" w:lineRule="auto"/>
        <w:ind w:firstLine="640" w:firstLineChars="200"/>
        <w:rPr>
          <w:rFonts w:ascii="仿宋_GB2312" w:eastAsia="仿宋_GB2312"/>
          <w:color w:val="000000"/>
          <w:sz w:val="32"/>
          <w:szCs w:val="32"/>
        </w:rPr>
      </w:pPr>
      <w:r>
        <w:rPr>
          <w:rFonts w:ascii="仿宋_GB2312" w:hAnsi="Arial" w:eastAsia="仿宋_GB2312"/>
          <w:color w:val="000000"/>
          <w:sz w:val="32"/>
          <w:szCs w:val="32"/>
        </w:rPr>
        <w:t>项目的建设规模合理，建设工程技术问题完全可以解决，资金来源渠道明确。</w:t>
      </w:r>
      <w:r>
        <w:rPr>
          <w:rFonts w:hint="eastAsia" w:ascii="仿宋_GB2312" w:hAnsi="Arial" w:eastAsia="仿宋_GB2312"/>
          <w:color w:val="000000"/>
          <w:sz w:val="32"/>
          <w:szCs w:val="32"/>
        </w:rPr>
        <w:t>该项目是基础设施建设</w:t>
      </w:r>
      <w:r>
        <w:rPr>
          <w:rFonts w:ascii="仿宋_GB2312" w:hAnsi="Arial" w:eastAsia="仿宋_GB2312"/>
          <w:color w:val="000000"/>
          <w:sz w:val="32"/>
          <w:szCs w:val="32"/>
        </w:rPr>
        <w:t>项目</w:t>
      </w:r>
      <w:r>
        <w:rPr>
          <w:rFonts w:hint="eastAsia" w:ascii="仿宋_GB2312" w:hAnsi="Arial" w:eastAsia="仿宋_GB2312"/>
          <w:color w:val="000000"/>
          <w:sz w:val="32"/>
          <w:szCs w:val="32"/>
        </w:rPr>
        <w:t>，</w:t>
      </w:r>
      <w:r>
        <w:rPr>
          <w:rFonts w:ascii="仿宋_GB2312" w:hAnsi="Arial" w:eastAsia="仿宋_GB2312"/>
          <w:color w:val="000000"/>
          <w:sz w:val="32"/>
          <w:szCs w:val="32"/>
        </w:rPr>
        <w:t>项目的社会效益良好</w:t>
      </w:r>
      <w:r>
        <w:rPr>
          <w:rFonts w:hint="eastAsia" w:ascii="仿宋_GB2312" w:hAnsi="Arial" w:eastAsia="仿宋_GB2312"/>
          <w:color w:val="000000"/>
          <w:sz w:val="32"/>
          <w:szCs w:val="32"/>
        </w:rPr>
        <w:t>，对促进汕头市的经济发展有着积极作用，</w:t>
      </w:r>
      <w:r>
        <w:rPr>
          <w:rFonts w:hint="eastAsia" w:ascii="仿宋_GB2312" w:eastAsia="仿宋_GB2312"/>
          <w:color w:val="000000"/>
          <w:sz w:val="32"/>
          <w:szCs w:val="32"/>
        </w:rPr>
        <w:t>建议政府有关部门在政策上予以大力支持，加快资金的落实，促进本项目尽快实施。</w:t>
      </w:r>
    </w:p>
    <w:p>
      <w:pPr>
        <w:ind w:firstLine="640" w:firstLineChars="200"/>
        <w:rPr>
          <w:rFonts w:ascii="仿宋_GB2312" w:hAnsi="Arial" w:eastAsia="仿宋_GB2312"/>
          <w:color w:val="000000"/>
          <w:sz w:val="32"/>
          <w:szCs w:val="32"/>
        </w:rPr>
        <w:sectPr>
          <w:headerReference r:id="rId7" w:type="first"/>
          <w:footerReference r:id="rId8" w:type="even"/>
          <w:pgSz w:w="11906" w:h="16838"/>
          <w:pgMar w:top="1440" w:right="1797" w:bottom="1440" w:left="1797" w:header="1160" w:footer="1180" w:gutter="0"/>
          <w:pgNumType w:start="1"/>
          <w:cols w:space="425" w:num="1"/>
          <w:docGrid w:type="linesAndChars" w:linePitch="312" w:charSpace="0"/>
        </w:sectPr>
      </w:pPr>
    </w:p>
    <w:p>
      <w:pPr>
        <w:pStyle w:val="2"/>
        <w:spacing w:beforeLines="50" w:afterLines="50" w:line="540" w:lineRule="exact"/>
        <w:jc w:val="center"/>
        <w:rPr>
          <w:rFonts w:ascii="黑体" w:eastAsia="黑体"/>
          <w:color w:val="000000"/>
          <w:sz w:val="32"/>
          <w:szCs w:val="32"/>
        </w:rPr>
      </w:pPr>
      <w:bookmarkStart w:id="13" w:name="_Toc483131218"/>
      <w:r>
        <w:rPr>
          <w:rFonts w:hint="eastAsia" w:ascii="黑体" w:eastAsia="黑体"/>
          <w:color w:val="000000"/>
          <w:sz w:val="32"/>
          <w:szCs w:val="32"/>
        </w:rPr>
        <w:t>第二章 项目建设背景和必要性</w:t>
      </w:r>
      <w:bookmarkEnd w:id="13"/>
    </w:p>
    <w:p>
      <w:pPr>
        <w:pStyle w:val="3"/>
        <w:spacing w:before="0" w:after="0" w:line="360" w:lineRule="auto"/>
        <w:rPr>
          <w:rFonts w:cs="Arial"/>
          <w:color w:val="000000"/>
        </w:rPr>
      </w:pPr>
      <w:bookmarkStart w:id="14" w:name="_Toc483131219"/>
      <w:r>
        <w:rPr>
          <w:rFonts w:cs="Arial"/>
          <w:color w:val="000000"/>
        </w:rPr>
        <w:t xml:space="preserve">2.1 </w:t>
      </w:r>
      <w:r>
        <w:rPr>
          <w:rFonts w:hint="eastAsia" w:cs="Arial"/>
          <w:color w:val="000000"/>
        </w:rPr>
        <w:t>项目建设的背景</w:t>
      </w:r>
      <w:bookmarkEnd w:id="14"/>
    </w:p>
    <w:p>
      <w:pPr>
        <w:outlineLvl w:val="2"/>
        <w:rPr>
          <w:rFonts w:ascii="仿宋_GB2312" w:eastAsia="仿宋_GB2312"/>
          <w:b/>
          <w:color w:val="000000"/>
          <w:sz w:val="32"/>
          <w:szCs w:val="32"/>
        </w:rPr>
      </w:pPr>
      <w:bookmarkStart w:id="15" w:name="_Toc425499420"/>
      <w:r>
        <w:rPr>
          <w:rFonts w:hint="eastAsia" w:ascii="仿宋_GB2312" w:eastAsia="仿宋_GB2312"/>
          <w:b/>
          <w:color w:val="000000"/>
          <w:sz w:val="32"/>
          <w:szCs w:val="32"/>
        </w:rPr>
        <w:t xml:space="preserve">2.1.1 </w:t>
      </w:r>
      <w:bookmarkEnd w:id="15"/>
      <w:r>
        <w:rPr>
          <w:rFonts w:hint="eastAsia" w:ascii="仿宋_GB2312" w:eastAsia="仿宋_GB2312"/>
          <w:b/>
          <w:color w:val="000000"/>
          <w:sz w:val="32"/>
          <w:szCs w:val="32"/>
        </w:rPr>
        <w:t>汕头市经济发展现状</w:t>
      </w:r>
    </w:p>
    <w:p>
      <w:pPr>
        <w:spacing w:beforeLines="50" w:afterLines="50" w:line="360" w:lineRule="auto"/>
        <w:ind w:firstLine="561"/>
        <w:rPr>
          <w:rFonts w:ascii="仿宋_GB2312" w:eastAsia="仿宋_GB2312"/>
          <w:color w:val="000000"/>
          <w:sz w:val="32"/>
          <w:szCs w:val="32"/>
        </w:rPr>
      </w:pPr>
      <w:r>
        <w:rPr>
          <w:rFonts w:hint="eastAsia" w:ascii="仿宋_GB2312" w:eastAsia="仿宋_GB2312"/>
          <w:color w:val="000000"/>
          <w:sz w:val="32"/>
          <w:szCs w:val="32"/>
        </w:rPr>
        <w:t>汕头市位于广东省东部，韩江三角洲南端，素有“华南要冲，岭东门户”之美称，是全国五大经济特区之一和沿海开放港口城市，也是全国著名侨乡。全市总面积2064平方公里，2015年汕头市常住人口为555.21万人；市区建成区面积250.42平方公里，现辖龙湖、金平、濠江、澄海、潮阳、潮南六个区和南澳县。汕头是全国著名侨乡，是近代中国最大的移民口岸之一。</w:t>
      </w:r>
    </w:p>
    <w:p>
      <w:pPr>
        <w:spacing w:beforeLines="50" w:afterLines="50" w:line="360" w:lineRule="auto"/>
        <w:ind w:firstLine="561"/>
        <w:rPr>
          <w:rFonts w:ascii="仿宋_GB2312" w:eastAsia="仿宋_GB2312"/>
          <w:color w:val="000000"/>
          <w:sz w:val="32"/>
          <w:szCs w:val="32"/>
        </w:rPr>
      </w:pPr>
      <w:r>
        <w:rPr>
          <w:rFonts w:hint="eastAsia" w:ascii="仿宋_GB2312" w:eastAsia="仿宋_GB2312"/>
          <w:color w:val="000000"/>
          <w:sz w:val="32"/>
          <w:szCs w:val="32"/>
        </w:rPr>
        <w:t>经过多年的建设，汕头经济社会发展取得了显著成就。荣获“国家卫生城市”、“国家环境保护模范城市”、“中国优秀旅游城市”、“广东省文明城市”等称号。全市形成电子信息、机械装备、纺织服装、工艺玩具、化工塑料、食品医药、印刷包装、音像材料等8大支柱产业和17个产业集群，是中国最大的内衣产业基地，工艺玩具三大生产基地之一、文具用品三大生产基地之一、印刷和包装机械设备四大生产基地之一，澄海区玩具产量约占全世界的30%，潮南区内衣家居服产量约占全国35%。</w:t>
      </w:r>
    </w:p>
    <w:p>
      <w:pPr>
        <w:spacing w:beforeLines="50" w:afterLines="50" w:line="360" w:lineRule="auto"/>
        <w:ind w:firstLine="561"/>
        <w:rPr>
          <w:rFonts w:ascii="仿宋_GB2312" w:eastAsia="仿宋_GB2312"/>
          <w:color w:val="000000"/>
          <w:sz w:val="32"/>
          <w:szCs w:val="32"/>
        </w:rPr>
      </w:pPr>
      <w:r>
        <w:rPr>
          <w:rFonts w:hint="eastAsia" w:ascii="仿宋_GB2312" w:eastAsia="仿宋_GB2312"/>
          <w:color w:val="000000"/>
          <w:sz w:val="32"/>
          <w:szCs w:val="32"/>
        </w:rPr>
        <w:t>近年来，汕头市委、市政府认真贯彻落实中央和省委、省政府的各项决策部署，团结带领全市广大党员和干部群众，振奋精神、真抓实干，加快发展、赶超进位，全市经济社会保持平稳较快增长，各项工作取得了新的成绩。2015年，全市GDP达到1850亿元，人均生产总值33406元，比上年增长8.4%，增速高于全国、全省水平，分别比全国、全省高出1.5和0.4个百分点，增速列全省第九。目前汕头市委市政府正带领全市人民贯彻落实省第十一次党代会报告和中共中央政治局委员、广东省委书记胡春华同志莅汕调研的讲话精神，贯彻落实“四个全面”战略布局、奋力实现“三个定位、两个率先”，擦亮特区牌子，加快汕头港口建设，打造区域中心城市，努力早日实现汕头的振兴发展。</w:t>
      </w:r>
    </w:p>
    <w:p>
      <w:pPr>
        <w:outlineLvl w:val="2"/>
        <w:rPr>
          <w:rFonts w:ascii="仿宋_GB2312" w:eastAsia="仿宋_GB2312"/>
          <w:b/>
          <w:color w:val="000000"/>
          <w:sz w:val="32"/>
          <w:szCs w:val="32"/>
        </w:rPr>
      </w:pPr>
      <w:r>
        <w:rPr>
          <w:rFonts w:hint="eastAsia" w:ascii="仿宋_GB2312" w:eastAsia="仿宋_GB2312"/>
          <w:b/>
          <w:color w:val="000000"/>
          <w:sz w:val="32"/>
          <w:szCs w:val="32"/>
        </w:rPr>
        <w:t>2.1.2金平区基本情况</w:t>
      </w:r>
    </w:p>
    <w:p>
      <w:pPr>
        <w:spacing w:beforeLines="50" w:afterLines="50" w:line="360" w:lineRule="auto"/>
        <w:ind w:firstLine="561"/>
        <w:rPr>
          <w:rFonts w:ascii="仿宋_GB2312" w:eastAsia="仿宋_GB2312"/>
          <w:color w:val="000000"/>
          <w:sz w:val="32"/>
          <w:szCs w:val="32"/>
        </w:rPr>
      </w:pPr>
      <w:r>
        <w:rPr>
          <w:rFonts w:hint="eastAsia" w:ascii="仿宋_GB2312" w:eastAsia="仿宋_GB2312"/>
          <w:color w:val="000000"/>
          <w:sz w:val="32"/>
          <w:szCs w:val="32"/>
        </w:rPr>
        <w:t>金平区位于汕头市内海湾北岸中西部，地处汕潮揭三市交界的“金三角”，东接龙湖区，南至濠江区、潮阳区，西连揭阳市榕城区地都镇，北邻潮州市潮安区。</w:t>
      </w:r>
    </w:p>
    <w:p>
      <w:pPr>
        <w:spacing w:beforeLines="50" w:afterLines="50" w:line="360" w:lineRule="auto"/>
        <w:ind w:firstLine="561"/>
        <w:rPr>
          <w:rFonts w:ascii="仿宋_GB2312" w:eastAsia="仿宋_GB2312"/>
          <w:color w:val="000000"/>
          <w:sz w:val="32"/>
          <w:szCs w:val="32"/>
        </w:rPr>
      </w:pPr>
      <w:r>
        <w:rPr>
          <w:rFonts w:hint="eastAsia" w:ascii="仿宋_GB2312" w:eastAsia="仿宋_GB2312"/>
          <w:color w:val="000000"/>
          <w:sz w:val="32"/>
          <w:szCs w:val="32"/>
        </w:rPr>
        <w:t>2015年，该区完成地区生产总值381.28亿元，比增8.5%；社会消费品零售总额465.73亿元，比增15.3%，占全市总量34.8%，总量及增速继续居全市各区县首位。中心城区城镇常住居民人均可支配收入27237元，增长9.0%；农村常住居民人均可支配收入12857元，增长10.8%。</w:t>
      </w:r>
    </w:p>
    <w:p>
      <w:pPr>
        <w:spacing w:beforeLines="50" w:afterLines="50" w:line="360" w:lineRule="auto"/>
        <w:ind w:firstLine="561"/>
        <w:rPr>
          <w:rFonts w:ascii="仿宋_GB2312" w:eastAsia="仿宋_GB2312"/>
          <w:color w:val="000000"/>
          <w:sz w:val="32"/>
          <w:szCs w:val="32"/>
        </w:rPr>
      </w:pPr>
      <w:r>
        <w:rPr>
          <w:rFonts w:hint="eastAsia" w:ascii="仿宋_GB2312" w:eastAsia="仿宋_GB2312"/>
          <w:color w:val="000000"/>
          <w:sz w:val="32"/>
          <w:szCs w:val="32"/>
        </w:rPr>
        <w:t>2003年1月，国务院批复广东省人民政府，同意调整汕头市行政区划，撤销金园区、升平区，设立金平区。以原金园区、升平区、原达濠区</w:t>
      </w:r>
      <w:r>
        <w:rPr>
          <w:rFonts w:hint="eastAsia" w:ascii="宋体" w:hAnsi="宋体" w:cs="宋体"/>
          <w:color w:val="000000"/>
          <w:sz w:val="32"/>
          <w:szCs w:val="32"/>
        </w:rPr>
        <w:t>礐</w:t>
      </w:r>
      <w:r>
        <w:rPr>
          <w:rFonts w:hint="eastAsia" w:ascii="仿宋_GB2312" w:hAnsi="仿宋_GB2312" w:eastAsia="仿宋_GB2312" w:cs="仿宋_GB2312"/>
          <w:color w:val="000000"/>
          <w:sz w:val="32"/>
          <w:szCs w:val="32"/>
        </w:rPr>
        <w:t>石街道浔洄居委会、龙湖区龙溪路以北区域为金平区的行政区域。调整后金平区辖</w:t>
      </w:r>
      <w:r>
        <w:rPr>
          <w:rFonts w:hint="eastAsia" w:ascii="仿宋_GB2312" w:eastAsia="仿宋_GB2312"/>
          <w:color w:val="000000"/>
          <w:sz w:val="32"/>
          <w:szCs w:val="32"/>
        </w:rPr>
        <w:t>17个街道，下设117个居委会。至2012年底，金平区辖17个街道，168个社区居委会。</w:t>
      </w:r>
    </w:p>
    <w:p>
      <w:pPr>
        <w:pStyle w:val="3"/>
        <w:spacing w:before="0" w:after="0" w:line="360" w:lineRule="auto"/>
        <w:rPr>
          <w:rFonts w:cs="Arial"/>
          <w:color w:val="000000"/>
        </w:rPr>
      </w:pPr>
      <w:bookmarkStart w:id="16" w:name="_Toc483131220"/>
      <w:r>
        <w:rPr>
          <w:rFonts w:cs="Arial"/>
          <w:color w:val="000000"/>
        </w:rPr>
        <w:t>2.</w:t>
      </w:r>
      <w:r>
        <w:rPr>
          <w:rFonts w:hint="eastAsia" w:cs="Arial"/>
          <w:color w:val="000000"/>
        </w:rPr>
        <w:t>2</w:t>
      </w:r>
      <w:r>
        <w:rPr>
          <w:rFonts w:cs="Arial"/>
          <w:color w:val="000000"/>
        </w:rPr>
        <w:t xml:space="preserve"> </w:t>
      </w:r>
      <w:r>
        <w:rPr>
          <w:rFonts w:hint="eastAsia" w:cs="Arial"/>
          <w:color w:val="000000"/>
        </w:rPr>
        <w:t>项目建设必要性</w:t>
      </w:r>
      <w:bookmarkEnd w:id="16"/>
    </w:p>
    <w:p>
      <w:pPr>
        <w:widowControl/>
        <w:wordWrap w:val="0"/>
        <w:spacing w:before="100" w:beforeAutospacing="1" w:after="100" w:afterAutospacing="1" w:line="427" w:lineRule="auto"/>
        <w:jc w:val="left"/>
        <w:rPr>
          <w:rFonts w:ascii="黑体" w:hAnsi="黑体" w:eastAsia="黑体" w:cs="Arial"/>
          <w:b/>
          <w:bCs/>
          <w:color w:val="000000"/>
          <w:sz w:val="32"/>
          <w:szCs w:val="32"/>
        </w:rPr>
      </w:pPr>
      <w:r>
        <w:rPr>
          <w:rFonts w:hint="eastAsia" w:ascii="黑体" w:hAnsi="黑体" w:eastAsia="黑体" w:cs="Arial"/>
          <w:b/>
          <w:bCs/>
          <w:color w:val="000000"/>
          <w:sz w:val="32"/>
          <w:szCs w:val="32"/>
        </w:rPr>
        <w:t>2.2.1本项目符合《金平区国民经济和社会发展第十三个五年规划纲要》的要求</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《金平区国民经济和社会发展第十三个五年规划纲要》指出，要，以“城以民为本、民以城为家”的理念，加快功能性城市基础设施建设，实施绿化、硬化、亮化、美化工程，提升区域的综合承载能力。</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十三五”规划建议提到，要率先实现全面建成小康社会奋斗目标，推动经济社会持续健康发展，其中一个必须遵循的原则是：优化城市功能布局，加快新型城镇化步伐，改善城乡人居环境，促进城乡、区域协调互动发展，不断完善保障和改善民生的制度安排，推进基本公共服务均等化，创新社会管理与服务，提高居民生活品质，使改革发展成果真正惠及全体人民。</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本项目建设符合汕头市金平区区“十三五”规划建议要求，完善市政设施配套，提高居民生活品质，改善城乡人居环境，促进城乡、区域协调互动发展，有助于汕头市打造生活美好的现代化新城区。</w:t>
      </w:r>
    </w:p>
    <w:p>
      <w:pPr>
        <w:widowControl/>
        <w:wordWrap w:val="0"/>
        <w:spacing w:before="100" w:beforeAutospacing="1" w:after="100" w:afterAutospacing="1" w:line="427" w:lineRule="auto"/>
        <w:jc w:val="left"/>
        <w:rPr>
          <w:rFonts w:ascii="黑体" w:hAnsi="黑体" w:eastAsia="黑体" w:cs="Arial"/>
          <w:b/>
          <w:bCs/>
          <w:color w:val="000000"/>
          <w:sz w:val="32"/>
          <w:szCs w:val="32"/>
        </w:rPr>
      </w:pPr>
      <w:r>
        <w:rPr>
          <w:rFonts w:hint="eastAsia" w:ascii="黑体" w:hAnsi="黑体" w:eastAsia="黑体" w:cs="Arial"/>
          <w:b/>
          <w:bCs/>
          <w:color w:val="000000"/>
          <w:sz w:val="32"/>
          <w:szCs w:val="32"/>
        </w:rPr>
        <w:t>2.2.2本项目建设有助于汕头市“创建全国文明城市”目标的实现</w:t>
      </w:r>
    </w:p>
    <w:p>
      <w:pPr>
        <w:spacing w:beforeLines="50" w:afterLines="50" w:line="360" w:lineRule="auto"/>
        <w:ind w:firstLine="640" w:firstLineChars="200"/>
        <w:rPr>
          <w:rFonts w:ascii="仿宋_GB2312" w:hAnsi="宋体" w:eastAsia="仿宋_GB2312"/>
          <w:color w:val="000000"/>
          <w:sz w:val="32"/>
          <w:szCs w:val="32"/>
        </w:rPr>
      </w:pPr>
      <w:r>
        <w:rPr>
          <w:rFonts w:hint="eastAsia" w:ascii="宋体" w:hAnsi="宋体" w:cs="宋体"/>
          <w:color w:val="000000"/>
          <w:kern w:val="0"/>
          <w:sz w:val="32"/>
          <w:szCs w:val="32"/>
        </w:rPr>
        <w:t>　</w:t>
      </w:r>
      <w:r>
        <w:rPr>
          <w:rFonts w:hint="eastAsia" w:ascii="仿宋_GB2312" w:hAnsi="宋体" w:eastAsia="仿宋_GB2312"/>
          <w:color w:val="000000"/>
          <w:sz w:val="32"/>
          <w:szCs w:val="32"/>
        </w:rPr>
        <w:t>2016年5月17日，汕头市召开“创建全国文明城市，强化城市管理工作”会议，提出冲刺夺取2017年的“全国文明城市”提名城市资格，力争2020年顺利取得“全国文明城市”称号。</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市委书记、市创文领导小组组长陈良贤在会上要求全市各级各部门切实增强创建文明城市、强化城市管理的紧迫感和责任感，动员全社会形成讲文明、爱家园的行为自觉，扎实推进“九大提升行动”， 确保创文和城市管理工作目标任务落到实处，真正把汕头打造成一个文明、开放、包容的城市。</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会议提出，按照《全国文明城市测评体系》的指标要求，针对汕头实际，从现在起至2020年，立足当前，着眼长远，围绕“一个目标”，突出“两大重点”，攻克“四大难点”，兼顾推进“六大专项创建”，以“九大提升行动”为推手，有计划、有组织、有重点、有步骤地加快推进创建全国文明城市活动，经过三至五年的创建，努力使汕头城市环境品质和市民文明素质获得大幅提升，力争至2017年，汕头能取得全国文明城市提名城市资格；至2020年，顺利取得“全国文明城市”称号。</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今年是汕头市“创文”提名的冲刺之年，良好的市容市貌，规划统一的道路景观，整洁干净的街区是取得提名的基础。本项目的建设，将从根本上改变大华路的景观，彻底改变其杂乱破旧的形象，为汕头创文成功发挥其自身的作用。</w:t>
      </w:r>
    </w:p>
    <w:p>
      <w:pPr>
        <w:widowControl/>
        <w:wordWrap w:val="0"/>
        <w:spacing w:before="100" w:beforeAutospacing="1" w:after="100" w:afterAutospacing="1" w:line="427" w:lineRule="auto"/>
        <w:jc w:val="left"/>
        <w:rPr>
          <w:rFonts w:ascii="黑体" w:hAnsi="黑体" w:eastAsia="黑体" w:cs="Arial"/>
          <w:b/>
          <w:bCs/>
          <w:color w:val="000000"/>
          <w:sz w:val="32"/>
          <w:szCs w:val="32"/>
        </w:rPr>
      </w:pPr>
      <w:r>
        <w:rPr>
          <w:rFonts w:hint="eastAsia" w:ascii="黑体" w:hAnsi="黑体" w:eastAsia="黑体" w:cs="Arial"/>
          <w:b/>
          <w:bCs/>
          <w:color w:val="000000"/>
          <w:sz w:val="32"/>
          <w:szCs w:val="32"/>
          <w:lang w:val="en-US" w:eastAsia="zh-CN"/>
        </w:rPr>
        <w:t>2.2.3</w:t>
      </w:r>
      <w:r>
        <w:rPr>
          <w:rFonts w:ascii="黑体" w:hAnsi="黑体" w:eastAsia="黑体" w:cs="Arial"/>
          <w:b/>
          <w:bCs/>
          <w:color w:val="000000"/>
          <w:sz w:val="32"/>
          <w:szCs w:val="32"/>
        </w:rPr>
        <w:t>项目建设是</w:t>
      </w:r>
      <w:r>
        <w:rPr>
          <w:rFonts w:hint="eastAsia" w:ascii="黑体" w:hAnsi="黑体" w:eastAsia="黑体" w:cs="Arial"/>
          <w:b/>
          <w:bCs/>
          <w:color w:val="000000"/>
          <w:sz w:val="32"/>
          <w:szCs w:val="32"/>
        </w:rPr>
        <w:t>汕头市</w:t>
      </w:r>
      <w:r>
        <w:rPr>
          <w:rFonts w:ascii="黑体" w:hAnsi="黑体" w:eastAsia="黑体" w:cs="Arial"/>
          <w:b/>
          <w:bCs/>
          <w:color w:val="000000"/>
          <w:sz w:val="32"/>
          <w:szCs w:val="32"/>
        </w:rPr>
        <w:t>优化城乡环境，提升城市品位，带动区域发展的需要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杂乱无序的街道外立面，违法搭建的户外广告，既影响市容市貌又存在安全隐患。本项目将拆除违规立柱式户外广告牌，违规楼顶铁皮，违规占用公共场地和公用设施设置的各类标牌、指示牌、灯箱广告等。临街店铺的广告、店招店牌、雨阳篷、地面空调外机将按照统一的标准进行安置。项目建成后，将进一步提升汕头市的城乡环境和城市品位。另外，街道整体形象的改变，将会带动周边商业住宅价值的提升，产生显著的社会效益。</w:t>
      </w:r>
    </w:p>
    <w:p>
      <w:pPr>
        <w:spacing w:beforeLines="50" w:afterLines="50" w:line="360" w:lineRule="auto"/>
        <w:ind w:firstLine="643" w:firstLineChars="200"/>
        <w:rPr>
          <w:rFonts w:ascii="仿宋_GB2312" w:hAnsi="宋体" w:eastAsia="仿宋_GB2312"/>
          <w:b/>
          <w:color w:val="000000"/>
          <w:sz w:val="32"/>
          <w:szCs w:val="32"/>
        </w:rPr>
      </w:pPr>
      <w:r>
        <w:rPr>
          <w:rFonts w:hint="eastAsia" w:ascii="仿宋_GB2312" w:hAnsi="宋体" w:eastAsia="仿宋_GB2312"/>
          <w:b/>
          <w:color w:val="000000"/>
          <w:sz w:val="32"/>
          <w:szCs w:val="32"/>
        </w:rPr>
        <w:t>综上所述，本项目建设是十分必要的！</w:t>
      </w:r>
    </w:p>
    <w:p>
      <w:pPr>
        <w:widowControl/>
        <w:spacing w:before="50" w:after="50" w:line="360" w:lineRule="auto"/>
        <w:ind w:firstLine="480"/>
        <w:jc w:val="left"/>
        <w:rPr>
          <w:rFonts w:ascii="宋体" w:hAnsi="宋体" w:cs="宋体"/>
          <w:color w:val="000000"/>
          <w:kern w:val="0"/>
          <w:sz w:val="27"/>
          <w:szCs w:val="27"/>
        </w:rPr>
        <w:sectPr>
          <w:pgSz w:w="11906" w:h="16838"/>
          <w:pgMar w:top="1440" w:right="1797" w:bottom="1440" w:left="1797" w:header="1160" w:footer="1180" w:gutter="0"/>
          <w:cols w:space="425" w:num="1"/>
          <w:docGrid w:type="linesAndChars" w:linePitch="312" w:charSpace="0"/>
        </w:sectPr>
      </w:pPr>
    </w:p>
    <w:p>
      <w:pPr>
        <w:pStyle w:val="2"/>
        <w:spacing w:beforeLines="50" w:afterLines="50" w:line="540" w:lineRule="exact"/>
        <w:jc w:val="center"/>
        <w:rPr>
          <w:color w:val="000000"/>
        </w:rPr>
      </w:pPr>
      <w:bookmarkStart w:id="17" w:name="_Toc483131221"/>
      <w:r>
        <w:rPr>
          <w:rFonts w:hint="eastAsia" w:ascii="黑体" w:eastAsia="黑体"/>
          <w:color w:val="000000"/>
          <w:sz w:val="32"/>
          <w:szCs w:val="32"/>
        </w:rPr>
        <w:t>第三章  项目选址</w:t>
      </w:r>
      <w:bookmarkEnd w:id="17"/>
    </w:p>
    <w:p>
      <w:pPr>
        <w:pStyle w:val="3"/>
        <w:rPr>
          <w:rFonts w:cs="Arial"/>
          <w:color w:val="000000"/>
        </w:rPr>
      </w:pPr>
      <w:bookmarkStart w:id="18" w:name="_Toc483131222"/>
      <w:r>
        <w:rPr>
          <w:rFonts w:hint="eastAsia" w:cs="Arial"/>
          <w:color w:val="000000"/>
        </w:rPr>
        <w:t>3.1 场址现状</w:t>
      </w:r>
      <w:bookmarkEnd w:id="18"/>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3.1.1 项目地点</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本项目的建设地点位于汕头市金平区东南部，临近中山公园。</w:t>
      </w:r>
    </w:p>
    <w:p>
      <w:pPr>
        <w:spacing w:beforeLines="50" w:afterLines="50" w:line="540" w:lineRule="exact"/>
        <w:ind w:firstLine="420" w:firstLineChars="200"/>
        <w:rPr>
          <w:rFonts w:ascii="仿宋_GB2312" w:hAnsi="宋体" w:eastAsia="仿宋_GB2312"/>
          <w:color w:val="000000"/>
          <w:sz w:val="28"/>
          <w:szCs w:val="28"/>
        </w:rPr>
      </w:pPr>
      <w:r>
        <w:rPr>
          <w:color w:val="000000"/>
        </w:rPr>
        <w:drawing>
          <wp:anchor distT="0" distB="0" distL="114300" distR="114300" simplePos="0" relativeHeight="251652096" behindDoc="1" locked="0" layoutInCell="1" allowOverlap="1">
            <wp:simplePos x="0" y="0"/>
            <wp:positionH relativeFrom="column">
              <wp:posOffset>248285</wp:posOffset>
            </wp:positionH>
            <wp:positionV relativeFrom="paragraph">
              <wp:posOffset>138430</wp:posOffset>
            </wp:positionV>
            <wp:extent cx="5272405" cy="3040380"/>
            <wp:effectExtent l="19050" t="0" r="4445" b="0"/>
            <wp:wrapNone/>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pic:cNvPicPr>
                      <a:picLocks noChangeAspect="1" noChangeArrowheads="1"/>
                    </pic:cNvPicPr>
                  </pic:nvPicPr>
                  <pic:blipFill>
                    <a:blip r:embed="rId16"/>
                    <a:srcRect/>
                    <a:stretch>
                      <a:fillRect/>
                    </a:stretch>
                  </pic:blipFill>
                  <pic:spPr>
                    <a:xfrm>
                      <a:off x="0" y="0"/>
                      <a:ext cx="5272405" cy="3040380"/>
                    </a:xfrm>
                    <a:prstGeom prst="rect">
                      <a:avLst/>
                    </a:prstGeom>
                    <a:noFill/>
                    <a:ln w="9525">
                      <a:noFill/>
                      <a:miter lim="800000"/>
                      <a:headEnd/>
                      <a:tailEnd/>
                    </a:ln>
                  </pic:spPr>
                </pic:pic>
              </a:graphicData>
            </a:graphic>
          </wp:anchor>
        </w:drawing>
      </w:r>
    </w:p>
    <w:p>
      <w:pPr>
        <w:spacing w:beforeLines="50" w:afterLines="50" w:line="540" w:lineRule="exact"/>
        <w:ind w:firstLine="560" w:firstLineChars="200"/>
        <w:rPr>
          <w:rFonts w:ascii="仿宋_GB2312" w:hAnsi="宋体" w:eastAsia="仿宋_GB2312"/>
          <w:color w:val="000000"/>
          <w:sz w:val="28"/>
          <w:szCs w:val="28"/>
        </w:rPr>
      </w:pPr>
      <w:r>
        <w:rPr>
          <w:rFonts w:ascii="仿宋_GB2312" w:hAnsi="宋体" w:eastAsia="仿宋_GB2312"/>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2802255</wp:posOffset>
                </wp:positionH>
                <wp:positionV relativeFrom="paragraph">
                  <wp:posOffset>188595</wp:posOffset>
                </wp:positionV>
                <wp:extent cx="914400" cy="301625"/>
                <wp:effectExtent l="4445" t="4445" r="14605" b="151130"/>
                <wp:wrapNone/>
                <wp:docPr id="6" name="自选图形 154"/>
                <wp:cNvGraphicFramePr/>
                <a:graphic xmlns:a="http://schemas.openxmlformats.org/drawingml/2006/main">
                  <a:graphicData uri="http://schemas.microsoft.com/office/word/2010/wordprocessingShape">
                    <wps:wsp>
                      <wps:cNvSpPr/>
                      <wps:spPr>
                        <a:xfrm>
                          <a:off x="0" y="0"/>
                          <a:ext cx="914400" cy="301625"/>
                        </a:xfrm>
                        <a:prstGeom prst="wedgeRectCallout">
                          <a:avLst>
                            <a:gd name="adj1" fmla="val -43750"/>
                            <a:gd name="adj2" fmla="val 90421"/>
                          </a:avLst>
                        </a:prstGeom>
                        <a:solidFill>
                          <a:srgbClr val="FF0000"/>
                        </a:solidFill>
                        <a:ln w="9525" cap="flat" cmpd="sng">
                          <a:solidFill>
                            <a:srgbClr val="000000"/>
                          </a:solidFill>
                          <a:prstDash val="solid"/>
                          <a:miter/>
                          <a:headEnd type="none" w="med" len="med"/>
                          <a:tailEnd type="none" w="med" len="med"/>
                        </a:ln>
                      </wps:spPr>
                      <wps:txbx>
                        <w:txbxContent>
                          <w:p>
                            <w:pPr>
                              <w:rPr>
                                <w:b/>
                              </w:rPr>
                            </w:pPr>
                            <w:r>
                              <w:rPr>
                                <w:rFonts w:hint="eastAsia"/>
                                <w:b/>
                              </w:rPr>
                              <w:t>项目地址</w:t>
                            </w:r>
                          </w:p>
                        </w:txbxContent>
                      </wps:txbx>
                      <wps:bodyPr upright="1"/>
                    </wps:wsp>
                  </a:graphicData>
                </a:graphic>
              </wp:anchor>
            </w:drawing>
          </mc:Choice>
          <mc:Fallback>
            <w:pict>
              <v:shape id="自选图形 154" o:spid="_x0000_s1026" o:spt="61" type="#_x0000_t61" style="position:absolute;left:0pt;margin-left:220.65pt;margin-top:14.85pt;height:23.75pt;width:72pt;z-index:251656192;mso-width-relative:page;mso-height-relative:page;" fillcolor="#FF0000" filled="t" stroked="t" coordsize="21600,21600" o:gfxdata="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45aYDZ&#10;AAAACQEAAA8AAAAAAAAAAQAgAAAAIgAAAGRycy9kb3ducmV2LnhtbFBLAQIUABQAAAAIAIdO4kAa&#10;Bu39HwIAAEAEAAAOAAAAAAAAAAEAIAAAACgBAABkcnMvZTJvRG9jLnhtbFBLBQYAAAAABgAGAFkB&#10;AAC5BQAAAAA=&#10;" adj="1350,30331">
                <v:fill on="t" focussize="0,0"/>
                <v:stroke color="#000000" joinstyle="miter"/>
                <v:imagedata o:title=""/>
                <o:lock v:ext="edit" aspectratio="f"/>
                <v:textbox>
                  <w:txbxContent>
                    <w:p>
                      <w:pPr>
                        <w:rPr>
                          <w:b/>
                        </w:rPr>
                      </w:pPr>
                      <w:r>
                        <w:rPr>
                          <w:rFonts w:hint="eastAsia"/>
                          <w:b/>
                        </w:rPr>
                        <w:t>项目地址</w:t>
                      </w:r>
                    </w:p>
                  </w:txbxContent>
                </v:textbox>
              </v:shape>
            </w:pict>
          </mc:Fallback>
        </mc:AlternateContent>
      </w:r>
    </w:p>
    <w:p>
      <w:pPr>
        <w:spacing w:beforeLines="50" w:afterLines="50" w:line="540" w:lineRule="exact"/>
        <w:ind w:firstLine="560" w:firstLineChars="200"/>
        <w:rPr>
          <w:rFonts w:ascii="仿宋_GB2312" w:hAnsi="宋体" w:eastAsia="仿宋_GB2312"/>
          <w:color w:val="000000"/>
          <w:sz w:val="28"/>
          <w:szCs w:val="28"/>
        </w:rPr>
      </w:pPr>
      <w:r>
        <w:rPr>
          <w:rFonts w:ascii="仿宋_GB2312" w:hAnsi="宋体" w:eastAsia="仿宋_GB2312"/>
          <w:color w:val="000000"/>
          <w:sz w:val="28"/>
          <w:szCs w:val="28"/>
        </w:rPr>
        <mc:AlternateContent>
          <mc:Choice Requires="wps">
            <w:drawing>
              <wp:anchor distT="0" distB="0" distL="114300" distR="114300" simplePos="0" relativeHeight="251653120" behindDoc="0" locked="0" layoutInCell="1" allowOverlap="1">
                <wp:simplePos x="0" y="0"/>
                <wp:positionH relativeFrom="column">
                  <wp:posOffset>2640330</wp:posOffset>
                </wp:positionH>
                <wp:positionV relativeFrom="paragraph">
                  <wp:posOffset>134620</wp:posOffset>
                </wp:positionV>
                <wp:extent cx="161925" cy="657225"/>
                <wp:effectExtent l="18415" t="4445" r="29210" b="5080"/>
                <wp:wrapNone/>
                <wp:docPr id="1" name="自选图形 151"/>
                <wp:cNvGraphicFramePr/>
                <a:graphic xmlns:a="http://schemas.openxmlformats.org/drawingml/2006/main">
                  <a:graphicData uri="http://schemas.microsoft.com/office/word/2010/wordprocessingShape">
                    <wps:wsp>
                      <wps:cNvCnPr/>
                      <wps:spPr>
                        <a:xfrm flipH="1">
                          <a:off x="0" y="0"/>
                          <a:ext cx="161925" cy="657225"/>
                        </a:xfrm>
                        <a:prstGeom prst="straightConnector1">
                          <a:avLst/>
                        </a:prstGeom>
                        <a:ln w="38100" cap="flat" cmpd="sng">
                          <a:solidFill>
                            <a:srgbClr val="FF0000"/>
                          </a:solidFill>
                          <a:prstDash val="solid"/>
                          <a:headEnd type="none" w="med" len="med"/>
                          <a:tailEnd type="none" w="med" len="med"/>
                        </a:ln>
                      </wps:spPr>
                      <wps:bodyPr/>
                    </wps:wsp>
                  </a:graphicData>
                </a:graphic>
              </wp:anchor>
            </w:drawing>
          </mc:Choice>
          <mc:Fallback>
            <w:pict>
              <v:shape id="自选图形 151" o:spid="_x0000_s1026" o:spt="32" type="#_x0000_t32" style="position:absolute;left:0pt;flip:x;margin-left:207.9pt;margin-top:10.6pt;height:51.75pt;width:12.75pt;z-index:251653120;mso-width-relative:page;mso-height-relative:page;" filled="f" stroked="t" coordsize="21600,21600" o:gfxdata="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eK5UfZ&#10;AAAACgEAAA8AAAAAAAAAAQAgAAAAIgAAAGRycy9kb3ducmV2LnhtbFBLAQIUABQAAAAIAIdO4kAT&#10;CWYD5gEAAKYDAAAOAAAAAAAAAAEAIAAAACgBAABkcnMvZTJvRG9jLnhtbFBLBQYAAAAABgAGAFkB&#10;AACABQAAAAA=&#10;">
                <v:fill on="f" focussize="0,0"/>
                <v:stroke weight="3pt" color="#FF0000" joinstyle="round"/>
                <v:imagedata o:title=""/>
                <o:lock v:ext="edit" aspectratio="f"/>
              </v:shape>
            </w:pict>
          </mc:Fallback>
        </mc:AlternateContent>
      </w:r>
    </w:p>
    <w:p>
      <w:pPr>
        <w:spacing w:beforeLines="50" w:afterLines="50" w:line="540" w:lineRule="exact"/>
        <w:ind w:firstLine="560" w:firstLineChars="200"/>
        <w:rPr>
          <w:rFonts w:ascii="仿宋_GB2312" w:hAnsi="宋体" w:eastAsia="仿宋_GB2312"/>
          <w:color w:val="000000"/>
          <w:sz w:val="28"/>
          <w:szCs w:val="28"/>
        </w:rPr>
      </w:pPr>
      <w:r>
        <w:rPr>
          <w:rFonts w:ascii="仿宋_GB2312" w:hAnsi="宋体" w:eastAsia="仿宋_GB2312"/>
          <w:color w:val="000000"/>
          <w:sz w:val="28"/>
          <w:szCs w:val="28"/>
        </w:rPr>
        <mc:AlternateContent>
          <mc:Choice Requires="wps">
            <w:drawing>
              <wp:anchor distT="0" distB="0" distL="114300" distR="114300" simplePos="0" relativeHeight="251654144" behindDoc="0" locked="0" layoutInCell="1" allowOverlap="1">
                <wp:simplePos x="0" y="0"/>
                <wp:positionH relativeFrom="column">
                  <wp:posOffset>2640330</wp:posOffset>
                </wp:positionH>
                <wp:positionV relativeFrom="paragraph">
                  <wp:posOffset>349885</wp:posOffset>
                </wp:positionV>
                <wp:extent cx="371475" cy="685800"/>
                <wp:effectExtent l="16510" t="8890" r="31115" b="10160"/>
                <wp:wrapNone/>
                <wp:docPr id="2" name="自选图形 152"/>
                <wp:cNvGraphicFramePr/>
                <a:graphic xmlns:a="http://schemas.openxmlformats.org/drawingml/2006/main">
                  <a:graphicData uri="http://schemas.microsoft.com/office/word/2010/wordprocessingShape">
                    <wps:wsp>
                      <wps:cNvCnPr/>
                      <wps:spPr>
                        <a:xfrm>
                          <a:off x="0" y="0"/>
                          <a:ext cx="371475" cy="685800"/>
                        </a:xfrm>
                        <a:prstGeom prst="straightConnector1">
                          <a:avLst/>
                        </a:prstGeom>
                        <a:ln w="38100" cap="flat" cmpd="sng">
                          <a:solidFill>
                            <a:srgbClr val="FF0000"/>
                          </a:solidFill>
                          <a:prstDash val="solid"/>
                          <a:headEnd type="none" w="med" len="med"/>
                          <a:tailEnd type="none" w="med" len="med"/>
                        </a:ln>
                      </wps:spPr>
                      <wps:bodyPr/>
                    </wps:wsp>
                  </a:graphicData>
                </a:graphic>
              </wp:anchor>
            </w:drawing>
          </mc:Choice>
          <mc:Fallback>
            <w:pict>
              <v:shape id="自选图形 152" o:spid="_x0000_s1026" o:spt="32" type="#_x0000_t32" style="position:absolute;left:0pt;margin-left:207.9pt;margin-top:27.55pt;height:54pt;width:29.25pt;z-index:251654144;mso-width-relative:page;mso-height-relative:page;" filled="f" stroked="t" coordsize="21600,21600" o:gfxdata="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I7qGu2gAA&#10;AAoBAAAPAAAAAAAAAAEAIAAAACIAAABkcnMvZG93bnJldi54bWxQSwECFAAUAAAACACHTuJA+e1f&#10;I+MBAACcAwAADgAAAAAAAAABACAAAAApAQAAZHJzL2Uyb0RvYy54bWxQSwUGAAAAAAYABgBZAQAA&#10;fgUAAAAA&#10;">
                <v:fill on="f" focussize="0,0"/>
                <v:stroke weight="3pt" color="#FF0000" joinstyle="round"/>
                <v:imagedata o:title=""/>
                <o:lock v:ext="edit" aspectratio="f"/>
              </v:shape>
            </w:pict>
          </mc:Fallback>
        </mc:AlternateContent>
      </w:r>
    </w:p>
    <w:p>
      <w:pPr>
        <w:spacing w:beforeLines="50" w:afterLines="50" w:line="540" w:lineRule="exact"/>
        <w:ind w:firstLine="560" w:firstLineChars="200"/>
        <w:rPr>
          <w:rFonts w:ascii="仿宋_GB2312" w:hAnsi="宋体" w:eastAsia="仿宋_GB2312"/>
          <w:color w:val="000000"/>
          <w:sz w:val="28"/>
          <w:szCs w:val="28"/>
        </w:rPr>
      </w:pPr>
    </w:p>
    <w:p>
      <w:pPr>
        <w:spacing w:beforeLines="50" w:afterLines="50" w:line="540" w:lineRule="exact"/>
        <w:ind w:firstLine="560" w:firstLineChars="200"/>
        <w:rPr>
          <w:rFonts w:ascii="仿宋_GB2312" w:hAnsi="宋体" w:eastAsia="仿宋_GB2312"/>
          <w:color w:val="000000"/>
          <w:sz w:val="28"/>
          <w:szCs w:val="28"/>
        </w:rPr>
      </w:pPr>
      <w:r>
        <w:rPr>
          <w:rFonts w:ascii="仿宋_GB2312" w:hAnsi="宋体" w:eastAsia="仿宋_GB2312"/>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3011805</wp:posOffset>
                </wp:positionH>
                <wp:positionV relativeFrom="paragraph">
                  <wp:posOffset>151765</wp:posOffset>
                </wp:positionV>
                <wp:extent cx="0" cy="219075"/>
                <wp:effectExtent l="19050" t="0" r="19050" b="9525"/>
                <wp:wrapNone/>
                <wp:docPr id="5" name="自选图形 153"/>
                <wp:cNvGraphicFramePr/>
                <a:graphic xmlns:a="http://schemas.openxmlformats.org/drawingml/2006/main">
                  <a:graphicData uri="http://schemas.microsoft.com/office/word/2010/wordprocessingShape">
                    <wps:wsp>
                      <wps:cNvCnPr/>
                      <wps:spPr>
                        <a:xfrm>
                          <a:off x="0" y="0"/>
                          <a:ext cx="0" cy="219075"/>
                        </a:xfrm>
                        <a:prstGeom prst="straightConnector1">
                          <a:avLst/>
                        </a:prstGeom>
                        <a:ln w="38100" cap="flat" cmpd="sng">
                          <a:solidFill>
                            <a:srgbClr val="FF0000"/>
                          </a:solidFill>
                          <a:prstDash val="solid"/>
                          <a:headEnd type="none" w="med" len="med"/>
                          <a:tailEnd type="none" w="med" len="med"/>
                        </a:ln>
                      </wps:spPr>
                      <wps:bodyPr/>
                    </wps:wsp>
                  </a:graphicData>
                </a:graphic>
              </wp:anchor>
            </w:drawing>
          </mc:Choice>
          <mc:Fallback>
            <w:pict>
              <v:shape id="自选图形 153" o:spid="_x0000_s1026" o:spt="32" type="#_x0000_t32" style="position:absolute;left:0pt;margin-left:237.15pt;margin-top:11.95pt;height:17.25pt;width:0pt;z-index:251655168;mso-width-relative:page;mso-height-relative:page;" filled="f" stroked="t" coordsize="21600,21600" o:gfxdata="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BsNfGjYAAAACQEAAA8AAAAA&#10;AAAAAQAgAAAAIgAAAGRycy9kb3ducmV2LnhtbFBLAQIUABQAAAAIAIdO4kC8H3me2wEAAJcDAAAO&#10;AAAAAAAAAAEAIAAAACcBAABkcnMvZTJvRG9jLnhtbFBLBQYAAAAABgAGAFkBAAB0BQAAAAA=&#10;">
                <v:fill on="f" focussize="0,0"/>
                <v:stroke weight="3pt" color="#FF0000" joinstyle="round"/>
                <v:imagedata o:title=""/>
                <o:lock v:ext="edit" aspectratio="f"/>
              </v:shape>
            </w:pict>
          </mc:Fallback>
        </mc:AlternateContent>
      </w:r>
    </w:p>
    <w:p>
      <w:pPr>
        <w:spacing w:beforeLines="50" w:afterLines="50" w:line="540" w:lineRule="exact"/>
        <w:ind w:firstLine="560" w:firstLineChars="200"/>
        <w:rPr>
          <w:rFonts w:ascii="仿宋_GB2312" w:hAnsi="宋体" w:eastAsia="仿宋_GB2312"/>
          <w:color w:val="000000"/>
          <w:sz w:val="28"/>
          <w:szCs w:val="28"/>
        </w:rPr>
      </w:pPr>
    </w:p>
    <w:p>
      <w:pPr>
        <w:spacing w:beforeLines="50" w:afterLines="50" w:line="540" w:lineRule="exact"/>
        <w:ind w:firstLine="560" w:firstLineChars="200"/>
        <w:rPr>
          <w:rFonts w:ascii="仿宋_GB2312" w:hAnsi="宋体" w:eastAsia="仿宋_GB2312"/>
          <w:color w:val="000000"/>
          <w:sz w:val="28"/>
          <w:szCs w:val="28"/>
        </w:rPr>
      </w:pP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3.1.2 土地权属类别</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本项目道路为市政道路用地，土地权属类别为国有土地，道路周边建筑土地权属多为私人所有，改造美化过程中会涉及到拆迁问题。</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3.1.3 用地现状</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本项目街道两侧多为商店、学校、住宅等建筑。建筑外立面差异较大，各类广告设施设置较为随意，立面较为混乱。</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项目现状见图4-1。</w:t>
      </w:r>
    </w:p>
    <w:p>
      <w:pPr>
        <w:spacing w:beforeLines="50" w:afterLines="50" w:line="540" w:lineRule="exact"/>
        <w:ind w:firstLine="420" w:firstLineChars="200"/>
        <w:rPr>
          <w:rFonts w:ascii="仿宋_GB2312" w:hAnsi="宋体" w:eastAsia="仿宋_GB2312"/>
          <w:color w:val="000000"/>
          <w:sz w:val="28"/>
          <w:szCs w:val="28"/>
        </w:rPr>
      </w:pPr>
      <w:r>
        <w:rPr>
          <w:color w:val="000000"/>
        </w:rPr>
        <w:drawing>
          <wp:anchor distT="0" distB="0" distL="114300" distR="114300" simplePos="0" relativeHeight="251658240" behindDoc="0" locked="0" layoutInCell="1" allowOverlap="1">
            <wp:simplePos x="0" y="0"/>
            <wp:positionH relativeFrom="column">
              <wp:posOffset>14605</wp:posOffset>
            </wp:positionH>
            <wp:positionV relativeFrom="paragraph">
              <wp:posOffset>4075430</wp:posOffset>
            </wp:positionV>
            <wp:extent cx="5400040" cy="3346450"/>
            <wp:effectExtent l="19050" t="0" r="0" b="0"/>
            <wp:wrapSquare wrapText="bothSides"/>
            <wp:docPr id="173" name="图片 173"/>
            <wp:cNvGraphicFramePr/>
            <a:graphic xmlns:a="http://schemas.openxmlformats.org/drawingml/2006/main">
              <a:graphicData uri="http://schemas.openxmlformats.org/drawingml/2006/picture">
                <pic:pic xmlns:pic="http://schemas.openxmlformats.org/drawingml/2006/picture">
                  <pic:nvPicPr>
                    <pic:cNvPr id="173" name="图片 173"/>
                    <pic:cNvPicPr>
                      <a:picLocks noChangeArrowheads="1"/>
                    </pic:cNvPicPr>
                  </pic:nvPicPr>
                  <pic:blipFill>
                    <a:blip r:embed="rId17"/>
                    <a:srcRect/>
                    <a:stretch>
                      <a:fillRect/>
                    </a:stretch>
                  </pic:blipFill>
                  <pic:spPr>
                    <a:xfrm>
                      <a:off x="0" y="0"/>
                      <a:ext cx="5400040" cy="3346450"/>
                    </a:xfrm>
                    <a:prstGeom prst="rect">
                      <a:avLst/>
                    </a:prstGeom>
                    <a:noFill/>
                    <a:ln w="9525">
                      <a:noFill/>
                      <a:miter lim="800000"/>
                      <a:headEnd/>
                      <a:tailEnd/>
                    </a:ln>
                  </pic:spPr>
                </pic:pic>
              </a:graphicData>
            </a:graphic>
          </wp:anchor>
        </w:drawing>
      </w:r>
      <w:r>
        <w:rPr>
          <w:color w:val="000000"/>
        </w:rPr>
        <w:drawing>
          <wp:anchor distT="0" distB="0" distL="114300" distR="114300" simplePos="0" relativeHeight="251657216" behindDoc="0" locked="0" layoutInCell="1" allowOverlap="1">
            <wp:simplePos x="0" y="0"/>
            <wp:positionH relativeFrom="column">
              <wp:posOffset>14605</wp:posOffset>
            </wp:positionH>
            <wp:positionV relativeFrom="paragraph">
              <wp:posOffset>230505</wp:posOffset>
            </wp:positionV>
            <wp:extent cx="5400040" cy="3379470"/>
            <wp:effectExtent l="19050" t="0" r="0" b="0"/>
            <wp:wrapSquare wrapText="bothSides"/>
            <wp:docPr id="171" name="图片 171"/>
            <wp:cNvGraphicFramePr/>
            <a:graphic xmlns:a="http://schemas.openxmlformats.org/drawingml/2006/main">
              <a:graphicData uri="http://schemas.openxmlformats.org/drawingml/2006/picture">
                <pic:pic xmlns:pic="http://schemas.openxmlformats.org/drawingml/2006/picture">
                  <pic:nvPicPr>
                    <pic:cNvPr id="171" name="图片 171"/>
                    <pic:cNvPicPr>
                      <a:picLocks noChangeArrowheads="1"/>
                    </pic:cNvPicPr>
                  </pic:nvPicPr>
                  <pic:blipFill>
                    <a:blip r:embed="rId18"/>
                    <a:srcRect t="2179" r="5548"/>
                    <a:stretch>
                      <a:fillRect/>
                    </a:stretch>
                  </pic:blipFill>
                  <pic:spPr>
                    <a:xfrm>
                      <a:off x="0" y="0"/>
                      <a:ext cx="5400040" cy="3379470"/>
                    </a:xfrm>
                    <a:prstGeom prst="rect">
                      <a:avLst/>
                    </a:prstGeom>
                    <a:noFill/>
                    <a:ln w="9525">
                      <a:noFill/>
                      <a:miter lim="800000"/>
                      <a:headEnd/>
                      <a:tailEnd/>
                    </a:ln>
                  </pic:spPr>
                </pic:pic>
              </a:graphicData>
            </a:graphic>
          </wp:anchor>
        </w:drawing>
      </w:r>
      <w:r>
        <w:rPr>
          <w:rFonts w:hint="eastAsia" w:ascii="仿宋_GB2312" w:hAnsi="宋体" w:eastAsia="仿宋_GB2312"/>
          <w:color w:val="000000"/>
          <w:sz w:val="28"/>
          <w:szCs w:val="28"/>
        </w:rPr>
        <w:t xml:space="preserve">                      项目现状1</w:t>
      </w:r>
    </w:p>
    <w:p>
      <w:pPr>
        <w:spacing w:beforeLines="50" w:afterLines="50" w:line="540" w:lineRule="exact"/>
        <w:ind w:firstLine="560" w:firstLineChars="200"/>
        <w:jc w:val="center"/>
        <w:rPr>
          <w:rFonts w:ascii="仿宋_GB2312" w:hAnsi="宋体" w:eastAsia="仿宋_GB2312"/>
          <w:color w:val="000000"/>
          <w:sz w:val="28"/>
          <w:szCs w:val="28"/>
        </w:rPr>
        <w:sectPr>
          <w:pgSz w:w="11906" w:h="16838"/>
          <w:pgMar w:top="1440" w:right="1797" w:bottom="1440" w:left="1797" w:header="1160" w:footer="1180" w:gutter="0"/>
          <w:cols w:space="425" w:num="1"/>
          <w:docGrid w:type="linesAndChars" w:linePitch="312" w:charSpace="0"/>
        </w:sectPr>
      </w:pPr>
      <w:r>
        <w:rPr>
          <w:rFonts w:hint="eastAsia" w:ascii="仿宋_GB2312" w:hAnsi="宋体" w:eastAsia="仿宋_GB2312"/>
          <w:color w:val="000000"/>
          <w:sz w:val="28"/>
          <w:szCs w:val="28"/>
        </w:rPr>
        <w:t>项目现状2</w:t>
      </w:r>
    </w:p>
    <w:p>
      <w:pPr>
        <w:spacing w:beforeLines="50" w:afterLines="50" w:line="540" w:lineRule="exact"/>
        <w:ind w:firstLine="420" w:firstLineChars="200"/>
        <w:jc w:val="center"/>
        <w:rPr>
          <w:rFonts w:ascii="仿宋_GB2312" w:hAnsi="宋体" w:eastAsia="仿宋_GB2312"/>
          <w:color w:val="000000"/>
          <w:sz w:val="28"/>
          <w:szCs w:val="28"/>
        </w:rPr>
      </w:pPr>
      <w:r>
        <w:drawing>
          <wp:anchor distT="0" distB="0" distL="114300" distR="114300" simplePos="0" relativeHeight="251662336" behindDoc="0" locked="0" layoutInCell="1" allowOverlap="1">
            <wp:simplePos x="0" y="0"/>
            <wp:positionH relativeFrom="column">
              <wp:posOffset>-81915</wp:posOffset>
            </wp:positionH>
            <wp:positionV relativeFrom="paragraph">
              <wp:posOffset>2705100</wp:posOffset>
            </wp:positionV>
            <wp:extent cx="5507990" cy="2047875"/>
            <wp:effectExtent l="19050" t="0" r="0" b="0"/>
            <wp:wrapSquare wrapText="bothSides"/>
            <wp:docPr id="190" name="图片 2" descr="QQ截图20170510103000"/>
            <wp:cNvGraphicFramePr/>
            <a:graphic xmlns:a="http://schemas.openxmlformats.org/drawingml/2006/main">
              <a:graphicData uri="http://schemas.openxmlformats.org/drawingml/2006/picture">
                <pic:pic xmlns:pic="http://schemas.openxmlformats.org/drawingml/2006/picture">
                  <pic:nvPicPr>
                    <pic:cNvPr id="190" name="图片 2" descr="QQ截图20170510103000"/>
                    <pic:cNvPicPr>
                      <a:picLocks noChangeArrowheads="1"/>
                    </pic:cNvPicPr>
                  </pic:nvPicPr>
                  <pic:blipFill>
                    <a:blip r:embed="rId19"/>
                    <a:srcRect t="35924" b="21605"/>
                    <a:stretch>
                      <a:fillRect/>
                    </a:stretch>
                  </pic:blipFill>
                  <pic:spPr>
                    <a:xfrm>
                      <a:off x="0" y="0"/>
                      <a:ext cx="5507990" cy="2047875"/>
                    </a:xfrm>
                    <a:prstGeom prst="rect">
                      <a:avLst/>
                    </a:prstGeom>
                    <a:noFill/>
                    <a:ln w="9525">
                      <a:noFill/>
                      <a:miter lim="800000"/>
                      <a:headEnd/>
                      <a:tailEnd/>
                    </a:ln>
                  </pic:spPr>
                </pic:pic>
              </a:graphicData>
            </a:graphic>
          </wp:anchor>
        </w:drawing>
      </w:r>
      <w:r>
        <w:drawing>
          <wp:anchor distT="0" distB="0" distL="114300" distR="114300" simplePos="0" relativeHeight="251661312" behindDoc="0" locked="0" layoutInCell="1" allowOverlap="1">
            <wp:simplePos x="0" y="0"/>
            <wp:positionH relativeFrom="column">
              <wp:posOffset>-60325</wp:posOffset>
            </wp:positionH>
            <wp:positionV relativeFrom="paragraph">
              <wp:posOffset>117475</wp:posOffset>
            </wp:positionV>
            <wp:extent cx="5504180" cy="2047875"/>
            <wp:effectExtent l="19050" t="0" r="1270" b="0"/>
            <wp:wrapSquare wrapText="bothSides"/>
            <wp:docPr id="189" name="图片 1" descr="IMG_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 descr="IMG_3387"/>
                    <pic:cNvPicPr>
                      <a:picLocks noChangeAspect="1" noChangeArrowheads="1"/>
                    </pic:cNvPicPr>
                  </pic:nvPicPr>
                  <pic:blipFill>
                    <a:blip r:embed="rId20" cstate="print">
                      <a:lum bright="6000"/>
                    </a:blip>
                    <a:srcRect t="28874" b="21446"/>
                    <a:stretch>
                      <a:fillRect/>
                    </a:stretch>
                  </pic:blipFill>
                  <pic:spPr>
                    <a:xfrm>
                      <a:off x="0" y="0"/>
                      <a:ext cx="5504180" cy="2047875"/>
                    </a:xfrm>
                    <a:prstGeom prst="rect">
                      <a:avLst/>
                    </a:prstGeom>
                    <a:noFill/>
                    <a:ln w="9525">
                      <a:noFill/>
                      <a:miter lim="800000"/>
                      <a:headEnd/>
                      <a:tailEnd/>
                    </a:ln>
                  </pic:spPr>
                </pic:pic>
              </a:graphicData>
            </a:graphic>
          </wp:anchor>
        </w:drawing>
      </w:r>
      <w:r>
        <w:rPr>
          <w:rFonts w:hint="eastAsia" w:ascii="仿宋_GB2312" w:hAnsi="宋体" w:eastAsia="仿宋_GB2312"/>
          <w:color w:val="000000"/>
          <w:sz w:val="28"/>
          <w:szCs w:val="28"/>
        </w:rPr>
        <w:t>菜市场（金砂西路与大华路交汇处）</w:t>
      </w:r>
    </w:p>
    <w:p>
      <w:pPr>
        <w:spacing w:beforeLines="50" w:afterLines="50" w:line="540" w:lineRule="exact"/>
        <w:ind w:firstLine="420" w:firstLineChars="200"/>
        <w:jc w:val="center"/>
        <w:rPr>
          <w:rFonts w:ascii="仿宋_GB2312" w:hAnsi="宋体" w:eastAsia="仿宋_GB2312"/>
          <w:color w:val="000000"/>
          <w:sz w:val="28"/>
          <w:szCs w:val="28"/>
        </w:rPr>
      </w:pPr>
      <w:r>
        <w:drawing>
          <wp:anchor distT="0" distB="0" distL="114300" distR="114300" simplePos="0" relativeHeight="251663360" behindDoc="0" locked="0" layoutInCell="1" allowOverlap="1">
            <wp:simplePos x="0" y="0"/>
            <wp:positionH relativeFrom="column">
              <wp:posOffset>-60325</wp:posOffset>
            </wp:positionH>
            <wp:positionV relativeFrom="paragraph">
              <wp:posOffset>2632075</wp:posOffset>
            </wp:positionV>
            <wp:extent cx="5486400" cy="2222500"/>
            <wp:effectExtent l="19050" t="0" r="0" b="0"/>
            <wp:wrapSquare wrapText="bothSides"/>
            <wp:docPr id="191" name="图片 3" descr="IMG_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3" descr="IMG_3438"/>
                    <pic:cNvPicPr>
                      <a:picLocks noChangeAspect="1" noChangeArrowheads="1"/>
                    </pic:cNvPicPr>
                  </pic:nvPicPr>
                  <pic:blipFill>
                    <a:blip r:embed="rId21" cstate="print"/>
                    <a:srcRect t="27811" b="16566"/>
                    <a:stretch>
                      <a:fillRect/>
                    </a:stretch>
                  </pic:blipFill>
                  <pic:spPr>
                    <a:xfrm>
                      <a:off x="0" y="0"/>
                      <a:ext cx="5486400" cy="2222500"/>
                    </a:xfrm>
                    <a:prstGeom prst="rect">
                      <a:avLst/>
                    </a:prstGeom>
                    <a:noFill/>
                    <a:ln w="9525">
                      <a:noFill/>
                      <a:miter lim="800000"/>
                      <a:headEnd/>
                      <a:tailEnd/>
                    </a:ln>
                  </pic:spPr>
                </pic:pic>
              </a:graphicData>
            </a:graphic>
          </wp:anchor>
        </w:drawing>
      </w:r>
      <w:r>
        <w:rPr>
          <w:rFonts w:hint="eastAsia" w:ascii="仿宋_GB2312" w:hAnsi="宋体" w:eastAsia="仿宋_GB2312"/>
          <w:color w:val="000000"/>
          <w:sz w:val="28"/>
          <w:szCs w:val="28"/>
        </w:rPr>
        <w:t>观景公共空间</w:t>
      </w:r>
    </w:p>
    <w:p>
      <w:pPr>
        <w:spacing w:beforeLines="50" w:afterLines="50" w:line="540" w:lineRule="exact"/>
        <w:ind w:firstLine="560" w:firstLineChars="200"/>
        <w:jc w:val="center"/>
        <w:rPr>
          <w:rFonts w:ascii="仿宋_GB2312" w:hAnsi="宋体" w:eastAsia="仿宋_GB2312"/>
          <w:color w:val="000000"/>
          <w:sz w:val="28"/>
          <w:szCs w:val="28"/>
        </w:rPr>
      </w:pPr>
      <w:r>
        <w:rPr>
          <w:rFonts w:hint="eastAsia" w:ascii="仿宋_GB2312" w:hAnsi="宋体" w:eastAsia="仿宋_GB2312"/>
          <w:color w:val="000000"/>
          <w:sz w:val="28"/>
          <w:szCs w:val="28"/>
        </w:rPr>
        <w:t>可考虑拆除的一层破旧房屋</w:t>
      </w:r>
    </w:p>
    <w:p>
      <w:pPr>
        <w:spacing w:beforeLines="50" w:afterLines="50" w:line="540" w:lineRule="exact"/>
        <w:ind w:firstLine="560" w:firstLineChars="200"/>
        <w:jc w:val="center"/>
        <w:rPr>
          <w:rFonts w:ascii="仿宋_GB2312" w:hAnsi="宋体" w:eastAsia="仿宋_GB2312"/>
          <w:color w:val="000000"/>
          <w:sz w:val="28"/>
          <w:szCs w:val="28"/>
        </w:rPr>
      </w:pPr>
    </w:p>
    <w:p>
      <w:pPr>
        <w:spacing w:beforeLines="50" w:afterLines="50" w:line="540" w:lineRule="exact"/>
        <w:ind w:firstLine="560" w:firstLineChars="200"/>
        <w:rPr>
          <w:rFonts w:ascii="仿宋_GB2312" w:hAnsi="宋体" w:eastAsia="仿宋_GB2312"/>
          <w:color w:val="000000"/>
          <w:sz w:val="28"/>
          <w:szCs w:val="28"/>
        </w:rPr>
      </w:pPr>
    </w:p>
    <w:p>
      <w:pPr>
        <w:spacing w:beforeLines="50" w:afterLines="50" w:line="540" w:lineRule="exact"/>
        <w:ind w:firstLine="420" w:firstLineChars="200"/>
        <w:jc w:val="center"/>
        <w:rPr>
          <w:rFonts w:ascii="仿宋_GB2312" w:hAnsi="宋体" w:eastAsia="仿宋_GB2312"/>
          <w:color w:val="000000"/>
          <w:sz w:val="28"/>
          <w:szCs w:val="28"/>
        </w:rPr>
      </w:pPr>
      <w:r>
        <w:drawing>
          <wp:anchor distT="0" distB="0" distL="114300" distR="114300" simplePos="0" relativeHeight="251664384" behindDoc="0" locked="0" layoutInCell="1" allowOverlap="1">
            <wp:simplePos x="0" y="0"/>
            <wp:positionH relativeFrom="column">
              <wp:posOffset>-73025</wp:posOffset>
            </wp:positionH>
            <wp:positionV relativeFrom="paragraph">
              <wp:posOffset>226060</wp:posOffset>
            </wp:positionV>
            <wp:extent cx="5142230" cy="3289300"/>
            <wp:effectExtent l="19050" t="0" r="1270" b="0"/>
            <wp:wrapSquare wrapText="bothSides"/>
            <wp:docPr id="193" name="图片 1" descr="IMG_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 descr="IMG_3286"/>
                    <pic:cNvPicPr>
                      <a:picLocks noChangeAspect="1" noChangeArrowheads="1"/>
                    </pic:cNvPicPr>
                  </pic:nvPicPr>
                  <pic:blipFill>
                    <a:blip r:embed="rId22" cstate="print"/>
                    <a:srcRect l="37228" t="19536" b="15076"/>
                    <a:stretch>
                      <a:fillRect/>
                    </a:stretch>
                  </pic:blipFill>
                  <pic:spPr>
                    <a:xfrm>
                      <a:off x="0" y="0"/>
                      <a:ext cx="5142230" cy="3289300"/>
                    </a:xfrm>
                    <a:prstGeom prst="rect">
                      <a:avLst/>
                    </a:prstGeom>
                    <a:noFill/>
                    <a:ln w="9525">
                      <a:noFill/>
                      <a:miter lim="800000"/>
                      <a:headEnd/>
                      <a:tailEnd/>
                    </a:ln>
                  </pic:spPr>
                </pic:pic>
              </a:graphicData>
            </a:graphic>
          </wp:anchor>
        </w:drawing>
      </w:r>
      <w:r>
        <w:rPr>
          <w:rFonts w:hint="eastAsia" w:ascii="仿宋_GB2312" w:hAnsi="宋体" w:eastAsia="仿宋_GB2312"/>
          <w:color w:val="000000"/>
          <w:sz w:val="28"/>
          <w:szCs w:val="28"/>
        </w:rPr>
        <w:t>历史建筑1</w:t>
      </w:r>
    </w:p>
    <w:p>
      <w:pPr>
        <w:spacing w:beforeLines="50" w:afterLines="50" w:line="540" w:lineRule="exact"/>
        <w:ind w:firstLine="420" w:firstLineChars="200"/>
        <w:jc w:val="center"/>
        <w:rPr>
          <w:rFonts w:ascii="仿宋_GB2312" w:hAnsi="宋体" w:eastAsia="仿宋_GB2312"/>
          <w:color w:val="000000"/>
          <w:sz w:val="28"/>
          <w:szCs w:val="28"/>
        </w:rPr>
      </w:pPr>
      <w:r>
        <w:drawing>
          <wp:anchor distT="0" distB="0" distL="114300" distR="114300" simplePos="0" relativeHeight="251665408" behindDoc="0" locked="0" layoutInCell="1" allowOverlap="1">
            <wp:simplePos x="0" y="0"/>
            <wp:positionH relativeFrom="column">
              <wp:posOffset>-73025</wp:posOffset>
            </wp:positionH>
            <wp:positionV relativeFrom="paragraph">
              <wp:posOffset>163195</wp:posOffset>
            </wp:positionV>
            <wp:extent cx="5142230" cy="3847465"/>
            <wp:effectExtent l="19050" t="0" r="1270" b="0"/>
            <wp:wrapSquare wrapText="bothSides"/>
            <wp:docPr id="194" name="图片 2" descr="IMG_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2" descr="IMG_3558"/>
                    <pic:cNvPicPr>
                      <a:picLocks noChangeAspect="1" noChangeArrowheads="1"/>
                    </pic:cNvPicPr>
                  </pic:nvPicPr>
                  <pic:blipFill>
                    <a:blip r:embed="rId23" cstate="print"/>
                    <a:srcRect l="14804" r="10847" b="10625"/>
                    <a:stretch>
                      <a:fillRect/>
                    </a:stretch>
                  </pic:blipFill>
                  <pic:spPr>
                    <a:xfrm>
                      <a:off x="0" y="0"/>
                      <a:ext cx="5142230" cy="3847465"/>
                    </a:xfrm>
                    <a:prstGeom prst="rect">
                      <a:avLst/>
                    </a:prstGeom>
                    <a:noFill/>
                    <a:ln w="9525">
                      <a:noFill/>
                      <a:miter lim="800000"/>
                      <a:headEnd/>
                      <a:tailEnd/>
                    </a:ln>
                  </pic:spPr>
                </pic:pic>
              </a:graphicData>
            </a:graphic>
          </wp:anchor>
        </w:drawing>
      </w:r>
      <w:r>
        <w:rPr>
          <w:rFonts w:hint="eastAsia" w:ascii="仿宋_GB2312" w:hAnsi="宋体" w:eastAsia="仿宋_GB2312"/>
          <w:color w:val="000000"/>
          <w:sz w:val="28"/>
          <w:szCs w:val="28"/>
        </w:rPr>
        <w:t>历史建筑2</w:t>
      </w:r>
    </w:p>
    <w:p>
      <w:pPr>
        <w:spacing w:beforeLines="50" w:afterLines="50" w:line="540" w:lineRule="exact"/>
        <w:ind w:firstLine="560" w:firstLineChars="200"/>
        <w:rPr>
          <w:rFonts w:ascii="仿宋_GB2312" w:hAnsi="宋体" w:eastAsia="仿宋_GB2312"/>
          <w:color w:val="000000"/>
          <w:sz w:val="28"/>
          <w:szCs w:val="28"/>
        </w:rPr>
      </w:pPr>
    </w:p>
    <w:p>
      <w:pPr>
        <w:pStyle w:val="3"/>
        <w:rPr>
          <w:rFonts w:cs="Arial"/>
          <w:color w:val="000000"/>
        </w:rPr>
      </w:pPr>
      <w:bookmarkStart w:id="19" w:name="_Toc483131223"/>
      <w:r>
        <w:rPr>
          <w:rFonts w:hint="eastAsia" w:cs="Arial"/>
          <w:color w:val="000000"/>
        </w:rPr>
        <w:t>3.2 建设条件</w:t>
      </w:r>
      <w:bookmarkEnd w:id="19"/>
    </w:p>
    <w:p>
      <w:pPr>
        <w:spacing w:beforeLines="50" w:afterLines="50" w:line="540" w:lineRule="exact"/>
        <w:outlineLvl w:val="2"/>
        <w:rPr>
          <w:rFonts w:ascii="仿宋_GB2312" w:hAnsi="Arial" w:eastAsia="仿宋_GB2312" w:cs="Arial"/>
          <w:bCs/>
          <w:color w:val="000000"/>
          <w:sz w:val="32"/>
          <w:szCs w:val="32"/>
        </w:rPr>
      </w:pPr>
      <w:r>
        <w:rPr>
          <w:rFonts w:hint="eastAsia" w:ascii="仿宋_GB2312" w:hAnsi="Arial" w:eastAsia="仿宋_GB2312" w:cs="Arial"/>
          <w:bCs/>
          <w:color w:val="000000"/>
          <w:sz w:val="32"/>
          <w:szCs w:val="32"/>
        </w:rPr>
        <w:t>3.2.1 地形、地貌情况</w:t>
      </w:r>
    </w:p>
    <w:p>
      <w:pPr>
        <w:spacing w:beforeLines="50" w:afterLines="50" w:line="360" w:lineRule="auto"/>
        <w:ind w:firstLine="437"/>
        <w:rPr>
          <w:rFonts w:ascii="仿宋_GB2312" w:eastAsia="仿宋_GB2312"/>
          <w:color w:val="000000"/>
          <w:sz w:val="32"/>
          <w:szCs w:val="32"/>
        </w:rPr>
      </w:pPr>
      <w:r>
        <w:rPr>
          <w:rFonts w:hint="eastAsia" w:ascii="仿宋_GB2312" w:eastAsia="仿宋_GB2312"/>
          <w:color w:val="000000"/>
          <w:sz w:val="32"/>
          <w:szCs w:val="32"/>
        </w:rPr>
        <w:t>本项目所在片区大部分土质为湿黏土、湿沙土和砾砂等，地质为砾砂、粒砂和细砂，地质条件良好，地表水系发达。根据本地区经验资料及区域地质资料，场区内地下水对混凝土不具腐蚀性，适宜建设。</w:t>
      </w:r>
    </w:p>
    <w:p>
      <w:pPr>
        <w:spacing w:beforeLines="50" w:afterLines="50" w:line="360" w:lineRule="auto"/>
        <w:outlineLvl w:val="2"/>
        <w:rPr>
          <w:rFonts w:ascii="仿宋_GB2312" w:hAnsi="Arial" w:eastAsia="仿宋_GB2312" w:cs="Arial"/>
          <w:bCs/>
          <w:color w:val="000000"/>
          <w:sz w:val="32"/>
          <w:szCs w:val="32"/>
        </w:rPr>
      </w:pPr>
      <w:r>
        <w:rPr>
          <w:rFonts w:hint="eastAsia" w:ascii="仿宋_GB2312" w:hAnsi="Arial" w:eastAsia="仿宋_GB2312" w:cs="Arial"/>
          <w:bCs/>
          <w:color w:val="000000"/>
          <w:sz w:val="32"/>
          <w:szCs w:val="32"/>
        </w:rPr>
        <w:t>3.2.2气候、气象条件</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 xml:space="preserve">汕头位于亚热带，处于赤道低气压带和副热带高气压带之间，在东北信风带的南缘。汕头市地处亚欧大陆的东南端、太平洋西岸，濒临南海。冬季常吹偏北风，夏季常吹偏南风或东南风，具有明显的季风气候特征。   </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北回归线从汕头市区北域通过。全市温和湿润，阳光充足，雨水充沛，无霜期长，春季潮湿，阴雨日多；初夏气温回升，冷暖多变，常有暴雨，盛夏虽高温而少酷暑，常受台风袭击；秋季凉爽干燥，天气晴朗，气温下降明显；冬无严寒，但有短期寒冷。 　　</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eastAsia="仿宋_GB2312"/>
          <w:color w:val="000000"/>
          <w:sz w:val="32"/>
          <w:szCs w:val="32"/>
        </w:rPr>
        <w:t>年日照2000--2500小时，日照最短为3月份。年降雨量1300—1800毫米，多集中在4—9月份。年平均气温18℃--22℃，最低气温在0℃以上；最高气温35℃—38℃，多出现于7月中旬至8月初受太平洋副热带高压控制期间。冬季偶有短时霜冻。</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3.2.3 交通运输条件</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目前的汕头，已形成海陆空交通综合配套、电力供应充足、通信发达的现代化基础设施体系。汕头港是全国25个主要港口之一，与国际260多个港口有货运往来，已开通至地中海、南美、东南亚、日韩、西非等多条国际集装箱班轮航线。广澳港区防波堤、海门港区华能煤炭中转基地正加快建设。广梅汕铁路连接全国铁路网；是全国45个公路主枢纽城市，以高速公路（深汕、汕汾、汕梅）、国道（324、206线）、省道组成的公路网四通八达。开展交通基础设施建设大会战，汕揭梅高速公路全线建成通车，汕湛、潮惠、揭惠高速汕头段正加紧建设，潮汕环线高速公路计划2015年开工；厦深铁路开通运行，厦深联络线动工建设；全长11.08公里的南澳大桥建成通车。在空运方面，潮汕机场距离汕头28.5公里，可满足B767型等级飞机的起降要求，满足年旅客吞吐量450万人次。在公共交通方面，中心城区年末拥有出租汽车1015辆，公共交通线路69条，客运量10078万人次，公共轮渡营运船只7艘，客运量309万人次。</w:t>
      </w:r>
    </w:p>
    <w:p>
      <w:pPr>
        <w:spacing w:beforeLines="50" w:afterLines="50" w:line="540" w:lineRule="exact"/>
        <w:outlineLvl w:val="2"/>
        <w:rPr>
          <w:rFonts w:ascii="Arial" w:hAnsi="Arial" w:eastAsia="黑体" w:cs="Arial"/>
          <w:bCs/>
          <w:color w:val="000000"/>
          <w:sz w:val="32"/>
          <w:szCs w:val="32"/>
        </w:rPr>
      </w:pPr>
      <w:r>
        <w:rPr>
          <w:rFonts w:hint="eastAsia" w:ascii="Arial" w:hAnsi="Arial" w:eastAsia="黑体" w:cs="Arial"/>
          <w:bCs/>
          <w:color w:val="000000"/>
          <w:sz w:val="32"/>
          <w:szCs w:val="32"/>
        </w:rPr>
        <w:t>3.2.4 施工条件</w:t>
      </w:r>
    </w:p>
    <w:p>
      <w:pPr>
        <w:spacing w:beforeLines="50" w:afterLines="50" w:line="360" w:lineRule="auto"/>
        <w:ind w:firstLine="640" w:firstLineChars="200"/>
        <w:rPr>
          <w:rFonts w:ascii="仿宋_GB2312" w:hAnsi="Arial" w:eastAsia="仿宋_GB2312"/>
          <w:color w:val="000000"/>
          <w:sz w:val="28"/>
          <w:szCs w:val="28"/>
        </w:rPr>
      </w:pPr>
      <w:r>
        <w:rPr>
          <w:rFonts w:hint="eastAsia" w:ascii="仿宋_GB2312" w:eastAsia="仿宋_GB2312"/>
          <w:color w:val="000000"/>
          <w:sz w:val="32"/>
          <w:szCs w:val="32"/>
        </w:rPr>
        <w:t>本项目所在地有道路可通达，附近有足够的水源和电源，保证施工需要，当地劳动力、建筑施工材料充足，施工机械设备运送方便，为项目建设的按期完成奠定了坚实基础。</w:t>
      </w:r>
    </w:p>
    <w:p>
      <w:pPr>
        <w:ind w:firstLine="560" w:firstLineChars="200"/>
        <w:rPr>
          <w:rFonts w:ascii="仿宋_GB2312" w:hAnsi="Arial" w:eastAsia="仿宋_GB2312"/>
          <w:color w:val="000000"/>
          <w:sz w:val="28"/>
          <w:szCs w:val="28"/>
        </w:rPr>
        <w:sectPr>
          <w:pgSz w:w="11906" w:h="16838"/>
          <w:pgMar w:top="1440" w:right="1797" w:bottom="1440" w:left="1797" w:header="1160" w:footer="1180" w:gutter="0"/>
          <w:cols w:space="425" w:num="1"/>
          <w:docGrid w:type="linesAndChars" w:linePitch="312" w:charSpace="0"/>
        </w:sectPr>
      </w:pPr>
    </w:p>
    <w:p>
      <w:pPr>
        <w:pStyle w:val="2"/>
        <w:jc w:val="center"/>
        <w:rPr>
          <w:rFonts w:ascii="黑体" w:eastAsia="黑体"/>
          <w:color w:val="000000"/>
          <w:sz w:val="32"/>
          <w:szCs w:val="32"/>
        </w:rPr>
      </w:pPr>
      <w:bookmarkStart w:id="20" w:name="_Toc483131224"/>
      <w:r>
        <w:rPr>
          <w:rFonts w:hint="eastAsia" w:ascii="黑体" w:eastAsia="黑体"/>
          <w:color w:val="000000"/>
          <w:sz w:val="32"/>
          <w:szCs w:val="32"/>
        </w:rPr>
        <w:t>第四章  建设规模、技术标准与设计方案</w:t>
      </w:r>
      <w:bookmarkEnd w:id="20"/>
    </w:p>
    <w:p>
      <w:pPr>
        <w:pStyle w:val="3"/>
        <w:rPr>
          <w:rFonts w:cs="Arial"/>
          <w:color w:val="000000"/>
        </w:rPr>
      </w:pPr>
      <w:bookmarkStart w:id="21" w:name="_Toc483131225"/>
      <w:r>
        <w:rPr>
          <w:rFonts w:hint="eastAsia" w:cs="Arial"/>
          <w:color w:val="000000"/>
        </w:rPr>
        <w:t>4.1 规范依据</w:t>
      </w:r>
      <w:bookmarkEnd w:id="21"/>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1、《民用建筑设计通则》(JGJ37—87)；</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2、《民用建筑隔声设计规范》(GBJll8—88)；</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3、《民用建筑照明设计标准》(GBJl33—90)；</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4、《建筑结构可靠度设计统一标准》(GBJ50068—2001)；</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5、《建筑结构荷载规范》(GB50009—2001)；</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6、《混凝土结构设计规范》(GB50010—2002)；</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7、《建筑抗震设计规范》(GB50011—2001)；</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8、《建筑地基基础设施规范》(GB50007—2002)；</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9、《建筑工程抗震设防分类标准》(GB50223—2004)；</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10、《建筑桩基技术规范》(GBJ7—94)；</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11、《建筑设计防火规范》(GBJ 16-87)；</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12、《公共建筑节能设计标准》(GB50189—2005)；</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13、《城市道路与建筑物无障碍设计规范》（JGJ 50-2001）；</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14、项目建设单位提供的有关基础资料。</w:t>
      </w:r>
    </w:p>
    <w:p>
      <w:pPr>
        <w:rPr>
          <w:color w:val="000000"/>
          <w:sz w:val="32"/>
          <w:szCs w:val="32"/>
        </w:rPr>
      </w:pPr>
    </w:p>
    <w:p>
      <w:pPr>
        <w:pStyle w:val="3"/>
        <w:rPr>
          <w:rFonts w:cs="Arial"/>
          <w:color w:val="000000"/>
        </w:rPr>
      </w:pPr>
      <w:bookmarkStart w:id="22" w:name="_Toc483131226"/>
      <w:r>
        <w:rPr>
          <w:rFonts w:hint="eastAsia" w:cs="Arial"/>
          <w:color w:val="000000"/>
        </w:rPr>
        <w:t>4.2 建设范围及标准</w:t>
      </w:r>
      <w:bookmarkEnd w:id="22"/>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本次景观美化改造对城市街道的空间与立面进行综合整治，运用“拆、变整、修、饰”等多种手法进行处理，改进城市空间环境质量，使城市街道达到“亮化、绿化、序化、洁化”要求，从根本上提升汕头市的城市品位，未创建文明城市创造良好的条件。</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建设力求高起点，高标准，充分体现城市品位，有效承载城市景观；通过街景美化升级改造工程，提升城市形象，美化城市景观。</w:t>
      </w:r>
    </w:p>
    <w:p>
      <w:pPr>
        <w:pStyle w:val="3"/>
        <w:rPr>
          <w:rFonts w:cs="Arial"/>
          <w:color w:val="000000"/>
        </w:rPr>
      </w:pPr>
      <w:bookmarkStart w:id="23" w:name="_Toc483131227"/>
      <w:r>
        <w:rPr>
          <w:rFonts w:hint="eastAsia" w:cs="Arial"/>
          <w:color w:val="000000"/>
        </w:rPr>
        <w:t>4.3 建设原则及要点</w:t>
      </w:r>
      <w:bookmarkEnd w:id="23"/>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4.3.1改造原则</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1、坚持整体性、规范化原则。</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项目设计要与原来街道风格保持一致，辨证地处理好局部景观节点与整体规划、局部特色与整体风格、实用性与艺术性之间的关系。</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2、设计高起点的原则。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建设标准要符合国家有关规范，设备、设施配置要达到国家当前的较高水准。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3、造价经济合理性原则。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设计方案在满足使用、确保使用功能的前提下，降低造价，做到经济合理。</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4.3.2</w:t>
      </w:r>
      <w:r>
        <w:rPr>
          <w:rFonts w:ascii="黑体" w:hAnsi="黑体" w:eastAsia="黑体" w:cs="Arial"/>
          <w:b/>
          <w:color w:val="000000"/>
          <w:sz w:val="32"/>
          <w:szCs w:val="32"/>
        </w:rPr>
        <w:t>改造要点</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1、根据现状道路及两侧的用地情况，确定合理的整治道路断面，考虑道路动态交通和静态交通的设置和组织。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2、沿街建筑根据不同性质、情况进行整治，拆除道路红线范围的违章建筑、临时建筑和构筑物；对外观规整、质量较好的建筑，进行外墙清洗、粉刷。</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3、突出绿化在道路中的地位，在条件允许的情况下多建绿地。绿地的形式、树种实现多样化、层次化和地域化，丰富沿线绿色景观。</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4、合理布置</w:t>
      </w:r>
      <w:r>
        <w:rPr>
          <w:rFonts w:hint="eastAsia" w:ascii="仿宋_GB2312" w:hAnsi="仿宋_GB2312" w:eastAsia="仿宋_GB2312" w:cs="仿宋_GB2312"/>
          <w:color w:val="000000"/>
          <w:sz w:val="32"/>
          <w:szCs w:val="32"/>
        </w:rPr>
        <w:t>各种公共服务设施。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5、对沿街的广告设置</w:t>
      </w:r>
      <w:r>
        <w:rPr>
          <w:rFonts w:hint="eastAsia" w:ascii="仿宋_GB2312" w:hAnsi="仿宋_GB2312" w:eastAsia="仿宋_GB2312" w:cs="仿宋_GB2312"/>
          <w:color w:val="000000"/>
          <w:sz w:val="32"/>
          <w:szCs w:val="32"/>
        </w:rPr>
        <w:t>进行统一控制，统一规划。</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6、重视道路的夜景设计，重点处理好各景观节点照明、招牌照明等。</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7、充分考虑沿街建筑立面造型、色彩、风格，形成自然、连续、起伏充满韵律、色彩和风格协调的景观大道。</w:t>
      </w:r>
    </w:p>
    <w:p>
      <w:pPr>
        <w:pStyle w:val="3"/>
        <w:rPr>
          <w:rFonts w:cs="Arial"/>
          <w:color w:val="000000"/>
        </w:rPr>
      </w:pPr>
      <w:bookmarkStart w:id="24" w:name="_Toc483131228"/>
      <w:r>
        <w:rPr>
          <w:rFonts w:hint="eastAsia" w:cs="Arial"/>
          <w:color w:val="000000"/>
        </w:rPr>
        <w:t>4.4 工程方案</w:t>
      </w:r>
      <w:bookmarkEnd w:id="24"/>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4.4.1沿街建筑整治规划</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1、整治分级原则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对沿街建筑按照不同的性质、质量、层数、建设年代等进行分类，并确定不同的分级整治措施。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一般整治：对于外观较新、外立面景观较好的建筑，采取定期清洗外墙的整治措施；对于外观较新，外立面有影响城市景观的要素（如广告牌和空调室外机等），可以在局部采取改善措施的基础上，对建筑实行定期清洗等。</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重点整治：外墙涂料陈旧，拆迁难度大，其建筑形象对城市面貌影响很大，需对其进行大幅度的外观改造。具体措施有对城市住宅增加细部，对外墙重新粉刷；改变对部分建筑的外墙材料，重点建筑重新贴面砖，公建采用涂料重新粉刷或者局部采用铝扣板装饰；增加建筑外立面的装饰构件，美化建筑立面；统一规划沿街广告牌，使其风格统一。</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2、建筑分类整治原则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从建筑性质上可以分为商业建筑、办公建筑、住宅建筑和其它建筑。商业建筑和办公建筑大多比较新，建筑立面造型较美观，外墙多以面砖、石材等为主。整治手段包括涂料粉刷、部分石材和铝扣板外墙改造、安装空调架。住宅建筑整体较新，局部较旧；较新住宅以外墙清洗为主，统一空调架，较旧住宅建筑，主要包括更换门窗、粉刷外墙、贴面砖、增加构架、统一空调架等。</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3、建筑整治的内容</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建筑进行立面整治，应至少包括道路视野中的三个外立面，而不仅仅指沿街立面。规划将各沿街建筑分为主立面和侧立面，并分别统计面积，主立面是整治的重点，侧立面是主立面整治风格的延续。</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4、建筑整治重点</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a、色彩的确定</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根据建筑所在分区的特点等因素。建筑细部如在外部沟糟、铁件、百叶、窗框等构件上选用较鲜明或沉重的颜色，使之有对比感、生动感，美化建筑立面景观。</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b、外墙装饰</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外墙装饰包括两方面内容：一是墙面的装饰，二是构件的装饰。墙面装饰以涂料粉刷为主，辅以面砖贴面和铝扣板贴面；构件装饰包括增加空调架、窗户和阳台的装饰构架等。</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c、店面招牌</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规划统一设计店面招牌底版，各家店面根据需要在底版上设置招牌。规划要求同一建筑或相邻建筑招牌的高度、式样、色调应协调统一，并能和建筑物相融合。</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d、遮阳棚及防盗网</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遮阳棚及防盗网的设置应该加以统一。对沿街店面的遮阳棚应采用统一高度、外挑，色彩应和建筑主体颜色相协调；防盗网统一安装在玻璃窗户内侧。</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e、空调机位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空调机位应统一安排位置，上、下、左、右应对齐纵横向整齐排列。装饰采用铝合金百页和挡遮栏结合的方式以美化建筑立面。</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f、檐口与勒脚线</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对外墙粉刷的建筑，应着重注意其檐口与勒脚线处理。除此之外，建筑立面可以采用线条划分的方法，丰富立面景观。</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4.4.2绿化整治</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1、维护好现状绿化，包括道路的绿化隔离带、街头绿地等。建成的绿地应加强日常养护管理，以保证绿化的景观效果。</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结合大华路两侧建筑整治，对道路两侧的现状行道树实行统一修剪，形成树冠形态统一，层次分明的绿化景观效果。尽量增加绿化空间，营造多维的景观界面，丰富道路景观的绿色背景，突出大气、简约的景观氛围。</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4.4.3广告设置及店面招牌</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大华路现状首层商铺林立，广告的数量众多，目前广告牌对建筑整体形象的破坏较为严重。广告牌的设置应注重美观、简洁、醒目的特点，但必须统一设置，且不能对主体建筑物构成影响。因此，大到企业大楼名称，小到零售店面招牌，均讲究艺术性，均不能对主体建筑构成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本项目在建设过程中，应消尺寸过大的广告牌和楼宇标志牌，大楼的名称应在建筑的适当位置</w:t>
      </w:r>
      <w:r>
        <w:rPr>
          <w:rFonts w:hint="eastAsia" w:ascii="仿宋_GB2312" w:hAnsi="仿宋_GB2312" w:eastAsia="仿宋_GB2312" w:cs="仿宋_GB2312"/>
          <w:color w:val="000000"/>
          <w:sz w:val="32"/>
          <w:szCs w:val="32"/>
        </w:rPr>
        <w:t>以合适的大小和方式标识，使之与建筑和谐共存。底层商业和连续店面的广告牌的设置建议采用统一的底版颜色和统一高度，同时强调招牌的个性化和艺术性设计。</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1、在公交亭和部分公共性地段增加部分公益性广告内容，在不影响景观和交通的前提下，结合绿地以及道路沿线设置</w:t>
      </w:r>
      <w:r>
        <w:rPr>
          <w:rFonts w:hint="eastAsia" w:ascii="仿宋_GB2312" w:hAnsi="仿宋_GB2312" w:eastAsia="仿宋_GB2312" w:cs="仿宋_GB2312"/>
          <w:color w:val="000000"/>
          <w:sz w:val="32"/>
          <w:szCs w:val="32"/>
        </w:rPr>
        <w:t>。</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2、大型建筑的屋顶广告，其形式、规格、色彩应与周围环境及建筑相协调，严格控制其尺寸，定期更换广告内容和广告材料。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3、底商和连续店铺的广告牌应控制在规划设置</w:t>
      </w:r>
      <w:r>
        <w:rPr>
          <w:rFonts w:hint="eastAsia" w:ascii="仿宋_GB2312" w:hAnsi="仿宋_GB2312" w:eastAsia="仿宋_GB2312" w:cs="仿宋_GB2312"/>
          <w:color w:val="000000"/>
          <w:sz w:val="32"/>
          <w:szCs w:val="32"/>
        </w:rPr>
        <w:t>广告位范围内，按照统一尺寸和统一颜色设计，禁止随意悬挂和出挑。</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4、人行道及绿化带中的广告灯箱设置</w:t>
      </w:r>
      <w:r>
        <w:rPr>
          <w:rFonts w:hint="eastAsia" w:ascii="仿宋_GB2312" w:hAnsi="仿宋_GB2312" w:eastAsia="仿宋_GB2312" w:cs="仿宋_GB2312"/>
          <w:color w:val="000000"/>
          <w:sz w:val="32"/>
          <w:szCs w:val="32"/>
        </w:rPr>
        <w:t>以现有资源为基础，拆除道路中心绿化带上体量巨大的广告牌，新设置的广告牌要严格控制尺度，广告牌设置间距控制在</w:t>
      </w:r>
      <w:r>
        <w:rPr>
          <w:rFonts w:hint="eastAsia" w:ascii="仿宋_GB2312" w:hAnsi="宋体" w:eastAsia="仿宋_GB2312"/>
          <w:color w:val="000000"/>
          <w:sz w:val="32"/>
          <w:szCs w:val="32"/>
        </w:rPr>
        <w:t>80-100米，禁止在交通信号灯30米范围内设置</w:t>
      </w:r>
      <w:r>
        <w:rPr>
          <w:rFonts w:hint="eastAsia" w:ascii="仿宋_GB2312" w:hAnsi="仿宋_GB2312" w:eastAsia="仿宋_GB2312" w:cs="仿宋_GB2312"/>
          <w:color w:val="000000"/>
          <w:sz w:val="32"/>
          <w:szCs w:val="32"/>
        </w:rPr>
        <w:t>广告灯箱。</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5、增加休闲区等停留空间，形成连续的步行空间环境以及创造积极的内部空间休闲环境。</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6、增加雕塑、标志等服务设施，建立城市家具如雕塑小品、路灯、展示橱板、指示牌等各种尺度适宜的人性化设施，有助于形成场所感，加强公共空间特色。</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4.4.4灯光亮化设计</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街道两侧建筑物顶部是城市轮廓线的重要组成部分，对全线沿街未纳入亮化规划中的公共建筑采用线光源和LED点光源组合设计，直接把电转化为光，通过改变电流实现多色发光，在节能的同时增强了可控性和景观效果。以轮廓照明为主导，精心勾勒出生动的街道轮廓线，充分体现建筑外立面的立体感。在色彩表现上，将建筑物立面分段处理旨在使整条街道的建筑物夜景观在横向上相互联系，在竖向上相互呼应，形成不同层次、不同韵律的夜景空间体系。大华路路段可专门建立道路照明节能自动监控系统，实现路灯远程遥控，配置的光控仪和时控仪在天黑天亮时及时遥控开关灯，从而达到节能目的。将建筑物的夜景照明在满足城市尺度、街道尺度和近人尺度等3个观赏尺度要求下进行设计，分为平日、节日及重大节日等不同分级控制模式，选择泛光照明、内透光、局部照明、装饰照明和轮廓照明等方法，严格控制光污染。路灯管理部门还根据人流量和实际情况，采取单边亮、隔盏亮方式，减少消耗。</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加强灯饰整治与管理，注意灯饰的整治和照明时间上的管理安排，对灯箱形式、位置、灯饰的种类、灯光的颜色、方向统一控制，形成整洁的景观，营造恰当的气氛。</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加强管线综合治理，对现状地上管线可全部入地敷设，并对现状地下管线进行综合治理。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通过夜景灯光的协调统一，充分改善城市居民夜间生活、购物的环境，为汕头的城市发展提供一个体系化、制度化、能够带动城市周边整体发展的项目。为人们呈现美丽、休闲的生活氛围，改进现代生活的状态、创造与现代生活相和谐的购物环境。灯光照明上从节约能源和降低街区日常运营的支出考虑，推荐使用能耗小且便于日后维护管理的光源。</w:t>
      </w:r>
    </w:p>
    <w:p>
      <w:pPr>
        <w:pStyle w:val="3"/>
        <w:rPr>
          <w:rFonts w:cs="Arial"/>
          <w:color w:val="000000"/>
        </w:rPr>
      </w:pPr>
      <w:bookmarkStart w:id="25" w:name="_Toc483131229"/>
      <w:bookmarkStart w:id="26" w:name="_Toc471465700"/>
      <w:bookmarkStart w:id="27" w:name="_Toc399834580"/>
      <w:bookmarkStart w:id="28" w:name="_Toc414371249"/>
      <w:r>
        <w:rPr>
          <w:rFonts w:hint="eastAsia" w:cs="Arial"/>
          <w:color w:val="000000"/>
        </w:rPr>
        <w:t>4.5 电气工程</w:t>
      </w:r>
      <w:bookmarkEnd w:id="25"/>
      <w:bookmarkEnd w:id="26"/>
      <w:bookmarkEnd w:id="27"/>
      <w:bookmarkEnd w:id="28"/>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4.4.1 设计依据</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1、《建筑电气设计手册》；</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2、《民用建筑电气设计规范》（JGJ/T16-2008）；</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3、《供电系统设计规范》（GB_50052-2009）；</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4、《低压配电设计规范》（GB50054-2011）；</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5、《建筑物防雷设计规范》（GB50057-2010）；</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6、《建筑照明设计标准》（GB50034-2004）。</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4.4.2 负荷等级</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本项目施工电源为三级负荷。</w:t>
      </w:r>
    </w:p>
    <w:p>
      <w:pPr>
        <w:spacing w:beforeLines="50" w:afterLines="50" w:line="360" w:lineRule="auto"/>
        <w:outlineLvl w:val="2"/>
        <w:rPr>
          <w:rFonts w:ascii="黑体" w:hAnsi="黑体" w:eastAsia="黑体" w:cs="Arial"/>
          <w:b/>
          <w:color w:val="000000"/>
          <w:sz w:val="32"/>
          <w:szCs w:val="32"/>
        </w:rPr>
      </w:pPr>
      <w:r>
        <w:rPr>
          <w:rFonts w:hint="eastAsia" w:ascii="黑体" w:hAnsi="黑体" w:eastAsia="黑体" w:cs="Arial"/>
          <w:b/>
          <w:color w:val="000000"/>
          <w:sz w:val="32"/>
          <w:szCs w:val="32"/>
        </w:rPr>
        <w:t>4.4.3 负荷计算</w:t>
      </w:r>
    </w:p>
    <w:p>
      <w:pPr>
        <w:pStyle w:val="48"/>
        <w:spacing w:beforeLines="50" w:afterLines="50"/>
        <w:ind w:firstLine="640"/>
        <w:rPr>
          <w:rFonts w:ascii="仿宋_GB2312" w:hAnsi="宋体"/>
          <w:color w:val="000000"/>
          <w:sz w:val="32"/>
          <w:szCs w:val="32"/>
        </w:rPr>
      </w:pPr>
      <w:r>
        <w:rPr>
          <w:rFonts w:hint="eastAsia" w:ascii="仿宋_GB2312"/>
          <w:color w:val="000000"/>
          <w:kern w:val="0"/>
          <w:sz w:val="32"/>
          <w:szCs w:val="32"/>
        </w:rPr>
        <w:t>项目运营期间电耗主要来源为</w:t>
      </w:r>
      <w:r>
        <w:rPr>
          <w:rFonts w:hint="eastAsia" w:ascii="仿宋_GB2312" w:hAnsi="宋体"/>
          <w:color w:val="000000"/>
          <w:sz w:val="32"/>
          <w:szCs w:val="32"/>
        </w:rPr>
        <w:t>灯光照明的电耗。亮化设备用电按365天计算，每天运行8小时，共2920小时，</w:t>
      </w:r>
      <w:r>
        <w:rPr>
          <w:rFonts w:hint="eastAsia" w:ascii="仿宋_GB2312" w:hAnsi="宋体" w:cs="仿宋_GB2312"/>
          <w:color w:val="000000"/>
          <w:kern w:val="0"/>
          <w:sz w:val="32"/>
          <w:szCs w:val="32"/>
        </w:rPr>
        <w:t>则合计年用电量为3797.48 万kWh。</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4.4.4动力配电系统</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1、380V/220V市电由**区供电局配电室（接零保护）提供以VV22电缆埋地或PVC保护管引至工地配电室。</w:t>
      </w:r>
    </w:p>
    <w:p>
      <w:pPr>
        <w:spacing w:beforeLines="50" w:afterLines="50" w:line="360" w:lineRule="auto"/>
        <w:ind w:firstLine="640" w:firstLineChars="200"/>
        <w:rPr>
          <w:rFonts w:ascii="仿宋_GB2312" w:hAnsi="仿宋_GB2312" w:eastAsia="仿宋_GB2312" w:cs="仿宋_GB2312"/>
          <w:color w:val="000000"/>
          <w:sz w:val="32"/>
          <w:szCs w:val="32"/>
        </w:rPr>
      </w:pPr>
      <w:r>
        <w:rPr>
          <w:rFonts w:hint="eastAsia" w:ascii="仿宋_GB2312" w:hAnsi="宋体" w:eastAsia="仿宋_GB2312"/>
          <w:color w:val="000000"/>
          <w:sz w:val="32"/>
          <w:szCs w:val="32"/>
        </w:rPr>
        <w:t>2、配电箱设置</w:t>
      </w:r>
      <w:r>
        <w:rPr>
          <w:rFonts w:hint="eastAsia" w:ascii="仿宋_GB2312" w:hAnsi="仿宋_GB2312" w:eastAsia="仿宋_GB2312" w:cs="仿宋_GB2312"/>
          <w:color w:val="000000"/>
          <w:sz w:val="32"/>
          <w:szCs w:val="32"/>
        </w:rPr>
        <w:t>；本方案临时供电配电箱设置为三级配电，两级漏电保护；</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3、保护方式的确定；</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（1）现场临时供电系统采用保护接零方式；</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（2）重复接地：根据临时用电规范要求，在配电柜及电箱均要做一组重复接地；</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（3）防雷接地：塔吊、龙门架等高大设备必须做防雷； </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4、配电箱、开关箱设备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严格执行三级配电二级保护，实行“一机、一闸、一漏、一箱”，严禁一闸多用。开关箱内除应设过负荷及短路装</w:t>
      </w:r>
      <w:r>
        <w:rPr>
          <w:rFonts w:hint="eastAsia" w:ascii="宋体" w:hAnsi="宋体" w:cs="宋体"/>
          <w:color w:val="000000"/>
          <w:sz w:val="32"/>
          <w:szCs w:val="32"/>
        </w:rPr>
        <w:t>置</w:t>
      </w:r>
      <w:r>
        <w:rPr>
          <w:rFonts w:hint="eastAsia" w:ascii="仿宋_GB2312" w:hAnsi="仿宋_GB2312" w:eastAsia="仿宋_GB2312" w:cs="仿宋_GB2312"/>
          <w:color w:val="000000"/>
          <w:sz w:val="32"/>
          <w:szCs w:val="32"/>
        </w:rPr>
        <w:t>外，还必须设</w:t>
      </w:r>
      <w:r>
        <w:rPr>
          <w:rFonts w:hint="eastAsia" w:ascii="宋体" w:hAnsi="宋体" w:cs="宋体"/>
          <w:color w:val="000000"/>
          <w:sz w:val="32"/>
          <w:szCs w:val="32"/>
        </w:rPr>
        <w:t>置</w:t>
      </w:r>
      <w:r>
        <w:rPr>
          <w:rFonts w:hint="eastAsia" w:ascii="仿宋_GB2312" w:hAnsi="仿宋_GB2312" w:eastAsia="仿宋_GB2312" w:cs="仿宋_GB2312"/>
          <w:color w:val="000000"/>
          <w:sz w:val="32"/>
          <w:szCs w:val="32"/>
        </w:rPr>
        <w:t>隔离开关及漏电保护器，且漏电开关应装设在电源隔离开关的负荷端。漏电保护器的选择应符合国标</w:t>
      </w:r>
      <w:r>
        <w:rPr>
          <w:rFonts w:hint="eastAsia" w:ascii="仿宋_GB2312" w:hAnsi="宋体" w:eastAsia="仿宋_GB2312"/>
          <w:color w:val="000000"/>
          <w:sz w:val="32"/>
          <w:szCs w:val="32"/>
        </w:rPr>
        <w:t>GB6829-86的要求，一般环境的漏电保护器其额定漏电动作电流不得大于30mA，额定动作漏电动作时间应小于0.1s，比较潮湿的地方漏电动作电流不得大于15 mA ，如水泵和插入式振动器都必须使用漏电动作电流不得大于15 mA的漏电开关，所有用电设备的金属外壳必须可靠地接至PE线上。固定电气设备应作防雨防淹措施。要求设备停用1小时以上的必须拉闸断电上锁。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5、现场临时供电检查与巡视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必须建立对现场临电的检查制度，要求每周必须对现场临电做一次定期检查并做好记录，设备安装后必须进行绝缘测试，然后每月对重要设备做一次测试，雨后增加一次测试并做好记录。塔吊防雷接地以及各配电箱的重复接地安装后进行测试，并做好有关记录。</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6、电器防火措施</w:t>
      </w:r>
    </w:p>
    <w:p>
      <w:pPr>
        <w:spacing w:beforeLines="50" w:afterLines="50" w:line="360" w:lineRule="auto"/>
        <w:ind w:firstLine="640" w:firstLineChars="200"/>
        <w:rPr>
          <w:rFonts w:ascii="仿宋_GB2312" w:hAnsi="宋体" w:eastAsia="仿宋_GB2312"/>
          <w:color w:val="000000"/>
          <w:sz w:val="32"/>
          <w:szCs w:val="32"/>
        </w:rPr>
        <w:sectPr>
          <w:pgSz w:w="11906" w:h="16838"/>
          <w:pgMar w:top="1440" w:right="1797" w:bottom="1440" w:left="1797" w:header="1160" w:footer="1180" w:gutter="0"/>
          <w:cols w:space="425" w:num="1"/>
          <w:docGrid w:type="linesAndChars" w:linePitch="312" w:charSpace="0"/>
        </w:sectPr>
      </w:pPr>
      <w:r>
        <w:rPr>
          <w:rFonts w:hint="eastAsia" w:ascii="仿宋_GB2312" w:hAnsi="宋体" w:eastAsia="仿宋_GB2312"/>
          <w:color w:val="000000"/>
          <w:sz w:val="32"/>
          <w:szCs w:val="32"/>
        </w:rPr>
        <w:t>执行用火申请审批制度，重点防火部位应确保安全用电，现场电气设备密集区应布置适用电气火灾灭火器。照明灯具与易燃物之间应保持一定的安全距离，普通灯具应大于300mm，碘钨灯不得小于500mm，且不得直接照射易燃物。</w:t>
      </w:r>
    </w:p>
    <w:p>
      <w:pPr>
        <w:pStyle w:val="2"/>
        <w:jc w:val="center"/>
        <w:rPr>
          <w:rFonts w:ascii="黑体" w:eastAsia="黑体"/>
          <w:color w:val="000000"/>
          <w:sz w:val="32"/>
          <w:szCs w:val="32"/>
        </w:rPr>
      </w:pPr>
      <w:bookmarkStart w:id="29" w:name="_Toc483131230"/>
      <w:r>
        <w:rPr>
          <w:rFonts w:hint="eastAsia" w:ascii="黑体" w:eastAsia="黑体"/>
          <w:color w:val="000000"/>
          <w:sz w:val="32"/>
          <w:szCs w:val="32"/>
        </w:rPr>
        <w:t>第五章  环境评价</w:t>
      </w:r>
      <w:bookmarkEnd w:id="29"/>
    </w:p>
    <w:p>
      <w:pPr>
        <w:pStyle w:val="3"/>
        <w:rPr>
          <w:rFonts w:cs="Arial"/>
          <w:color w:val="000000"/>
        </w:rPr>
      </w:pPr>
      <w:bookmarkStart w:id="30" w:name="_Toc94062656"/>
      <w:bookmarkStart w:id="31" w:name="_Toc135629532"/>
      <w:bookmarkStart w:id="32" w:name="_Toc483131231"/>
      <w:bookmarkStart w:id="33" w:name="_Toc89584635"/>
      <w:bookmarkStart w:id="34" w:name="_Toc93398843"/>
      <w:r>
        <w:rPr>
          <w:rFonts w:hint="eastAsia" w:cs="Arial"/>
          <w:color w:val="000000"/>
        </w:rPr>
        <w:t>5.1 建设项目环境现状</w:t>
      </w:r>
      <w:bookmarkEnd w:id="30"/>
      <w:bookmarkEnd w:id="31"/>
      <w:bookmarkEnd w:id="32"/>
      <w:bookmarkEnd w:id="33"/>
      <w:bookmarkEnd w:id="34"/>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金平区位于汕头市中心城区西北部，涵盖整个汕头老城区。西和揭东区毗邻，北与揭东区、潮安区接壤，东连龙湖区，南与濠江区隔海相望。地理位置为东经116°14′40″～117°19′35″,北纬23°02′33″～23°38′50″，面积108.71 平方公里。2014年年末，全区常住人口83 万。金平区是汕头市政府所在地，也是汕头市政治、经济、文化、商业中心和重要的工业、科技基地。更是汕头经济特区水陆交通枢纽的重要门户。以工业园区为核心载体的金平区是广东省目前非珠三角地区唯一的“国家科技进步示范区”、是广东省唯一的“全国科技工作试点区”；是“全国科技进步先进区”。</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大华路位于金平区东南部，临近中山公园，连接海滨路与金砂西路。由于修建年代不同，建筑风格混杂，整体街区建筑风格各异，缺乏有机的协调性，产生断代感。沿街天际线单调，造成城市景观特色的缺失，缺乏合理的城市空间秩序。</w:t>
      </w:r>
    </w:p>
    <w:p>
      <w:pPr>
        <w:pStyle w:val="3"/>
        <w:rPr>
          <w:rFonts w:cs="Arial"/>
          <w:color w:val="000000"/>
        </w:rPr>
      </w:pPr>
      <w:bookmarkStart w:id="35" w:name="_Toc93398844"/>
      <w:bookmarkStart w:id="36" w:name="_Toc94062657"/>
      <w:bookmarkStart w:id="37" w:name="_Toc135629533"/>
      <w:bookmarkStart w:id="38" w:name="_Toc483131232"/>
      <w:r>
        <w:rPr>
          <w:rFonts w:hint="eastAsia" w:cs="Arial"/>
          <w:color w:val="000000"/>
        </w:rPr>
        <w:t>5.2 项目</w:t>
      </w:r>
      <w:bookmarkEnd w:id="35"/>
      <w:bookmarkEnd w:id="36"/>
      <w:r>
        <w:rPr>
          <w:rFonts w:hint="eastAsia" w:cs="Arial"/>
          <w:color w:val="000000"/>
        </w:rPr>
        <w:t>主要污染源和污染物分析</w:t>
      </w:r>
      <w:bookmarkEnd w:id="37"/>
      <w:bookmarkEnd w:id="38"/>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本项目中工程在建成后使用期内几乎没有会产生污染，在建设过程中产生的污染与路网工程近似，故在以下分析中与路网工程合并进行研究。</w:t>
      </w:r>
    </w:p>
    <w:p>
      <w:pPr>
        <w:pStyle w:val="3"/>
        <w:rPr>
          <w:rFonts w:cs="Arial"/>
          <w:color w:val="000000"/>
        </w:rPr>
      </w:pPr>
      <w:bookmarkStart w:id="39" w:name="_Toc483131233"/>
      <w:r>
        <w:rPr>
          <w:rFonts w:hint="eastAsia" w:cs="Arial"/>
          <w:color w:val="000000"/>
        </w:rPr>
        <w:t>5.3 项目对生态环境影响的分析</w:t>
      </w:r>
      <w:bookmarkEnd w:id="39"/>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1</w:t>
      </w:r>
      <w:r>
        <w:rPr>
          <w:rFonts w:hint="eastAsia" w:ascii="仿宋_GB2312" w:eastAsia="仿宋_GB2312"/>
          <w:color w:val="000000"/>
          <w:sz w:val="32"/>
          <w:szCs w:val="32"/>
        </w:rPr>
        <w:t>、废水污染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项目建设过程中，石材、水泥、石灰的水洗、水泥搅拌、混凝土浇筑、养护施工、建筑机械检修清洗、以及施工过程中的降雨和施工人员的生活等，都会产生一定量的污水。</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、噪声污染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本项目噪声主要来源与建设期的施工噪音，由于本项目的施工地点距离居民去很近，在施工期间尽量减少高噪设备的使用，合理安排施工时间，加强对一线操作人员的环境意识教育来控制。机械运转时，采用一定的措施来减弱声音和振动，降低对居民日常生活的干扰。</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3</w:t>
      </w:r>
      <w:r>
        <w:rPr>
          <w:rFonts w:hint="eastAsia" w:ascii="仿宋_GB2312" w:eastAsia="仿宋_GB2312"/>
          <w:color w:val="000000"/>
          <w:sz w:val="32"/>
          <w:szCs w:val="32"/>
        </w:rPr>
        <w:t>、废气污染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项目建设过程中，建筑材料的装卸、运输、拌和等过程中，会有大量的粉尘散逸到周围大气中；物料堆放期间由于风吹等原因也会引起扬尘污染。施工中使用的各种车辆、内燃机、打桩机等产生的尾气、烟气也都会造成大气污染。</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4</w:t>
      </w:r>
      <w:r>
        <w:rPr>
          <w:rFonts w:hint="eastAsia" w:ascii="仿宋_GB2312" w:eastAsia="仿宋_GB2312"/>
          <w:color w:val="000000"/>
          <w:sz w:val="32"/>
          <w:szCs w:val="32"/>
        </w:rPr>
        <w:t>、固体废物污染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项目建设过程中，旧建筑拆除、路面浇筑、机械设备安装等都会产生大量的建筑垃圾，同时建筑工人在施工期间日常生活中也会产生少量的生活垃圾，如不能予以妥善处理，将会对周围环境造成污染。</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5</w:t>
      </w:r>
      <w:r>
        <w:rPr>
          <w:rFonts w:hint="eastAsia" w:ascii="仿宋_GB2312" w:eastAsia="仿宋_GB2312"/>
          <w:color w:val="000000"/>
          <w:sz w:val="32"/>
          <w:szCs w:val="32"/>
        </w:rPr>
        <w:t>、生态影响</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项目建设过程中，因土木工程的施工会造成地面裸露，在雨季会导致一定的水土流失。</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6</w:t>
      </w:r>
      <w:r>
        <w:rPr>
          <w:rFonts w:ascii="仿宋_GB2312" w:eastAsia="仿宋_GB2312"/>
          <w:color w:val="000000"/>
          <w:sz w:val="32"/>
          <w:szCs w:val="32"/>
        </w:rPr>
        <w:t>.3.</w:t>
      </w:r>
      <w:r>
        <w:rPr>
          <w:rFonts w:hint="eastAsia" w:ascii="仿宋_GB2312" w:eastAsia="仿宋_GB2312"/>
          <w:color w:val="000000"/>
          <w:sz w:val="32"/>
          <w:szCs w:val="32"/>
        </w:rPr>
        <w:t>2</w:t>
      </w:r>
      <w:r>
        <w:rPr>
          <w:rFonts w:ascii="仿宋_GB2312" w:eastAsia="仿宋_GB2312"/>
          <w:color w:val="000000"/>
          <w:sz w:val="32"/>
          <w:szCs w:val="32"/>
        </w:rPr>
        <w:t xml:space="preserve"> </w:t>
      </w:r>
      <w:r>
        <w:rPr>
          <w:rFonts w:hint="eastAsia" w:ascii="仿宋_GB2312" w:eastAsia="仿宋_GB2312"/>
          <w:color w:val="000000"/>
          <w:sz w:val="32"/>
          <w:szCs w:val="32"/>
        </w:rPr>
        <w:t>建成后使用期环境影响分析</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1</w:t>
      </w:r>
      <w:r>
        <w:rPr>
          <w:rFonts w:hint="eastAsia" w:ascii="仿宋_GB2312" w:eastAsia="仿宋_GB2312"/>
          <w:color w:val="000000"/>
          <w:sz w:val="32"/>
          <w:szCs w:val="32"/>
        </w:rPr>
        <w:t>、废水污染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建成后使用期基本不会产生废水，对周围水环境不会产生影响。</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、噪声污染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建成后使用期内，本项目不会产生噪声，对居民区影响不大。</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3</w:t>
      </w:r>
      <w:r>
        <w:rPr>
          <w:rFonts w:hint="eastAsia" w:ascii="仿宋_GB2312" w:eastAsia="仿宋_GB2312"/>
          <w:color w:val="000000"/>
          <w:sz w:val="32"/>
          <w:szCs w:val="32"/>
        </w:rPr>
        <w:t>、废气污染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建成后使用期内本项目不会产生废气，不会对周围环境产生影响</w:t>
      </w:r>
      <w:r>
        <w:rPr>
          <w:rFonts w:ascii="仿宋_GB2312" w:eastAsia="仿宋_GB2312"/>
          <w:color w:val="000000"/>
          <w:sz w:val="32"/>
          <w:szCs w:val="32"/>
        </w:rPr>
        <w:t>。</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4、固体废物污染</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建成后使用期产生的固体废物主要更换或更新设施设备时产生的垃圾，因其数量通常很少，一般情况下不会对周围环境产生影响。</w:t>
      </w:r>
    </w:p>
    <w:p>
      <w:pPr>
        <w:pStyle w:val="3"/>
        <w:spacing w:line="520" w:lineRule="exact"/>
        <w:rPr>
          <w:rFonts w:ascii="黑体" w:cs="Arial"/>
          <w:color w:val="000000"/>
        </w:rPr>
      </w:pPr>
      <w:bookmarkStart w:id="40" w:name="_Toc483131234"/>
      <w:bookmarkStart w:id="41" w:name="_Toc135629535"/>
      <w:r>
        <w:rPr>
          <w:rFonts w:hint="eastAsia" w:ascii="黑体" w:cs="Arial"/>
          <w:color w:val="000000"/>
        </w:rPr>
        <w:t>5.4 生态环境影响的防治措施</w:t>
      </w:r>
      <w:bookmarkEnd w:id="40"/>
      <w:bookmarkEnd w:id="41"/>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1</w:t>
      </w:r>
      <w:r>
        <w:rPr>
          <w:rFonts w:hint="eastAsia" w:ascii="仿宋_GB2312" w:eastAsia="仿宋_GB2312"/>
          <w:color w:val="000000"/>
          <w:sz w:val="32"/>
          <w:szCs w:val="32"/>
        </w:rPr>
        <w:t>、水污染的防治措施</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现场施工人员临时生活设施原则上集中安排，避免多处安置场地而破坏生态环境。</w:t>
      </w:r>
      <w:r>
        <w:rPr>
          <w:rFonts w:ascii="仿宋_GB2312" w:eastAsia="仿宋_GB2312"/>
          <w:color w:val="000000"/>
          <w:sz w:val="32"/>
          <w:szCs w:val="32"/>
        </w:rPr>
        <w:t>工地食堂污水需经隔油隔渣处理后方可排放</w:t>
      </w:r>
      <w:r>
        <w:rPr>
          <w:rFonts w:hint="eastAsia" w:ascii="仿宋_GB2312" w:eastAsia="仿宋_GB2312"/>
          <w:color w:val="000000"/>
          <w:sz w:val="32"/>
          <w:szCs w:val="32"/>
        </w:rPr>
        <w:t>。临时生活设施内设卫生间，产生</w:t>
      </w:r>
      <w:r>
        <w:rPr>
          <w:rFonts w:ascii="仿宋_GB2312" w:eastAsia="仿宋_GB2312"/>
          <w:color w:val="000000"/>
          <w:sz w:val="32"/>
          <w:szCs w:val="32"/>
        </w:rPr>
        <w:t>的粪便污水需经三级厌氧化粪池处理</w:t>
      </w:r>
      <w:r>
        <w:rPr>
          <w:rFonts w:hint="eastAsia" w:ascii="仿宋_GB2312" w:eastAsia="仿宋_GB2312"/>
          <w:color w:val="000000"/>
          <w:sz w:val="32"/>
          <w:szCs w:val="32"/>
        </w:rPr>
        <w:t>后方可排放。</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工程施工期间，</w:t>
      </w:r>
      <w:r>
        <w:rPr>
          <w:rFonts w:hint="eastAsia" w:ascii="仿宋_GB2312" w:eastAsia="仿宋_GB2312"/>
          <w:color w:val="000000"/>
          <w:sz w:val="32"/>
          <w:szCs w:val="32"/>
        </w:rPr>
        <w:t>生产</w:t>
      </w:r>
      <w:r>
        <w:rPr>
          <w:rFonts w:ascii="仿宋_GB2312" w:eastAsia="仿宋_GB2312"/>
          <w:color w:val="000000"/>
          <w:sz w:val="32"/>
          <w:szCs w:val="32"/>
        </w:rPr>
        <w:t>单位应严格执行《建设工程施工场地文明施工及环境管理暂行规定》，对施工污水的排放进行组织设计，严禁乱排、乱流污染施工场。</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在施工过程中，定时清洁建筑施工机械表面不必要的润滑油及其它油污，尽量减小建筑施工机械设备与水体的直接接触</w:t>
      </w:r>
      <w:r>
        <w:rPr>
          <w:rFonts w:hint="eastAsia" w:ascii="仿宋_GB2312" w:eastAsia="仿宋_GB2312"/>
          <w:color w:val="000000"/>
          <w:sz w:val="32"/>
          <w:szCs w:val="32"/>
        </w:rPr>
        <w:t>，</w:t>
      </w:r>
      <w:r>
        <w:rPr>
          <w:rFonts w:ascii="仿宋_GB2312" w:eastAsia="仿宋_GB2312"/>
          <w:color w:val="000000"/>
          <w:sz w:val="32"/>
          <w:szCs w:val="32"/>
        </w:rPr>
        <w:t>加强</w:t>
      </w:r>
      <w:r>
        <w:rPr>
          <w:rFonts w:hint="eastAsia" w:ascii="仿宋_GB2312" w:eastAsia="仿宋_GB2312"/>
          <w:color w:val="000000"/>
          <w:sz w:val="32"/>
          <w:szCs w:val="32"/>
        </w:rPr>
        <w:t>对</w:t>
      </w:r>
      <w:r>
        <w:rPr>
          <w:rFonts w:ascii="仿宋_GB2312" w:eastAsia="仿宋_GB2312"/>
          <w:color w:val="000000"/>
          <w:sz w:val="32"/>
          <w:szCs w:val="32"/>
        </w:rPr>
        <w:t>施工机械设备的维修保养，避免施工机械在施工过程中燃料用油跑、冒、滴、漏现象的发生。对废弃的用油应妥善处置</w:t>
      </w:r>
      <w:r>
        <w:rPr>
          <w:rFonts w:hint="eastAsia" w:ascii="仿宋_GB2312" w:eastAsia="仿宋_GB2312"/>
          <w:color w:val="000000"/>
          <w:sz w:val="32"/>
          <w:szCs w:val="32"/>
        </w:rPr>
        <w:t>，不得直接向污水处理设施排放</w:t>
      </w:r>
      <w:r>
        <w:rPr>
          <w:rFonts w:ascii="仿宋_GB2312" w:eastAsia="仿宋_GB2312"/>
          <w:color w:val="000000"/>
          <w:sz w:val="32"/>
          <w:szCs w:val="32"/>
        </w:rPr>
        <w:t>；</w:t>
      </w:r>
      <w:r>
        <w:rPr>
          <w:rFonts w:hint="eastAsia" w:ascii="仿宋_GB2312" w:eastAsia="仿宋_GB2312"/>
          <w:color w:val="000000"/>
          <w:sz w:val="32"/>
          <w:szCs w:val="32"/>
        </w:rPr>
        <w:t>必须尽量完全回收后送专业部门处理。生产单位要制定废油回收管理规定，配套废油收集及暂存设施。</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建设场地设车辆冲洗槽，并设置沉沙井和沉沙池，对冲洗水进行沉淀过滤后方可排放。</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、噪声污染的防治措施</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建设期应用的各种施工机械都会产生相当强的噪声，所以必须落实好施工噪声的防治措施。</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合理安排好施工时间和施工场所，尽量避免高噪声设备在夜间（</w:t>
      </w:r>
      <w:r>
        <w:rPr>
          <w:rFonts w:hint="eastAsia" w:ascii="仿宋_GB2312" w:eastAsia="仿宋_GB2312"/>
          <w:color w:val="000000"/>
          <w:sz w:val="32"/>
          <w:szCs w:val="32"/>
        </w:rPr>
        <w:t>22：00～7：00</w:t>
      </w:r>
      <w:r>
        <w:rPr>
          <w:rFonts w:ascii="仿宋_GB2312" w:eastAsia="仿宋_GB2312"/>
          <w:color w:val="000000"/>
          <w:sz w:val="32"/>
          <w:szCs w:val="32"/>
        </w:rPr>
        <w:t>）以及中午休息（12：00</w:t>
      </w:r>
      <w:r>
        <w:rPr>
          <w:rFonts w:hint="eastAsia" w:ascii="仿宋_GB2312" w:eastAsia="仿宋_GB2312"/>
          <w:color w:val="000000"/>
          <w:sz w:val="32"/>
          <w:szCs w:val="32"/>
        </w:rPr>
        <w:t>～</w:t>
      </w:r>
      <w:r>
        <w:rPr>
          <w:rFonts w:ascii="仿宋_GB2312" w:eastAsia="仿宋_GB2312"/>
          <w:color w:val="000000"/>
          <w:sz w:val="32"/>
          <w:szCs w:val="32"/>
        </w:rPr>
        <w:t>14：00）的时</w:t>
      </w:r>
      <w:r>
        <w:rPr>
          <w:rFonts w:hint="eastAsia" w:ascii="仿宋_GB2312" w:eastAsia="仿宋_GB2312"/>
          <w:color w:val="000000"/>
          <w:sz w:val="32"/>
          <w:szCs w:val="32"/>
        </w:rPr>
        <w:t>间</w:t>
      </w:r>
      <w:r>
        <w:rPr>
          <w:rFonts w:ascii="仿宋_GB2312" w:eastAsia="仿宋_GB2312"/>
          <w:color w:val="000000"/>
          <w:sz w:val="32"/>
          <w:szCs w:val="32"/>
        </w:rPr>
        <w:t>作业。高噪声作业区</w:t>
      </w:r>
      <w:r>
        <w:rPr>
          <w:rFonts w:hint="eastAsia" w:ascii="仿宋_GB2312" w:eastAsia="仿宋_GB2312"/>
          <w:color w:val="000000"/>
          <w:sz w:val="32"/>
          <w:szCs w:val="32"/>
        </w:rPr>
        <w:t>和高噪声施工机械</w:t>
      </w:r>
      <w:r>
        <w:rPr>
          <w:rFonts w:ascii="仿宋_GB2312" w:eastAsia="仿宋_GB2312"/>
          <w:color w:val="000000"/>
          <w:sz w:val="32"/>
          <w:szCs w:val="32"/>
        </w:rPr>
        <w:t>应远离对声环境质量要求较高敏感对象</w:t>
      </w:r>
      <w:r>
        <w:rPr>
          <w:rFonts w:hint="eastAsia" w:ascii="仿宋_GB2312" w:eastAsia="仿宋_GB2312"/>
          <w:color w:val="000000"/>
          <w:sz w:val="32"/>
          <w:szCs w:val="32"/>
        </w:rPr>
        <w:t>，尽可能远离附近居民区和其他对声环境较为敏感的建筑物</w:t>
      </w:r>
      <w:r>
        <w:rPr>
          <w:rFonts w:ascii="仿宋_GB2312" w:eastAsia="仿宋_GB2312"/>
          <w:color w:val="000000"/>
          <w:sz w:val="32"/>
          <w:szCs w:val="32"/>
        </w:rPr>
        <w:t>。</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尽量选用低噪声机械设备或带隔声、消声的设备。</w:t>
      </w:r>
      <w:r>
        <w:rPr>
          <w:rFonts w:hint="eastAsia" w:ascii="仿宋_GB2312" w:eastAsia="仿宋_GB2312"/>
          <w:color w:val="000000"/>
          <w:sz w:val="32"/>
          <w:szCs w:val="32"/>
        </w:rPr>
        <w:t>工地不设施工发电机，使用电网供电</w:t>
      </w:r>
      <w:r>
        <w:rPr>
          <w:rFonts w:ascii="仿宋_GB2312" w:eastAsia="仿宋_GB2312"/>
          <w:color w:val="000000"/>
          <w:sz w:val="32"/>
          <w:szCs w:val="32"/>
        </w:rPr>
        <w:t>。对</w:t>
      </w:r>
      <w:r>
        <w:rPr>
          <w:rFonts w:hint="eastAsia" w:ascii="仿宋_GB2312" w:eastAsia="仿宋_GB2312"/>
          <w:color w:val="000000"/>
          <w:sz w:val="32"/>
          <w:szCs w:val="32"/>
        </w:rPr>
        <w:t>施工</w:t>
      </w:r>
      <w:r>
        <w:rPr>
          <w:rFonts w:ascii="仿宋_GB2312" w:eastAsia="仿宋_GB2312"/>
          <w:color w:val="000000"/>
          <w:sz w:val="32"/>
          <w:szCs w:val="32"/>
        </w:rPr>
        <w:t>设备定期保养，严格操作规范。必要时在高噪声源周边设置临时隔声屏障，以减少噪声</w:t>
      </w:r>
      <w:r>
        <w:rPr>
          <w:rFonts w:hint="eastAsia" w:ascii="仿宋_GB2312" w:eastAsia="仿宋_GB2312"/>
          <w:color w:val="000000"/>
          <w:sz w:val="32"/>
          <w:szCs w:val="32"/>
        </w:rPr>
        <w:t>对四周边界处和厂内声环境</w:t>
      </w:r>
      <w:r>
        <w:rPr>
          <w:rFonts w:ascii="仿宋_GB2312" w:eastAsia="仿宋_GB2312"/>
          <w:color w:val="000000"/>
          <w:sz w:val="32"/>
          <w:szCs w:val="32"/>
        </w:rPr>
        <w:t>的影响。</w:t>
      </w:r>
      <w:r>
        <w:rPr>
          <w:rFonts w:hint="eastAsia" w:ascii="仿宋_GB2312" w:eastAsia="仿宋_GB2312"/>
          <w:color w:val="000000"/>
          <w:sz w:val="32"/>
          <w:szCs w:val="32"/>
        </w:rPr>
        <w:t>并</w:t>
      </w:r>
      <w:r>
        <w:rPr>
          <w:rFonts w:ascii="仿宋_GB2312" w:eastAsia="仿宋_GB2312"/>
          <w:color w:val="000000"/>
          <w:sz w:val="32"/>
          <w:szCs w:val="32"/>
        </w:rPr>
        <w:t>合理疏导进入施工区的车辆，减少汽车会车时的鸣笛噪声。</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3</w:t>
      </w:r>
      <w:r>
        <w:rPr>
          <w:rFonts w:hint="eastAsia" w:ascii="仿宋_GB2312" w:eastAsia="仿宋_GB2312"/>
          <w:color w:val="000000"/>
          <w:sz w:val="32"/>
          <w:szCs w:val="32"/>
        </w:rPr>
        <w:t>、废气污染的防治措施</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生产单位要合理确定水泥、砂子等散体物料的堆场位置，并加强对散体物料堆场的管理，在堆场四周设置挡风墙，减少可能的起尘量。</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运土卡车及建筑材料运输车应按规定配置防洒落装备，加</w:t>
      </w:r>
      <w:r>
        <w:rPr>
          <w:rFonts w:hint="eastAsia" w:ascii="仿宋_GB2312" w:eastAsia="仿宋_GB2312"/>
          <w:color w:val="000000"/>
          <w:sz w:val="32"/>
          <w:szCs w:val="32"/>
        </w:rPr>
        <w:t>装</w:t>
      </w:r>
      <w:r>
        <w:rPr>
          <w:rFonts w:ascii="仿宋_GB2312" w:eastAsia="仿宋_GB2312"/>
          <w:color w:val="000000"/>
          <w:sz w:val="32"/>
          <w:szCs w:val="32"/>
        </w:rPr>
        <w:t>蓬盖，装载不宜过满，</w:t>
      </w:r>
      <w:r>
        <w:rPr>
          <w:rFonts w:hint="eastAsia" w:ascii="仿宋_GB2312" w:eastAsia="仿宋_GB2312"/>
          <w:color w:val="000000"/>
          <w:sz w:val="32"/>
          <w:szCs w:val="32"/>
        </w:rPr>
        <w:t>以</w:t>
      </w:r>
      <w:r>
        <w:rPr>
          <w:rFonts w:ascii="仿宋_GB2312" w:eastAsia="仿宋_GB2312"/>
          <w:color w:val="000000"/>
          <w:sz w:val="32"/>
          <w:szCs w:val="32"/>
        </w:rPr>
        <w:t>保证运输过程中不散落。运输车辆出</w:t>
      </w:r>
      <w:r>
        <w:rPr>
          <w:rFonts w:hint="eastAsia" w:ascii="仿宋_GB2312" w:eastAsia="仿宋_GB2312"/>
          <w:color w:val="000000"/>
          <w:sz w:val="32"/>
          <w:szCs w:val="32"/>
        </w:rPr>
        <w:t>场前必须</w:t>
      </w:r>
      <w:r>
        <w:rPr>
          <w:rFonts w:ascii="仿宋_GB2312" w:eastAsia="仿宋_GB2312"/>
          <w:color w:val="000000"/>
          <w:sz w:val="32"/>
          <w:szCs w:val="32"/>
        </w:rPr>
        <w:t>先</w:t>
      </w:r>
      <w:r>
        <w:rPr>
          <w:rFonts w:hint="eastAsia" w:ascii="仿宋_GB2312" w:eastAsia="仿宋_GB2312"/>
          <w:color w:val="000000"/>
          <w:sz w:val="32"/>
          <w:szCs w:val="32"/>
        </w:rPr>
        <w:t>进行</w:t>
      </w:r>
      <w:r>
        <w:rPr>
          <w:rFonts w:ascii="仿宋_GB2312" w:eastAsia="仿宋_GB2312"/>
          <w:color w:val="000000"/>
          <w:sz w:val="32"/>
          <w:szCs w:val="32"/>
        </w:rPr>
        <w:t>冲洗，减少车轮、底盘等携带泥土散落路面</w:t>
      </w:r>
      <w:r>
        <w:rPr>
          <w:rFonts w:hint="eastAsia" w:ascii="仿宋_GB2312" w:eastAsia="仿宋_GB2312"/>
          <w:color w:val="000000"/>
          <w:sz w:val="32"/>
          <w:szCs w:val="32"/>
        </w:rPr>
        <w:t>的机会</w:t>
      </w:r>
      <w:r>
        <w:rPr>
          <w:rFonts w:ascii="仿宋_GB2312" w:eastAsia="仿宋_GB2312"/>
          <w:color w:val="000000"/>
          <w:sz w:val="32"/>
          <w:szCs w:val="32"/>
        </w:rPr>
        <w:t>。对运输过程中散落在路面上的泥土要及时清扫，以减少</w:t>
      </w:r>
      <w:r>
        <w:rPr>
          <w:rFonts w:hint="eastAsia" w:ascii="仿宋_GB2312" w:eastAsia="仿宋_GB2312"/>
          <w:color w:val="000000"/>
          <w:sz w:val="32"/>
          <w:szCs w:val="32"/>
        </w:rPr>
        <w:t>车辆</w:t>
      </w:r>
      <w:r>
        <w:rPr>
          <w:rFonts w:ascii="仿宋_GB2312" w:eastAsia="仿宋_GB2312"/>
          <w:color w:val="000000"/>
          <w:sz w:val="32"/>
          <w:szCs w:val="32"/>
        </w:rPr>
        <w:t>运行过程中的扬尘。</w:t>
      </w:r>
      <w:r>
        <w:rPr>
          <w:rFonts w:hint="eastAsia" w:ascii="仿宋_GB2312" w:eastAsia="仿宋_GB2312"/>
          <w:color w:val="000000"/>
          <w:sz w:val="32"/>
          <w:szCs w:val="32"/>
        </w:rPr>
        <w:t>建设场上</w:t>
      </w:r>
      <w:r>
        <w:rPr>
          <w:rFonts w:ascii="仿宋_GB2312" w:eastAsia="仿宋_GB2312"/>
          <w:color w:val="000000"/>
          <w:sz w:val="32"/>
          <w:szCs w:val="32"/>
        </w:rPr>
        <w:t>禁止将废弃的建筑材料作为燃料燃烧。</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施工结束时，应及时对施工占用场地恢复地面道路及植被</w:t>
      </w:r>
      <w:r>
        <w:rPr>
          <w:rFonts w:hint="eastAsia" w:ascii="仿宋_GB2312" w:eastAsia="仿宋_GB2312"/>
          <w:color w:val="000000"/>
          <w:sz w:val="32"/>
          <w:szCs w:val="32"/>
        </w:rPr>
        <w:t>。</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4</w:t>
      </w:r>
      <w:r>
        <w:rPr>
          <w:rFonts w:hint="eastAsia" w:ascii="仿宋_GB2312" w:eastAsia="仿宋_GB2312"/>
          <w:color w:val="000000"/>
          <w:sz w:val="32"/>
          <w:szCs w:val="32"/>
        </w:rPr>
        <w:t>、固体废物污染的防治措施</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对建设施工过程中产生的固体废物，应加强管理，</w:t>
      </w:r>
      <w:r>
        <w:rPr>
          <w:rFonts w:hint="eastAsia" w:ascii="仿宋_GB2312" w:eastAsia="仿宋_GB2312"/>
          <w:color w:val="000000"/>
          <w:sz w:val="32"/>
          <w:szCs w:val="32"/>
        </w:rPr>
        <w:t>统一收集转运，</w:t>
      </w:r>
      <w:r>
        <w:rPr>
          <w:rFonts w:ascii="仿宋_GB2312" w:eastAsia="仿宋_GB2312"/>
          <w:color w:val="000000"/>
          <w:sz w:val="32"/>
          <w:szCs w:val="32"/>
        </w:rPr>
        <w:t>严禁</w:t>
      </w:r>
      <w:r>
        <w:rPr>
          <w:rFonts w:hint="eastAsia" w:ascii="仿宋_GB2312" w:eastAsia="仿宋_GB2312"/>
          <w:color w:val="000000"/>
          <w:sz w:val="32"/>
          <w:szCs w:val="32"/>
        </w:rPr>
        <w:t>固体</w:t>
      </w:r>
      <w:r>
        <w:rPr>
          <w:rFonts w:ascii="仿宋_GB2312" w:eastAsia="仿宋_GB2312"/>
          <w:color w:val="000000"/>
          <w:sz w:val="32"/>
          <w:szCs w:val="32"/>
        </w:rPr>
        <w:t>废物</w:t>
      </w:r>
      <w:r>
        <w:rPr>
          <w:rFonts w:hint="eastAsia" w:ascii="仿宋_GB2312" w:eastAsia="仿宋_GB2312"/>
          <w:color w:val="000000"/>
          <w:sz w:val="32"/>
          <w:szCs w:val="32"/>
        </w:rPr>
        <w:t>随意排放丢弃，或</w:t>
      </w:r>
      <w:r>
        <w:rPr>
          <w:rFonts w:ascii="仿宋_GB2312" w:eastAsia="仿宋_GB2312"/>
          <w:color w:val="000000"/>
          <w:sz w:val="32"/>
          <w:szCs w:val="32"/>
        </w:rPr>
        <w:t>进入水体，对</w:t>
      </w:r>
      <w:r>
        <w:rPr>
          <w:rFonts w:hint="eastAsia" w:ascii="仿宋_GB2312" w:eastAsia="仿宋_GB2312"/>
          <w:color w:val="000000"/>
          <w:sz w:val="32"/>
          <w:szCs w:val="32"/>
        </w:rPr>
        <w:t>周围环境和</w:t>
      </w:r>
      <w:r>
        <w:rPr>
          <w:rFonts w:ascii="仿宋_GB2312" w:eastAsia="仿宋_GB2312"/>
          <w:color w:val="000000"/>
          <w:sz w:val="32"/>
          <w:szCs w:val="32"/>
        </w:rPr>
        <w:t>水体产生污染。</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施工时产生的泥浆水及冲孔钻孔桩产生的泥浆未经处理不得随意排放，不得污染现场及周围环境。在回填土堆放场、施工泥浆产生点应设置临时沉沙池，含泥沙雨水、泥浆水经沉沙池沉淀后排放。</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车辆运输散体物料和废弃物时，必须密闭、包扎、覆盖，不得沿途漏撒；运载土方的车辆必须在规定的时间内，按指定路段行驶。</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对</w:t>
      </w:r>
      <w:r>
        <w:rPr>
          <w:rFonts w:ascii="仿宋_GB2312" w:eastAsia="仿宋_GB2312"/>
          <w:color w:val="000000"/>
          <w:sz w:val="32"/>
          <w:szCs w:val="32"/>
        </w:rPr>
        <w:t>施工人员</w:t>
      </w:r>
      <w:r>
        <w:rPr>
          <w:rFonts w:hint="eastAsia" w:ascii="仿宋_GB2312" w:eastAsia="仿宋_GB2312"/>
          <w:color w:val="000000"/>
          <w:sz w:val="32"/>
          <w:szCs w:val="32"/>
        </w:rPr>
        <w:t>产生的</w:t>
      </w:r>
      <w:r>
        <w:rPr>
          <w:rFonts w:ascii="仿宋_GB2312" w:eastAsia="仿宋_GB2312"/>
          <w:color w:val="000000"/>
          <w:sz w:val="32"/>
          <w:szCs w:val="32"/>
        </w:rPr>
        <w:t>生活垃圾应加强管理，严禁乱扔乱放</w:t>
      </w:r>
      <w:r>
        <w:rPr>
          <w:rFonts w:hint="eastAsia" w:ascii="仿宋_GB2312" w:eastAsia="仿宋_GB2312"/>
          <w:color w:val="000000"/>
          <w:sz w:val="32"/>
          <w:szCs w:val="32"/>
        </w:rPr>
        <w:t>，需设置生活垃圾收集点，统一收集转运。并委托当地环卫部门及时清运生活垃圾。</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5、生态影响防治措施</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建设场地应按要求硬地化，尽可能减少地面裸露的面积和时间。</w:t>
      </w:r>
    </w:p>
    <w:p>
      <w:pPr>
        <w:spacing w:beforeLines="50" w:afterLines="50" w:line="360" w:lineRule="auto"/>
        <w:rPr>
          <w:color w:val="000000"/>
          <w:sz w:val="32"/>
          <w:szCs w:val="32"/>
        </w:rPr>
      </w:pPr>
      <w:r>
        <w:rPr>
          <w:rFonts w:hint="eastAsia" w:ascii="仿宋_GB2312" w:eastAsia="仿宋_GB2312"/>
          <w:color w:val="000000"/>
          <w:sz w:val="32"/>
          <w:szCs w:val="32"/>
        </w:rPr>
        <w:t>尽可能将造成地面裸露的土木工程安排在非雨季（秋冬季）进行，并尽可能地缩短工期，在这些工程完成后，迅速做好场地绿化工作。</w:t>
      </w:r>
    </w:p>
    <w:p>
      <w:pPr>
        <w:pStyle w:val="3"/>
        <w:spacing w:line="520" w:lineRule="exact"/>
        <w:rPr>
          <w:rFonts w:ascii="黑体" w:cs="Arial"/>
          <w:color w:val="000000"/>
        </w:rPr>
      </w:pPr>
      <w:bookmarkStart w:id="42" w:name="_Toc135629536"/>
      <w:bookmarkStart w:id="43" w:name="_Toc483131235"/>
      <w:r>
        <w:rPr>
          <w:rFonts w:hint="eastAsia" w:ascii="黑体" w:cs="Arial"/>
          <w:color w:val="000000"/>
        </w:rPr>
        <w:t>5.5 生态环境影响评价</w:t>
      </w:r>
      <w:bookmarkEnd w:id="42"/>
      <w:bookmarkEnd w:id="43"/>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通过对本项目的工程分析和环境影响识别，得出本项目主要的环境影响是：建设期内对水环境的影响，对大气环境的影响，对声环境的影响和固体垃圾对周围环境的影响等。建成后使用期对水环境的影响，对大气环境的影响，对声环境的影响和固体垃圾对周围环境的影响等。</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1</w:t>
      </w:r>
      <w:r>
        <w:rPr>
          <w:rFonts w:hint="eastAsia" w:ascii="仿宋_GB2312" w:eastAsia="仿宋_GB2312"/>
          <w:color w:val="000000"/>
          <w:sz w:val="32"/>
          <w:szCs w:val="32"/>
        </w:rPr>
        <w:t>、水环境影响</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由以上分析可知，建设过程中的污水是施工中产生的污水、建筑机械检修清洗的污水、以及施工过程中的降雨和施工人员的生活等产生的污水，这些污水与一般的生活污水相近，只要对本项目废水进行处理后再排放，则对周围水体环境的影响不大。</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建成后使用期内的污水主要是雨水和路面冲洗产生的污水，对周围水环境不会产生影响。</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2</w:t>
      </w:r>
      <w:r>
        <w:rPr>
          <w:rFonts w:hint="eastAsia" w:ascii="仿宋_GB2312" w:eastAsia="仿宋_GB2312"/>
          <w:color w:val="000000"/>
          <w:sz w:val="32"/>
          <w:szCs w:val="32"/>
        </w:rPr>
        <w:t>、大气环境影响</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由以上分析可知，本项目建设期内主要是施工中产生的粉尘和施工机械、施工车辆产生的尾气，使用期内的主要废气是汽车行驶产生的尾气。在建设期内加强对施工现场的管理，尽量减少粉尘和施工机械、施工车辆的尾气排放；在建成后使用期，加强综合治理，尤其是针对汽车尾气排放的检查治理。则本项目对周围大气环境的影响是可以接受的。</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3</w:t>
      </w:r>
      <w:r>
        <w:rPr>
          <w:rFonts w:hint="eastAsia" w:ascii="仿宋_GB2312" w:eastAsia="仿宋_GB2312"/>
          <w:color w:val="000000"/>
          <w:sz w:val="32"/>
          <w:szCs w:val="32"/>
        </w:rPr>
        <w:t>、声环境影响</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由以上分析可知，本项目建设期内的噪声主要来自施工机械产生的噪声，建成后使用期则主要由行驶的汽车产生噪声。建设期内的施工噪声随着工程的结束会自然消失。</w:t>
      </w:r>
    </w:p>
    <w:p>
      <w:pPr>
        <w:spacing w:beforeLines="50" w:afterLines="50" w:line="360" w:lineRule="auto"/>
        <w:ind w:firstLine="640" w:firstLineChars="200"/>
        <w:rPr>
          <w:rFonts w:ascii="仿宋_GB2312" w:eastAsia="仿宋_GB2312"/>
          <w:color w:val="000000"/>
          <w:sz w:val="32"/>
          <w:szCs w:val="32"/>
        </w:rPr>
      </w:pPr>
      <w:r>
        <w:rPr>
          <w:rFonts w:ascii="仿宋_GB2312" w:eastAsia="仿宋_GB2312"/>
          <w:color w:val="000000"/>
          <w:sz w:val="32"/>
          <w:szCs w:val="32"/>
        </w:rPr>
        <w:t>4</w:t>
      </w:r>
      <w:r>
        <w:rPr>
          <w:rFonts w:hint="eastAsia" w:ascii="仿宋_GB2312" w:eastAsia="仿宋_GB2312"/>
          <w:color w:val="000000"/>
          <w:sz w:val="32"/>
          <w:szCs w:val="32"/>
        </w:rPr>
        <w:t>、固体废物环境影响。</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本项目建设期内的固体废弃物主要为施工作业人员日常生活产生的生活垃圾。只要注意收集和管理，不私自外排，委托有资质的部门回收利用或进行处置，一般不会对环境产生影响。</w:t>
      </w:r>
    </w:p>
    <w:p>
      <w:pPr>
        <w:pStyle w:val="3"/>
        <w:spacing w:line="520" w:lineRule="exact"/>
        <w:rPr>
          <w:rFonts w:ascii="黑体" w:cs="Arial"/>
          <w:color w:val="000000"/>
        </w:rPr>
      </w:pPr>
      <w:bookmarkStart w:id="44" w:name="_Toc483131236"/>
      <w:r>
        <w:rPr>
          <w:rFonts w:hint="eastAsia" w:ascii="黑体" w:cs="Arial"/>
          <w:color w:val="000000"/>
        </w:rPr>
        <w:t>5.6影响评价</w:t>
      </w:r>
      <w:bookmarkEnd w:id="44"/>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本项目在工程建设期内有废水、噪声、废气和固体废物等污染物的排放，对周围环境将会造成一定的影响。根据《中中华人民共和国环境保护法》、《建设项目环境保护管理条例》和《广东省建设项目环境保护管理条例》的规定，本项目建设、使用对生态环境影响的评价为：</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项目将会对所在区域的环境和生态以及公众社区的生活、工作、经济的发展产生较大的影响，这个影响是利弊共存的。</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本项目的建设，是提升大华路整体形象的必要需求，是改善本地区社会环境的重要保证；同时项目的建设也推动了当建材市场的发展，为劳动力提供了就业机会，这是本项目对社会经济发展的有利影响。</w:t>
      </w:r>
    </w:p>
    <w:p>
      <w:pPr>
        <w:spacing w:beforeLines="50" w:afterLines="50" w:line="360" w:lineRule="auto"/>
        <w:ind w:firstLine="640" w:firstLineChars="200"/>
        <w:rPr>
          <w:rFonts w:ascii="仿宋_GB2312" w:eastAsia="仿宋_GB2312"/>
          <w:color w:val="000000"/>
          <w:sz w:val="32"/>
          <w:szCs w:val="32"/>
        </w:rPr>
      </w:pPr>
      <w:r>
        <w:rPr>
          <w:rFonts w:hint="eastAsia" w:ascii="仿宋_GB2312" w:eastAsia="仿宋_GB2312"/>
          <w:color w:val="000000"/>
          <w:sz w:val="32"/>
          <w:szCs w:val="32"/>
        </w:rPr>
        <w:t>其次，本项目建成后，在使用过程中产生的生活污水、废气、固体废物等对周围的水环境、大气环境、声环境等造成的影响很小。</w:t>
      </w:r>
    </w:p>
    <w:p>
      <w:pPr>
        <w:spacing w:beforeLines="50" w:afterLines="50" w:line="360" w:lineRule="auto"/>
        <w:ind w:firstLine="640" w:firstLineChars="200"/>
        <w:rPr>
          <w:rFonts w:ascii="仿宋_GB2312" w:eastAsia="仿宋_GB2312"/>
          <w:color w:val="000000"/>
          <w:sz w:val="32"/>
          <w:szCs w:val="32"/>
        </w:rPr>
        <w:sectPr>
          <w:pgSz w:w="11906" w:h="16838"/>
          <w:pgMar w:top="1440" w:right="1797" w:bottom="1440" w:left="1797" w:header="1160" w:footer="1180" w:gutter="0"/>
          <w:cols w:space="425" w:num="1"/>
          <w:docGrid w:type="linesAndChars" w:linePitch="312" w:charSpace="0"/>
        </w:sectPr>
      </w:pPr>
      <w:r>
        <w:rPr>
          <w:rFonts w:hint="eastAsia" w:ascii="仿宋_GB2312" w:eastAsia="仿宋_GB2312"/>
          <w:color w:val="000000"/>
          <w:sz w:val="32"/>
          <w:szCs w:val="32"/>
        </w:rPr>
        <w:t>鉴于以上分析，本项目的建设对周围环境影响不大，处在周围环境可承受的范围内。因此，本项目从生态环境的角度上评价是可行的。</w:t>
      </w:r>
    </w:p>
    <w:p>
      <w:pPr>
        <w:pStyle w:val="2"/>
        <w:jc w:val="center"/>
        <w:rPr>
          <w:rFonts w:ascii="黑体" w:eastAsia="黑体"/>
          <w:color w:val="000000"/>
          <w:sz w:val="32"/>
          <w:szCs w:val="32"/>
        </w:rPr>
      </w:pPr>
      <w:bookmarkStart w:id="45" w:name="_Toc483131237"/>
      <w:r>
        <w:rPr>
          <w:rFonts w:hint="eastAsia" w:ascii="黑体" w:eastAsia="黑体"/>
          <w:color w:val="000000"/>
          <w:sz w:val="32"/>
          <w:szCs w:val="32"/>
        </w:rPr>
        <w:t>第六章  节能分析</w:t>
      </w:r>
      <w:bookmarkEnd w:id="45"/>
    </w:p>
    <w:p>
      <w:pPr>
        <w:pStyle w:val="3"/>
        <w:rPr>
          <w:rFonts w:cs="Arial"/>
          <w:color w:val="000000"/>
        </w:rPr>
      </w:pPr>
      <w:bookmarkStart w:id="46" w:name="_Toc483131238"/>
      <w:r>
        <w:rPr>
          <w:rFonts w:hint="eastAsia" w:cs="Arial"/>
          <w:color w:val="000000"/>
        </w:rPr>
        <w:t>6.1 节能法律法规及其相关标准规范</w:t>
      </w:r>
      <w:bookmarkEnd w:id="46"/>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1、《公共建筑节能设计标准》（GB50189-2005）；</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2、《公共建筑节能设计标准》广东省实施细则（DBJ15－51-2007）；  </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3、《建筑照明设计标准》（GB50034-2013）；</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4、《绿色建筑评价标准》（GB-T50378-2014）；</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5、《综合能耗计算通则》（GB/T2589-2008）；</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6、《节能措施经济效益计算与评价》（GB/T13471-2008）；</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7、《节能监测技术通则》（GB/T15316-2009）；</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8、《节水型企业评价导则》（GB/T7119-2006）；</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9、《固定资产投资项目节能评估和审查暂行办法》（国家发展改革委第6号令）；</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10、《&lt;夏热冬暖地区居住建筑节能设计标准&gt;广东省实施细则》（DBJ15-20）；</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11、《单端荧光灯能效限定值及节能评价值》（GB 19415-2003）；</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12、印发广东省固定资产投资项目节能评估和审查暂行办法的通知（粤府办〔2008〕29号 ）</w:t>
      </w:r>
    </w:p>
    <w:p>
      <w:pPr>
        <w:spacing w:before="50" w:after="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13、国家和地方颁布的其他有关设计规范和用能标准。</w:t>
      </w:r>
    </w:p>
    <w:p>
      <w:pPr>
        <w:rPr>
          <w:color w:val="000000"/>
          <w:sz w:val="32"/>
          <w:szCs w:val="32"/>
        </w:rPr>
      </w:pPr>
    </w:p>
    <w:p>
      <w:pPr>
        <w:pStyle w:val="3"/>
        <w:rPr>
          <w:rFonts w:cs="Arial"/>
          <w:color w:val="000000"/>
        </w:rPr>
      </w:pPr>
      <w:bookmarkStart w:id="47" w:name="_Toc367718415"/>
      <w:bookmarkStart w:id="48" w:name="_Toc471465706"/>
      <w:bookmarkStart w:id="49" w:name="_Toc483131239"/>
      <w:r>
        <w:rPr>
          <w:rFonts w:hint="eastAsia" w:cs="Arial"/>
          <w:color w:val="000000"/>
        </w:rPr>
        <w:t>6.2用能状况和能耗指标分析</w:t>
      </w:r>
      <w:bookmarkEnd w:id="47"/>
      <w:bookmarkEnd w:id="48"/>
      <w:bookmarkEnd w:id="49"/>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6.2.1项目用能状况</w:t>
      </w:r>
    </w:p>
    <w:p>
      <w:pPr>
        <w:spacing w:beforeLines="50" w:afterLines="50" w:line="360" w:lineRule="auto"/>
        <w:rPr>
          <w:rFonts w:ascii="仿宋_GB2312" w:hAnsi="Arial" w:eastAsia="仿宋_GB2312" w:cs="Arial"/>
          <w:b/>
          <w:bCs/>
          <w:color w:val="000000"/>
          <w:sz w:val="32"/>
          <w:szCs w:val="32"/>
        </w:rPr>
      </w:pPr>
      <w:r>
        <w:rPr>
          <w:rFonts w:hint="eastAsia" w:ascii="仿宋_GB2312" w:hAnsi="Arial" w:eastAsia="仿宋_GB2312" w:cs="Arial"/>
          <w:b/>
          <w:bCs/>
          <w:color w:val="000000"/>
          <w:sz w:val="32"/>
          <w:szCs w:val="32"/>
        </w:rPr>
        <w:t xml:space="preserve">   </w:t>
      </w:r>
      <w:r>
        <w:rPr>
          <w:rFonts w:hint="eastAsia" w:ascii="仿宋_GB2312" w:hAnsi="Arial" w:eastAsia="仿宋_GB2312" w:cs="Arial"/>
          <w:color w:val="000000"/>
          <w:sz w:val="32"/>
          <w:szCs w:val="32"/>
        </w:rPr>
        <w:t xml:space="preserve"> 1、项目建设期用能状况</w:t>
      </w:r>
    </w:p>
    <w:p>
      <w:pPr>
        <w:pStyle w:val="50"/>
        <w:spacing w:before="50" w:after="50" w:line="360" w:lineRule="auto"/>
        <w:ind w:firstLine="640"/>
        <w:rPr>
          <w:rFonts w:ascii="仿宋_GB2312"/>
          <w:color w:val="000000"/>
          <w:sz w:val="32"/>
          <w:szCs w:val="32"/>
        </w:rPr>
      </w:pPr>
      <w:r>
        <w:rPr>
          <w:rFonts w:hint="eastAsia" w:ascii="仿宋_GB2312"/>
          <w:color w:val="000000"/>
          <w:sz w:val="32"/>
          <w:szCs w:val="32"/>
        </w:rPr>
        <w:t>(1)使用建筑节能材料种类</w:t>
      </w:r>
    </w:p>
    <w:p>
      <w:pPr>
        <w:pStyle w:val="50"/>
        <w:spacing w:before="50" w:after="50" w:line="360" w:lineRule="auto"/>
        <w:ind w:firstLine="640"/>
        <w:rPr>
          <w:rFonts w:ascii="仿宋_GB2312"/>
          <w:color w:val="000000"/>
          <w:sz w:val="32"/>
          <w:szCs w:val="32"/>
        </w:rPr>
      </w:pPr>
      <w:r>
        <w:rPr>
          <w:rFonts w:hint="eastAsia" w:ascii="仿宋_GB2312"/>
          <w:color w:val="000000"/>
          <w:sz w:val="32"/>
          <w:szCs w:val="32"/>
        </w:rPr>
        <w:t>在项目建设期，建筑采用节能新型材料，具有显著的社会效益、节能经济效益和环境效益，潜力很大。目前的节能绝热材料主要有岩棉、玻璃棉、聚苯乙烯泡沫塑料、水泥聚苯板、硅酸盐复合绝热砂浆等。具体的建筑节能材料种类和数量，根据设计图纸定。</w:t>
      </w:r>
    </w:p>
    <w:p>
      <w:pPr>
        <w:pStyle w:val="50"/>
        <w:spacing w:before="50" w:after="50" w:line="360" w:lineRule="auto"/>
        <w:ind w:firstLine="640"/>
        <w:rPr>
          <w:rFonts w:ascii="仿宋_GB2312"/>
          <w:color w:val="000000"/>
          <w:sz w:val="32"/>
          <w:szCs w:val="32"/>
        </w:rPr>
      </w:pPr>
      <w:r>
        <w:rPr>
          <w:rFonts w:hint="eastAsia" w:ascii="仿宋_GB2312"/>
          <w:color w:val="000000"/>
          <w:sz w:val="32"/>
          <w:szCs w:val="32"/>
        </w:rPr>
        <w:t>(2)项目施工过程的能耗</w:t>
      </w:r>
    </w:p>
    <w:p>
      <w:pPr>
        <w:pStyle w:val="50"/>
        <w:spacing w:before="50" w:after="50" w:line="360" w:lineRule="auto"/>
        <w:ind w:firstLine="640"/>
        <w:rPr>
          <w:rFonts w:ascii="仿宋_GB2312"/>
          <w:color w:val="000000"/>
          <w:sz w:val="32"/>
          <w:szCs w:val="32"/>
        </w:rPr>
      </w:pPr>
      <w:r>
        <w:rPr>
          <w:rFonts w:hint="eastAsia" w:ascii="仿宋_GB2312"/>
          <w:color w:val="000000"/>
          <w:sz w:val="32"/>
          <w:szCs w:val="32"/>
        </w:rPr>
        <w:t>项目建设施工期间能耗主要是电力、水等。用电主要集中在现场施工设备用电、现场材料加工设备用电等；用水主要集中在临时办公及生活用水、现场施工用水等； 2、项目运营期用能状况</w:t>
      </w:r>
    </w:p>
    <w:p>
      <w:pPr>
        <w:pStyle w:val="50"/>
        <w:spacing w:before="50" w:after="50" w:line="360" w:lineRule="auto"/>
        <w:ind w:firstLine="640"/>
        <w:rPr>
          <w:rFonts w:ascii="仿宋_GB2312"/>
          <w:color w:val="000000"/>
          <w:sz w:val="32"/>
          <w:szCs w:val="32"/>
        </w:rPr>
      </w:pPr>
      <w:r>
        <w:rPr>
          <w:rFonts w:hint="eastAsia" w:ascii="仿宋_GB2312"/>
          <w:color w:val="000000"/>
          <w:sz w:val="32"/>
          <w:szCs w:val="32"/>
        </w:rPr>
        <w:t>项目建成后正常运营期的能耗主要是电力，具体计算数据为：</w:t>
      </w:r>
    </w:p>
    <w:p>
      <w:pPr>
        <w:pStyle w:val="50"/>
        <w:spacing w:before="50" w:after="50" w:line="360" w:lineRule="auto"/>
        <w:ind w:firstLine="640"/>
        <w:rPr>
          <w:rFonts w:ascii="仿宋_GB2312"/>
          <w:color w:val="000000"/>
          <w:sz w:val="32"/>
          <w:szCs w:val="32"/>
        </w:rPr>
      </w:pPr>
      <w:r>
        <w:rPr>
          <w:rFonts w:hint="eastAsia" w:ascii="仿宋_GB2312"/>
          <w:color w:val="000000"/>
          <w:sz w:val="32"/>
          <w:szCs w:val="32"/>
        </w:rPr>
        <w:t>(1)项目用电量计算</w:t>
      </w:r>
    </w:p>
    <w:p>
      <w:pPr>
        <w:pStyle w:val="48"/>
        <w:spacing w:before="50" w:after="50"/>
        <w:ind w:firstLine="640"/>
        <w:rPr>
          <w:rFonts w:ascii="仿宋_GB2312" w:hAnsi="宋体"/>
          <w:color w:val="000000"/>
          <w:sz w:val="32"/>
          <w:szCs w:val="32"/>
        </w:rPr>
      </w:pPr>
      <w:r>
        <w:rPr>
          <w:rFonts w:hint="eastAsia" w:ascii="仿宋_GB2312"/>
          <w:color w:val="000000"/>
          <w:kern w:val="0"/>
          <w:sz w:val="32"/>
          <w:szCs w:val="32"/>
        </w:rPr>
        <w:t>项目运营期间电耗主要来源为</w:t>
      </w:r>
      <w:r>
        <w:rPr>
          <w:rFonts w:hint="eastAsia" w:ascii="仿宋_GB2312" w:hAnsi="宋体"/>
          <w:color w:val="000000"/>
          <w:sz w:val="32"/>
          <w:szCs w:val="32"/>
        </w:rPr>
        <w:t>灯光照明的电耗。</w:t>
      </w:r>
    </w:p>
    <w:p>
      <w:pPr>
        <w:pStyle w:val="48"/>
        <w:spacing w:before="50" w:after="50"/>
        <w:ind w:firstLine="640"/>
        <w:rPr>
          <w:rFonts w:ascii="仿宋_GB2312" w:hAnsi="宋体"/>
          <w:color w:val="000000"/>
          <w:sz w:val="32"/>
          <w:szCs w:val="32"/>
        </w:rPr>
      </w:pPr>
      <w:r>
        <w:rPr>
          <w:rFonts w:hint="eastAsia" w:ascii="仿宋_GB2312" w:hAnsi="宋体"/>
          <w:color w:val="000000"/>
          <w:sz w:val="32"/>
          <w:szCs w:val="32"/>
        </w:rPr>
        <w:t>亮化设备用电按365天计算，每天运行8小时，共2920小时，</w:t>
      </w:r>
      <w:r>
        <w:rPr>
          <w:rFonts w:hint="eastAsia" w:ascii="仿宋_GB2312" w:hAnsi="宋体" w:cs="仿宋_GB2312"/>
          <w:color w:val="000000"/>
          <w:kern w:val="0"/>
          <w:sz w:val="32"/>
          <w:szCs w:val="32"/>
        </w:rPr>
        <w:t>则合计年用电量为3797.48 万kWh。</w:t>
      </w:r>
    </w:p>
    <w:p>
      <w:pPr>
        <w:pStyle w:val="48"/>
        <w:spacing w:before="50" w:after="50"/>
        <w:ind w:firstLine="640"/>
        <w:rPr>
          <w:rFonts w:ascii="仿宋_GB2312"/>
          <w:color w:val="000000"/>
          <w:kern w:val="0"/>
          <w:sz w:val="32"/>
          <w:szCs w:val="32"/>
        </w:rPr>
      </w:pPr>
      <w:r>
        <w:rPr>
          <w:rFonts w:hint="eastAsia" w:ascii="仿宋_GB2312"/>
          <w:color w:val="000000"/>
          <w:kern w:val="0"/>
          <w:sz w:val="32"/>
          <w:szCs w:val="32"/>
        </w:rPr>
        <w:t>项目负荷采用负荷密度法和需要系数法进行估算。</w:t>
      </w:r>
    </w:p>
    <w:p>
      <w:pPr>
        <w:spacing w:line="360" w:lineRule="auto"/>
        <w:jc w:val="left"/>
        <w:rPr>
          <w:rFonts w:ascii="仿宋_GB2312" w:hAnsi="宋体" w:eastAsia="仿宋_GB2312"/>
          <w:b/>
          <w:color w:val="000000"/>
          <w:sz w:val="24"/>
        </w:rPr>
      </w:pPr>
      <w:r>
        <w:rPr>
          <w:rFonts w:hint="eastAsia" w:ascii="仿宋_GB2312" w:hAnsi="宋体" w:eastAsia="仿宋_GB2312"/>
          <w:b/>
          <w:color w:val="000000"/>
          <w:sz w:val="24"/>
        </w:rPr>
        <w:t>表5-1                    项目用电负荷估算表</w:t>
      </w:r>
    </w:p>
    <w:tbl>
      <w:tblPr>
        <w:tblStyle w:val="31"/>
        <w:tblW w:w="9213" w:type="dxa"/>
        <w:jc w:val="center"/>
        <w:tblInd w:w="392"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1"/>
        <w:gridCol w:w="1134"/>
        <w:gridCol w:w="1418"/>
        <w:gridCol w:w="992"/>
        <w:gridCol w:w="738"/>
        <w:gridCol w:w="1246"/>
        <w:gridCol w:w="99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5" w:hRule="atLeast"/>
          <w:jc w:val="center"/>
        </w:trPr>
        <w:tc>
          <w:tcPr>
            <w:tcW w:w="992" w:type="dxa"/>
            <w:vAlign w:val="center"/>
          </w:tcPr>
          <w:p>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序号</w:t>
            </w:r>
          </w:p>
        </w:tc>
        <w:tc>
          <w:tcPr>
            <w:tcW w:w="1701" w:type="dxa"/>
            <w:vAlign w:val="center"/>
          </w:tcPr>
          <w:p>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项目</w:t>
            </w:r>
          </w:p>
        </w:tc>
        <w:tc>
          <w:tcPr>
            <w:tcW w:w="1134" w:type="dxa"/>
            <w:vAlign w:val="center"/>
          </w:tcPr>
          <w:p>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单位指标（w/m</w:t>
            </w:r>
            <w:r>
              <w:rPr>
                <w:rFonts w:hint="eastAsia" w:ascii="仿宋_GB2312" w:hAnsi="宋体" w:eastAsia="仿宋_GB2312" w:cs="宋体"/>
                <w:b/>
                <w:bCs/>
                <w:color w:val="000000"/>
                <w:kern w:val="0"/>
                <w:sz w:val="24"/>
                <w:vertAlign w:val="superscript"/>
              </w:rPr>
              <w:t>2</w:t>
            </w:r>
            <w:r>
              <w:rPr>
                <w:rFonts w:hint="eastAsia" w:ascii="仿宋_GB2312" w:hAnsi="宋体" w:eastAsia="仿宋_GB2312" w:cs="宋体"/>
                <w:b/>
                <w:bCs/>
                <w:color w:val="000000"/>
                <w:kern w:val="0"/>
                <w:sz w:val="24"/>
              </w:rPr>
              <w:t>）</w:t>
            </w:r>
          </w:p>
        </w:tc>
        <w:tc>
          <w:tcPr>
            <w:tcW w:w="1418" w:type="dxa"/>
            <w:vAlign w:val="center"/>
          </w:tcPr>
          <w:p>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面积（m</w:t>
            </w:r>
            <w:r>
              <w:rPr>
                <w:rFonts w:hint="eastAsia" w:ascii="仿宋_GB2312" w:hAnsi="宋体" w:eastAsia="仿宋_GB2312" w:cs="宋体"/>
                <w:b/>
                <w:bCs/>
                <w:color w:val="000000"/>
                <w:kern w:val="0"/>
                <w:sz w:val="24"/>
                <w:vertAlign w:val="superscript"/>
              </w:rPr>
              <w:t>2</w:t>
            </w:r>
            <w:r>
              <w:rPr>
                <w:rFonts w:hint="eastAsia" w:ascii="仿宋_GB2312" w:hAnsi="宋体" w:eastAsia="仿宋_GB2312" w:cs="宋体"/>
                <w:b/>
                <w:bCs/>
                <w:color w:val="000000"/>
                <w:kern w:val="0"/>
                <w:sz w:val="24"/>
              </w:rPr>
              <w:t>）</w:t>
            </w:r>
          </w:p>
        </w:tc>
        <w:tc>
          <w:tcPr>
            <w:tcW w:w="992" w:type="dxa"/>
            <w:vAlign w:val="center"/>
          </w:tcPr>
          <w:p>
            <w:pPr>
              <w:widowControl/>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用电负荷P</w:t>
            </w:r>
            <w:r>
              <w:rPr>
                <w:rFonts w:hint="eastAsia" w:ascii="仿宋_GB2312" w:hAnsi="宋体" w:eastAsia="仿宋_GB2312" w:cs="宋体"/>
                <w:b/>
                <w:bCs/>
                <w:color w:val="000000"/>
                <w:kern w:val="0"/>
                <w:sz w:val="24"/>
                <w:vertAlign w:val="subscript"/>
              </w:rPr>
              <w:t>s</w:t>
            </w:r>
            <w:r>
              <w:rPr>
                <w:rFonts w:hint="eastAsia" w:ascii="仿宋_GB2312" w:hAnsi="宋体" w:eastAsia="仿宋_GB2312" w:cs="宋体"/>
                <w:b/>
                <w:bCs/>
                <w:color w:val="000000"/>
                <w:kern w:val="0"/>
                <w:sz w:val="24"/>
              </w:rPr>
              <w:t>（kW）</w:t>
            </w:r>
          </w:p>
        </w:tc>
        <w:tc>
          <w:tcPr>
            <w:tcW w:w="738" w:type="dxa"/>
            <w:vAlign w:val="center"/>
          </w:tcPr>
          <w:p>
            <w:pPr>
              <w:widowControl/>
              <w:jc w:val="center"/>
              <w:rPr>
                <w:rFonts w:ascii="仿宋_GB2312" w:hAnsi="宋体" w:eastAsia="仿宋_GB2312" w:cs="宋体"/>
                <w:b/>
                <w:color w:val="000000"/>
                <w:kern w:val="0"/>
                <w:szCs w:val="21"/>
              </w:rPr>
            </w:pPr>
            <w:r>
              <w:rPr>
                <w:rFonts w:hint="eastAsia" w:ascii="仿宋_GB2312" w:hAnsi="宋体" w:eastAsia="仿宋_GB2312" w:cs="宋体"/>
                <w:b/>
                <w:color w:val="000000"/>
                <w:kern w:val="0"/>
                <w:szCs w:val="21"/>
              </w:rPr>
              <w:t>同时系数</w:t>
            </w:r>
          </w:p>
        </w:tc>
        <w:tc>
          <w:tcPr>
            <w:tcW w:w="1246" w:type="dxa"/>
            <w:vAlign w:val="center"/>
          </w:tcPr>
          <w:p>
            <w:pPr>
              <w:widowControl/>
              <w:jc w:val="center"/>
              <w:rPr>
                <w:rFonts w:ascii="仿宋_GB2312" w:hAnsi="宋体" w:eastAsia="仿宋_GB2312" w:cs="宋体"/>
                <w:b/>
                <w:color w:val="000000"/>
                <w:kern w:val="0"/>
                <w:szCs w:val="21"/>
              </w:rPr>
            </w:pPr>
            <w:r>
              <w:rPr>
                <w:rFonts w:hint="eastAsia" w:ascii="仿宋_GB2312" w:hAnsi="宋体" w:eastAsia="仿宋_GB2312" w:cs="宋体"/>
                <w:b/>
                <w:color w:val="000000"/>
                <w:kern w:val="0"/>
                <w:szCs w:val="21"/>
              </w:rPr>
              <w:t>年负荷用时(h)</w:t>
            </w:r>
          </w:p>
        </w:tc>
        <w:tc>
          <w:tcPr>
            <w:tcW w:w="992" w:type="dxa"/>
            <w:vAlign w:val="center"/>
          </w:tcPr>
          <w:p>
            <w:pPr>
              <w:widowControl/>
              <w:jc w:val="center"/>
              <w:rPr>
                <w:rFonts w:ascii="仿宋_GB2312" w:hAnsi="宋体" w:eastAsia="仿宋_GB2312" w:cs="宋体"/>
                <w:b/>
                <w:color w:val="000000"/>
                <w:kern w:val="0"/>
                <w:szCs w:val="21"/>
              </w:rPr>
            </w:pPr>
            <w:r>
              <w:rPr>
                <w:rFonts w:hint="eastAsia" w:ascii="仿宋_GB2312" w:hAnsi="宋体" w:eastAsia="仿宋_GB2312" w:cs="宋体"/>
                <w:b/>
                <w:color w:val="000000"/>
                <w:kern w:val="0"/>
                <w:szCs w:val="21"/>
              </w:rPr>
              <w:t>年消耗量(万kWh)</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atLeast"/>
          <w:jc w:val="center"/>
        </w:trPr>
        <w:tc>
          <w:tcPr>
            <w:tcW w:w="992" w:type="dxa"/>
            <w:shd w:val="clear" w:color="auto" w:fill="auto"/>
            <w:vAlign w:val="center"/>
          </w:tcPr>
          <w:p>
            <w:pPr>
              <w:jc w:val="center"/>
              <w:rPr>
                <w:rFonts w:ascii="仿宋_GB2312" w:eastAsia="仿宋_GB2312"/>
                <w:color w:val="000000"/>
                <w:szCs w:val="21"/>
              </w:rPr>
            </w:pPr>
            <w:r>
              <w:rPr>
                <w:rFonts w:hint="eastAsia" w:ascii="仿宋_GB2312" w:eastAsia="仿宋_GB2312"/>
                <w:color w:val="000000"/>
                <w:szCs w:val="21"/>
              </w:rPr>
              <w:t>1</w:t>
            </w:r>
          </w:p>
        </w:tc>
        <w:tc>
          <w:tcPr>
            <w:tcW w:w="1701" w:type="dxa"/>
            <w:shd w:val="clear" w:color="auto" w:fill="auto"/>
            <w:vAlign w:val="center"/>
          </w:tcPr>
          <w:p>
            <w:pPr>
              <w:jc w:val="center"/>
              <w:rPr>
                <w:rFonts w:ascii="仿宋_GB2312" w:eastAsia="仿宋_GB2312"/>
                <w:color w:val="000000"/>
                <w:szCs w:val="21"/>
              </w:rPr>
            </w:pPr>
            <w:r>
              <w:rPr>
                <w:rFonts w:hint="eastAsia" w:ascii="仿宋_GB2312" w:eastAsia="仿宋_GB2312"/>
                <w:color w:val="000000"/>
                <w:szCs w:val="21"/>
              </w:rPr>
              <w:t>亮化设备</w:t>
            </w:r>
          </w:p>
        </w:tc>
        <w:tc>
          <w:tcPr>
            <w:tcW w:w="1134" w:type="dxa"/>
            <w:shd w:val="clear" w:color="auto" w:fill="auto"/>
            <w:vAlign w:val="bottom"/>
          </w:tcPr>
          <w:p>
            <w:pPr>
              <w:jc w:val="center"/>
              <w:rPr>
                <w:rFonts w:ascii="仿宋_GB2312" w:eastAsia="仿宋_GB2312"/>
                <w:color w:val="000000"/>
                <w:szCs w:val="21"/>
              </w:rPr>
            </w:pPr>
            <w:r>
              <w:rPr>
                <w:rFonts w:hint="eastAsia" w:ascii="仿宋_GB2312" w:eastAsia="仿宋_GB2312"/>
                <w:color w:val="000000"/>
                <w:szCs w:val="21"/>
              </w:rPr>
              <w:t>20</w:t>
            </w:r>
          </w:p>
        </w:tc>
        <w:tc>
          <w:tcPr>
            <w:tcW w:w="1418" w:type="dxa"/>
            <w:shd w:val="clear" w:color="000000" w:fill="FFFFFF"/>
            <w:vAlign w:val="bottom"/>
          </w:tcPr>
          <w:p>
            <w:pPr>
              <w:jc w:val="center"/>
              <w:rPr>
                <w:rFonts w:ascii="仿宋_GB2312" w:hAnsi="宋体" w:eastAsia="仿宋_GB2312" w:cs="宋体"/>
                <w:color w:val="000000"/>
                <w:szCs w:val="21"/>
              </w:rPr>
            </w:pPr>
            <w:r>
              <w:rPr>
                <w:rFonts w:hint="eastAsia" w:ascii="仿宋_GB2312" w:eastAsia="仿宋_GB2312"/>
                <w:color w:val="000000"/>
                <w:szCs w:val="21"/>
              </w:rPr>
              <w:t>92893.39</w:t>
            </w:r>
          </w:p>
        </w:tc>
        <w:tc>
          <w:tcPr>
            <w:tcW w:w="992" w:type="dxa"/>
            <w:vAlign w:val="bottom"/>
          </w:tcPr>
          <w:p>
            <w:pPr>
              <w:jc w:val="center"/>
              <w:rPr>
                <w:rFonts w:ascii="仿宋_GB2312" w:hAnsi="宋体" w:eastAsia="仿宋_GB2312" w:cs="宋体"/>
                <w:color w:val="000000"/>
                <w:szCs w:val="21"/>
              </w:rPr>
            </w:pPr>
            <w:r>
              <w:rPr>
                <w:rFonts w:hint="eastAsia" w:ascii="仿宋_GB2312" w:eastAsia="仿宋_GB2312"/>
                <w:color w:val="000000"/>
                <w:szCs w:val="21"/>
              </w:rPr>
              <w:t xml:space="preserve">1857.87 </w:t>
            </w:r>
          </w:p>
        </w:tc>
        <w:tc>
          <w:tcPr>
            <w:tcW w:w="738" w:type="dxa"/>
          </w:tcPr>
          <w:p>
            <w:pPr>
              <w:jc w:val="center"/>
              <w:rPr>
                <w:rFonts w:ascii="仿宋_GB2312" w:hAnsi="宋体" w:eastAsia="仿宋_GB2312" w:cs="宋体"/>
                <w:color w:val="000000"/>
                <w:szCs w:val="21"/>
              </w:rPr>
            </w:pPr>
            <w:r>
              <w:rPr>
                <w:rFonts w:hint="eastAsia" w:ascii="仿宋_GB2312" w:eastAsia="仿宋_GB2312"/>
                <w:color w:val="000000"/>
                <w:szCs w:val="21"/>
              </w:rPr>
              <w:t>0.7</w:t>
            </w:r>
          </w:p>
        </w:tc>
        <w:tc>
          <w:tcPr>
            <w:tcW w:w="1246" w:type="dxa"/>
          </w:tcPr>
          <w:p>
            <w:pPr>
              <w:jc w:val="center"/>
              <w:rPr>
                <w:rFonts w:ascii="仿宋_GB2312" w:hAnsi="宋体" w:eastAsia="仿宋_GB2312" w:cs="宋体"/>
                <w:color w:val="000000"/>
                <w:szCs w:val="21"/>
              </w:rPr>
            </w:pPr>
            <w:r>
              <w:rPr>
                <w:rFonts w:hint="eastAsia" w:ascii="仿宋_GB2312" w:eastAsia="仿宋_GB2312"/>
                <w:color w:val="000000"/>
                <w:szCs w:val="21"/>
              </w:rPr>
              <w:t>2920</w:t>
            </w:r>
          </w:p>
        </w:tc>
        <w:tc>
          <w:tcPr>
            <w:tcW w:w="992" w:type="dxa"/>
            <w:vAlign w:val="bottom"/>
          </w:tcPr>
          <w:p>
            <w:pPr>
              <w:jc w:val="center"/>
              <w:rPr>
                <w:rFonts w:ascii="仿宋_GB2312" w:hAnsi="宋体" w:eastAsia="仿宋_GB2312" w:cs="宋体"/>
                <w:color w:val="000000"/>
                <w:szCs w:val="21"/>
              </w:rPr>
            </w:pPr>
            <w:r>
              <w:rPr>
                <w:rFonts w:hint="eastAsia" w:ascii="仿宋_GB2312" w:eastAsia="仿宋_GB2312"/>
                <w:color w:val="000000"/>
                <w:szCs w:val="21"/>
              </w:rPr>
              <w:t xml:space="preserve">3797.48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992" w:type="dxa"/>
            <w:shd w:val="clear" w:color="auto" w:fill="auto"/>
            <w:vAlign w:val="center"/>
          </w:tcPr>
          <w:p>
            <w:pPr>
              <w:jc w:val="center"/>
              <w:rPr>
                <w:rFonts w:ascii="仿宋_GB2312" w:eastAsia="仿宋_GB2312"/>
                <w:color w:val="000000"/>
                <w:szCs w:val="21"/>
              </w:rPr>
            </w:pPr>
            <w:r>
              <w:rPr>
                <w:rFonts w:hint="eastAsia" w:ascii="仿宋_GB2312" w:eastAsia="仿宋_GB2312"/>
                <w:color w:val="000000"/>
                <w:szCs w:val="21"/>
              </w:rPr>
              <w:t>2</w:t>
            </w:r>
          </w:p>
        </w:tc>
        <w:tc>
          <w:tcPr>
            <w:tcW w:w="1701" w:type="dxa"/>
            <w:shd w:val="clear" w:color="auto" w:fill="auto"/>
            <w:vAlign w:val="center"/>
          </w:tcPr>
          <w:p>
            <w:pPr>
              <w:jc w:val="center"/>
              <w:rPr>
                <w:rFonts w:ascii="仿宋_GB2312" w:eastAsia="仿宋_GB2312"/>
                <w:color w:val="000000"/>
                <w:szCs w:val="21"/>
              </w:rPr>
            </w:pPr>
            <w:r>
              <w:rPr>
                <w:rFonts w:hint="eastAsia" w:ascii="仿宋_GB2312" w:eastAsia="仿宋_GB2312"/>
                <w:color w:val="000000"/>
                <w:szCs w:val="21"/>
              </w:rPr>
              <w:t>合计</w:t>
            </w:r>
          </w:p>
        </w:tc>
        <w:tc>
          <w:tcPr>
            <w:tcW w:w="1134" w:type="dxa"/>
            <w:shd w:val="clear" w:color="auto" w:fill="auto"/>
            <w:vAlign w:val="bottom"/>
          </w:tcPr>
          <w:p>
            <w:pPr>
              <w:jc w:val="center"/>
              <w:rPr>
                <w:rFonts w:ascii="仿宋_GB2312" w:eastAsia="仿宋_GB2312"/>
                <w:color w:val="000000"/>
                <w:szCs w:val="21"/>
              </w:rPr>
            </w:pPr>
            <w:r>
              <w:rPr>
                <w:rFonts w:hint="eastAsia" w:ascii="仿宋_GB2312" w:eastAsia="仿宋_GB2312"/>
                <w:color w:val="000000"/>
                <w:szCs w:val="21"/>
              </w:rPr>
              <w:t>　</w:t>
            </w:r>
          </w:p>
        </w:tc>
        <w:tc>
          <w:tcPr>
            <w:tcW w:w="1418" w:type="dxa"/>
            <w:shd w:val="clear" w:color="000000" w:fill="FFFFFF"/>
            <w:vAlign w:val="bottom"/>
          </w:tcPr>
          <w:p>
            <w:pPr>
              <w:jc w:val="center"/>
              <w:rPr>
                <w:rFonts w:ascii="仿宋_GB2312" w:eastAsia="仿宋_GB2312"/>
                <w:color w:val="000000"/>
                <w:szCs w:val="21"/>
              </w:rPr>
            </w:pPr>
            <w:r>
              <w:rPr>
                <w:rFonts w:hint="eastAsia" w:ascii="仿宋_GB2312" w:eastAsia="仿宋_GB2312"/>
                <w:color w:val="000000"/>
                <w:szCs w:val="21"/>
              </w:rPr>
              <w:t>　</w:t>
            </w:r>
          </w:p>
        </w:tc>
        <w:tc>
          <w:tcPr>
            <w:tcW w:w="992" w:type="dxa"/>
            <w:vAlign w:val="bottom"/>
          </w:tcPr>
          <w:p>
            <w:pPr>
              <w:jc w:val="center"/>
              <w:rPr>
                <w:rFonts w:ascii="仿宋_GB2312" w:eastAsia="仿宋_GB2312"/>
                <w:color w:val="000000"/>
                <w:szCs w:val="21"/>
              </w:rPr>
            </w:pPr>
            <w:r>
              <w:rPr>
                <w:rFonts w:hint="eastAsia" w:ascii="仿宋_GB2312" w:eastAsia="仿宋_GB2312"/>
                <w:color w:val="000000"/>
                <w:szCs w:val="21"/>
              </w:rPr>
              <w:t>1857.87</w:t>
            </w:r>
          </w:p>
        </w:tc>
        <w:tc>
          <w:tcPr>
            <w:tcW w:w="738" w:type="dxa"/>
          </w:tcPr>
          <w:p>
            <w:pPr>
              <w:jc w:val="center"/>
              <w:rPr>
                <w:rFonts w:ascii="仿宋_GB2312" w:eastAsia="仿宋_GB2312"/>
                <w:color w:val="000000"/>
                <w:szCs w:val="21"/>
              </w:rPr>
            </w:pPr>
            <w:r>
              <w:rPr>
                <w:rFonts w:hint="eastAsia" w:ascii="仿宋_GB2312" w:eastAsia="仿宋_GB2312"/>
                <w:color w:val="000000"/>
                <w:szCs w:val="21"/>
              </w:rPr>
              <w:t>　</w:t>
            </w:r>
          </w:p>
        </w:tc>
        <w:tc>
          <w:tcPr>
            <w:tcW w:w="1246" w:type="dxa"/>
          </w:tcPr>
          <w:p>
            <w:pPr>
              <w:jc w:val="center"/>
              <w:rPr>
                <w:rFonts w:ascii="仿宋_GB2312" w:eastAsia="仿宋_GB2312"/>
                <w:color w:val="000000"/>
                <w:szCs w:val="21"/>
              </w:rPr>
            </w:pPr>
            <w:r>
              <w:rPr>
                <w:rFonts w:hint="eastAsia" w:ascii="仿宋_GB2312" w:eastAsia="仿宋_GB2312"/>
                <w:color w:val="000000"/>
                <w:szCs w:val="21"/>
              </w:rPr>
              <w:t>　</w:t>
            </w:r>
          </w:p>
        </w:tc>
        <w:tc>
          <w:tcPr>
            <w:tcW w:w="992" w:type="dxa"/>
          </w:tcPr>
          <w:p>
            <w:pPr>
              <w:jc w:val="center"/>
              <w:rPr>
                <w:rFonts w:ascii="仿宋_GB2312" w:eastAsia="仿宋_GB2312"/>
                <w:color w:val="000000"/>
                <w:szCs w:val="21"/>
              </w:rPr>
            </w:pPr>
            <w:r>
              <w:rPr>
                <w:rFonts w:hint="eastAsia" w:ascii="仿宋_GB2312" w:eastAsia="仿宋_GB2312"/>
                <w:color w:val="000000"/>
                <w:szCs w:val="21"/>
              </w:rPr>
              <w:t>3797.48</w:t>
            </w:r>
            <w:r>
              <w:rPr>
                <w:rFonts w:ascii="仿宋_GB2312" w:eastAsia="仿宋_GB2312"/>
                <w:color w:val="000000"/>
                <w:szCs w:val="21"/>
              </w:rPr>
              <w:t xml:space="preserve"> </w:t>
            </w:r>
          </w:p>
        </w:tc>
      </w:tr>
    </w:tbl>
    <w:p>
      <w:pPr>
        <w:spacing w:beforeLines="50" w:afterLines="50" w:line="360" w:lineRule="auto"/>
        <w:ind w:firstLine="640" w:firstLineChars="200"/>
        <w:rPr>
          <w:rFonts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(2)项目用水量计算</w:t>
      </w:r>
    </w:p>
    <w:p>
      <w:pPr>
        <w:pStyle w:val="48"/>
        <w:spacing w:beforeLines="50" w:afterLines="50"/>
        <w:ind w:firstLine="640"/>
        <w:rPr>
          <w:rFonts w:ascii="仿宋_GB2312" w:hAnsi="宋体"/>
          <w:color w:val="000000"/>
          <w:sz w:val="32"/>
          <w:szCs w:val="32"/>
        </w:rPr>
      </w:pPr>
      <w:r>
        <w:rPr>
          <w:rFonts w:hint="eastAsia" w:ascii="仿宋_GB2312" w:hAnsi="宋体"/>
          <w:color w:val="000000"/>
          <w:sz w:val="32"/>
          <w:szCs w:val="32"/>
        </w:rPr>
        <w:t>项目用水主要为施工期间用水，用水量的计算采用单位指标法，用水单位指标参照广东省用水定额</w:t>
      </w:r>
      <w:r>
        <w:rPr>
          <w:rFonts w:ascii="仿宋_GB2312" w:hAnsi="宋体"/>
          <w:color w:val="000000"/>
          <w:sz w:val="32"/>
          <w:szCs w:val="32"/>
        </w:rPr>
        <w:t>(DB44T1461-2014)，根据《广东省用水定额》和《建筑给水排水设计规范》（GB50015-2003）的有关用水规定，本项目用水量为</w:t>
      </w:r>
      <w:r>
        <w:rPr>
          <w:rFonts w:hint="eastAsia" w:ascii="仿宋_GB2312" w:hAnsi="宋体"/>
          <w:color w:val="000000"/>
          <w:sz w:val="32"/>
          <w:szCs w:val="32"/>
        </w:rPr>
        <w:t>1279.2</w:t>
      </w:r>
      <w:r>
        <w:rPr>
          <w:rFonts w:ascii="仿宋_GB2312" w:hAnsi="宋体"/>
          <w:color w:val="000000"/>
          <w:sz w:val="32"/>
          <w:szCs w:val="32"/>
        </w:rPr>
        <w:t>立方米。项目具体用水情况见表</w:t>
      </w:r>
      <w:r>
        <w:rPr>
          <w:rFonts w:hint="eastAsia" w:ascii="仿宋_GB2312" w:hAnsi="宋体"/>
          <w:color w:val="000000"/>
          <w:sz w:val="32"/>
          <w:szCs w:val="32"/>
        </w:rPr>
        <w:t>5</w:t>
      </w:r>
      <w:r>
        <w:rPr>
          <w:rFonts w:ascii="仿宋_GB2312" w:hAnsi="宋体"/>
          <w:color w:val="000000"/>
          <w:sz w:val="32"/>
          <w:szCs w:val="32"/>
        </w:rPr>
        <w:t>-2。</w:t>
      </w:r>
    </w:p>
    <w:p>
      <w:pPr>
        <w:spacing w:line="360" w:lineRule="auto"/>
        <w:rPr>
          <w:rFonts w:ascii="仿宋_GB2312" w:hAnsi="宋体" w:eastAsia="仿宋_GB2312"/>
          <w:b/>
          <w:color w:val="000000"/>
          <w:sz w:val="24"/>
        </w:rPr>
      </w:pPr>
      <w:r>
        <w:rPr>
          <w:rFonts w:hint="eastAsia" w:ascii="仿宋_GB2312" w:hAnsi="宋体" w:eastAsia="仿宋_GB2312"/>
          <w:b/>
          <w:color w:val="000000"/>
          <w:sz w:val="24"/>
        </w:rPr>
        <w:t>表5-2                    年用水量估算表</w:t>
      </w:r>
    </w:p>
    <w:tbl>
      <w:tblPr>
        <w:tblStyle w:val="31"/>
        <w:tblW w:w="8528"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34"/>
        <w:gridCol w:w="2065"/>
        <w:gridCol w:w="1439"/>
        <w:gridCol w:w="1552"/>
        <w:gridCol w:w="1272"/>
        <w:gridCol w:w="146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734" w:type="dxa"/>
            <w:tcBorders>
              <w:top w:val="double" w:color="auto" w:sz="4" w:space="0"/>
              <w:bottom w:val="single" w:color="auto" w:sz="6" w:space="0"/>
            </w:tcBorders>
            <w:shd w:val="pct20" w:color="auto" w:fill="auto"/>
            <w:vAlign w:val="center"/>
          </w:tcPr>
          <w:p>
            <w:pPr>
              <w:jc w:val="center"/>
              <w:rPr>
                <w:rFonts w:ascii="仿宋_GB2312" w:eastAsia="仿宋_GB2312"/>
                <w:b/>
                <w:color w:val="000000"/>
                <w:sz w:val="24"/>
              </w:rPr>
            </w:pPr>
            <w:r>
              <w:rPr>
                <w:rFonts w:hint="eastAsia" w:ascii="仿宋_GB2312" w:eastAsia="仿宋_GB2312"/>
                <w:b/>
                <w:color w:val="000000"/>
                <w:sz w:val="24"/>
              </w:rPr>
              <w:t>序号</w:t>
            </w:r>
          </w:p>
        </w:tc>
        <w:tc>
          <w:tcPr>
            <w:tcW w:w="2065" w:type="dxa"/>
            <w:tcBorders>
              <w:top w:val="double" w:color="auto" w:sz="4" w:space="0"/>
              <w:bottom w:val="single" w:color="auto" w:sz="6" w:space="0"/>
            </w:tcBorders>
            <w:shd w:val="pct20" w:color="auto" w:fill="auto"/>
            <w:vAlign w:val="center"/>
          </w:tcPr>
          <w:p>
            <w:pPr>
              <w:jc w:val="center"/>
              <w:rPr>
                <w:rFonts w:ascii="仿宋_GB2312" w:eastAsia="仿宋_GB2312"/>
                <w:b/>
                <w:color w:val="000000"/>
                <w:sz w:val="24"/>
              </w:rPr>
            </w:pPr>
            <w:r>
              <w:rPr>
                <w:rFonts w:hint="eastAsia" w:ascii="仿宋_GB2312" w:eastAsia="仿宋_GB2312"/>
                <w:b/>
                <w:color w:val="000000"/>
                <w:sz w:val="24"/>
              </w:rPr>
              <w:t>用水项目</w:t>
            </w:r>
          </w:p>
        </w:tc>
        <w:tc>
          <w:tcPr>
            <w:tcW w:w="1439" w:type="dxa"/>
            <w:tcBorders>
              <w:top w:val="double" w:color="auto" w:sz="4" w:space="0"/>
              <w:bottom w:val="single" w:color="auto" w:sz="6" w:space="0"/>
            </w:tcBorders>
            <w:shd w:val="pct20" w:color="auto" w:fill="auto"/>
            <w:vAlign w:val="center"/>
          </w:tcPr>
          <w:p>
            <w:pPr>
              <w:jc w:val="center"/>
              <w:rPr>
                <w:rFonts w:ascii="仿宋_GB2312" w:eastAsia="仿宋_GB2312"/>
                <w:b/>
                <w:color w:val="000000"/>
                <w:sz w:val="24"/>
              </w:rPr>
            </w:pPr>
            <w:r>
              <w:rPr>
                <w:rFonts w:hint="eastAsia" w:ascii="仿宋_GB2312" w:eastAsia="仿宋_GB2312"/>
                <w:b/>
                <w:color w:val="000000"/>
                <w:sz w:val="24"/>
              </w:rPr>
              <w:t>用水单位数</w:t>
            </w:r>
          </w:p>
        </w:tc>
        <w:tc>
          <w:tcPr>
            <w:tcW w:w="1552" w:type="dxa"/>
            <w:tcBorders>
              <w:top w:val="double" w:color="auto" w:sz="4" w:space="0"/>
              <w:bottom w:val="single" w:color="auto" w:sz="6" w:space="0"/>
            </w:tcBorders>
            <w:shd w:val="pct20" w:color="auto" w:fill="auto"/>
            <w:vAlign w:val="center"/>
          </w:tcPr>
          <w:p>
            <w:pPr>
              <w:jc w:val="center"/>
              <w:rPr>
                <w:rFonts w:ascii="仿宋_GB2312" w:eastAsia="仿宋_GB2312"/>
                <w:b/>
                <w:color w:val="000000"/>
                <w:sz w:val="24"/>
              </w:rPr>
            </w:pPr>
            <w:r>
              <w:rPr>
                <w:rFonts w:hint="eastAsia" w:ascii="仿宋_GB2312" w:eastAsia="仿宋_GB2312"/>
                <w:b/>
                <w:color w:val="000000"/>
                <w:sz w:val="24"/>
              </w:rPr>
              <w:t>用水指标</w:t>
            </w:r>
          </w:p>
        </w:tc>
        <w:tc>
          <w:tcPr>
            <w:tcW w:w="1272" w:type="dxa"/>
            <w:tcBorders>
              <w:top w:val="double" w:color="auto" w:sz="4" w:space="0"/>
              <w:bottom w:val="single" w:color="auto" w:sz="6" w:space="0"/>
            </w:tcBorders>
            <w:shd w:val="pct20" w:color="auto" w:fill="auto"/>
          </w:tcPr>
          <w:p>
            <w:pPr>
              <w:jc w:val="center"/>
              <w:rPr>
                <w:rFonts w:ascii="仿宋_GB2312" w:eastAsia="仿宋_GB2312"/>
                <w:b/>
                <w:color w:val="000000"/>
                <w:sz w:val="24"/>
              </w:rPr>
            </w:pPr>
            <w:r>
              <w:rPr>
                <w:rFonts w:hint="eastAsia" w:ascii="仿宋_GB2312" w:eastAsia="仿宋_GB2312"/>
                <w:b/>
                <w:color w:val="000000"/>
                <w:sz w:val="24"/>
              </w:rPr>
              <w:t>用水天数</w:t>
            </w:r>
          </w:p>
        </w:tc>
        <w:tc>
          <w:tcPr>
            <w:tcW w:w="1466" w:type="dxa"/>
            <w:tcBorders>
              <w:top w:val="double" w:color="auto" w:sz="4" w:space="0"/>
              <w:bottom w:val="single" w:color="auto" w:sz="6" w:space="0"/>
            </w:tcBorders>
            <w:shd w:val="pct20" w:color="auto" w:fill="auto"/>
            <w:vAlign w:val="center"/>
          </w:tcPr>
          <w:p>
            <w:pPr>
              <w:jc w:val="center"/>
              <w:rPr>
                <w:rFonts w:ascii="仿宋_GB2312" w:eastAsia="仿宋_GB2312"/>
                <w:b/>
                <w:color w:val="000000"/>
                <w:sz w:val="24"/>
              </w:rPr>
            </w:pPr>
            <w:r>
              <w:rPr>
                <w:rFonts w:hint="eastAsia" w:ascii="仿宋_GB2312" w:eastAsia="仿宋_GB2312"/>
                <w:b/>
                <w:color w:val="000000"/>
                <w:sz w:val="24"/>
              </w:rPr>
              <w:t>用水量（m3）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734" w:type="dxa"/>
            <w:tcBorders>
              <w:top w:val="single" w:color="auto" w:sz="6" w:space="0"/>
            </w:tcBorders>
            <w:vAlign w:val="center"/>
          </w:tcPr>
          <w:p>
            <w:pPr>
              <w:jc w:val="center"/>
              <w:rPr>
                <w:rFonts w:ascii="仿宋_GB2312" w:eastAsia="仿宋_GB2312"/>
                <w:color w:val="000000"/>
                <w:sz w:val="24"/>
              </w:rPr>
            </w:pPr>
            <w:r>
              <w:rPr>
                <w:rFonts w:hint="eastAsia" w:ascii="仿宋_GB2312" w:eastAsia="仿宋_GB2312"/>
                <w:color w:val="000000"/>
                <w:sz w:val="24"/>
              </w:rPr>
              <w:t>1</w:t>
            </w:r>
          </w:p>
        </w:tc>
        <w:tc>
          <w:tcPr>
            <w:tcW w:w="2065" w:type="dxa"/>
            <w:tcBorders>
              <w:top w:val="single" w:color="auto" w:sz="6" w:space="0"/>
            </w:tcBorders>
            <w:vAlign w:val="center"/>
          </w:tcPr>
          <w:p>
            <w:pPr>
              <w:jc w:val="center"/>
              <w:rPr>
                <w:rFonts w:ascii="仿宋_GB2312" w:eastAsia="仿宋_GB2312"/>
                <w:color w:val="000000"/>
                <w:sz w:val="24"/>
              </w:rPr>
            </w:pPr>
            <w:r>
              <w:rPr>
                <w:rFonts w:hint="eastAsia" w:ascii="仿宋_GB2312" w:eastAsia="仿宋_GB2312"/>
                <w:color w:val="000000"/>
                <w:sz w:val="24"/>
              </w:rPr>
              <w:t>建筑工地</w:t>
            </w:r>
          </w:p>
        </w:tc>
        <w:tc>
          <w:tcPr>
            <w:tcW w:w="1439" w:type="dxa"/>
            <w:tcBorders>
              <w:top w:val="single" w:color="auto" w:sz="6" w:space="0"/>
            </w:tcBorders>
            <w:vAlign w:val="center"/>
          </w:tcPr>
          <w:p>
            <w:pPr>
              <w:jc w:val="center"/>
              <w:rPr>
                <w:rFonts w:ascii="仿宋_GB2312" w:eastAsia="仿宋_GB2312"/>
                <w:color w:val="000000"/>
                <w:sz w:val="24"/>
              </w:rPr>
            </w:pPr>
            <w:r>
              <w:rPr>
                <w:rFonts w:hint="eastAsia" w:ascii="仿宋_GB2312" w:eastAsia="仿宋_GB2312"/>
                <w:color w:val="000000"/>
                <w:szCs w:val="21"/>
              </w:rPr>
              <w:t>1000平方米</w:t>
            </w:r>
          </w:p>
        </w:tc>
        <w:tc>
          <w:tcPr>
            <w:tcW w:w="1552" w:type="dxa"/>
            <w:tcBorders>
              <w:top w:val="single" w:color="auto" w:sz="6" w:space="0"/>
            </w:tcBorders>
            <w:vAlign w:val="center"/>
          </w:tcPr>
          <w:p>
            <w:pPr>
              <w:jc w:val="center"/>
              <w:rPr>
                <w:rFonts w:ascii="仿宋_GB2312" w:eastAsia="仿宋_GB2312"/>
                <w:color w:val="000000"/>
                <w:sz w:val="24"/>
              </w:rPr>
            </w:pPr>
            <w:r>
              <w:rPr>
                <w:rFonts w:hint="eastAsia" w:ascii="仿宋_GB2312" w:eastAsia="仿宋_GB2312"/>
                <w:color w:val="000000"/>
                <w:szCs w:val="21"/>
              </w:rPr>
              <w:t>3.28升</w:t>
            </w:r>
            <w:r>
              <w:rPr>
                <w:rFonts w:ascii="仿宋_GB2312" w:eastAsia="仿宋_GB2312"/>
                <w:color w:val="000000"/>
                <w:szCs w:val="21"/>
              </w:rPr>
              <w:t>/m2·</w:t>
            </w:r>
            <w:r>
              <w:rPr>
                <w:rFonts w:hint="eastAsia" w:ascii="仿宋_GB2312" w:eastAsia="仿宋_GB2312"/>
                <w:color w:val="000000"/>
                <w:szCs w:val="21"/>
              </w:rPr>
              <w:t>日</w:t>
            </w:r>
          </w:p>
        </w:tc>
        <w:tc>
          <w:tcPr>
            <w:tcW w:w="1272" w:type="dxa"/>
            <w:tcBorders>
              <w:top w:val="single" w:color="auto" w:sz="6" w:space="0"/>
            </w:tcBorders>
          </w:tcPr>
          <w:p>
            <w:pPr>
              <w:jc w:val="center"/>
              <w:rPr>
                <w:rFonts w:ascii="仿宋_GB2312" w:eastAsia="仿宋_GB2312"/>
                <w:color w:val="000000"/>
                <w:sz w:val="24"/>
              </w:rPr>
            </w:pPr>
            <w:r>
              <w:rPr>
                <w:rFonts w:hint="eastAsia" w:ascii="仿宋_GB2312" w:eastAsia="仿宋_GB2312"/>
                <w:color w:val="000000"/>
                <w:sz w:val="24"/>
              </w:rPr>
              <w:t>390</w:t>
            </w:r>
          </w:p>
        </w:tc>
        <w:tc>
          <w:tcPr>
            <w:tcW w:w="1466" w:type="dxa"/>
            <w:tcBorders>
              <w:top w:val="single" w:color="auto" w:sz="6" w:space="0"/>
            </w:tcBorders>
            <w:vAlign w:val="center"/>
          </w:tcPr>
          <w:p>
            <w:pPr>
              <w:jc w:val="center"/>
              <w:rPr>
                <w:rFonts w:ascii="仿宋_GB2312" w:eastAsia="仿宋_GB2312"/>
                <w:color w:val="000000"/>
                <w:sz w:val="24"/>
              </w:rPr>
            </w:pPr>
            <w:r>
              <w:rPr>
                <w:rFonts w:hint="eastAsia" w:ascii="仿宋_GB2312" w:eastAsia="仿宋_GB2312"/>
                <w:color w:val="000000"/>
                <w:sz w:val="24"/>
              </w:rPr>
              <w:t>1279.2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734" w:type="dxa"/>
            <w:vAlign w:val="center"/>
          </w:tcPr>
          <w:p>
            <w:pPr>
              <w:jc w:val="center"/>
              <w:rPr>
                <w:rFonts w:ascii="仿宋_GB2312" w:eastAsia="仿宋_GB2312"/>
                <w:b/>
                <w:color w:val="000000"/>
                <w:sz w:val="24"/>
              </w:rPr>
            </w:pPr>
            <w:r>
              <w:rPr>
                <w:rFonts w:ascii="仿宋_GB2312" w:eastAsia="仿宋_GB2312"/>
                <w:b/>
                <w:color w:val="000000"/>
                <w:sz w:val="24"/>
              </w:rPr>
              <w:t>4</w:t>
            </w:r>
          </w:p>
        </w:tc>
        <w:tc>
          <w:tcPr>
            <w:tcW w:w="2065" w:type="dxa"/>
            <w:vAlign w:val="center"/>
          </w:tcPr>
          <w:p>
            <w:pPr>
              <w:jc w:val="center"/>
              <w:rPr>
                <w:rFonts w:ascii="仿宋_GB2312" w:eastAsia="仿宋_GB2312"/>
                <w:b/>
                <w:color w:val="000000"/>
                <w:sz w:val="24"/>
              </w:rPr>
            </w:pPr>
            <w:r>
              <w:rPr>
                <w:rFonts w:hint="eastAsia" w:ascii="仿宋_GB2312" w:eastAsia="仿宋_GB2312"/>
                <w:b/>
                <w:color w:val="000000"/>
                <w:sz w:val="24"/>
              </w:rPr>
              <w:t>合计</w:t>
            </w:r>
          </w:p>
        </w:tc>
        <w:tc>
          <w:tcPr>
            <w:tcW w:w="1439" w:type="dxa"/>
            <w:vAlign w:val="center"/>
          </w:tcPr>
          <w:p>
            <w:pPr>
              <w:jc w:val="center"/>
              <w:rPr>
                <w:rFonts w:ascii="仿宋_GB2312" w:eastAsia="仿宋_GB2312"/>
                <w:b/>
                <w:color w:val="000000"/>
                <w:sz w:val="24"/>
              </w:rPr>
            </w:pPr>
            <w:r>
              <w:rPr>
                <w:rFonts w:ascii="仿宋_GB2312" w:eastAsia="仿宋_GB2312"/>
                <w:b/>
                <w:color w:val="000000"/>
                <w:sz w:val="24"/>
              </w:rPr>
              <w:t>/</w:t>
            </w:r>
          </w:p>
        </w:tc>
        <w:tc>
          <w:tcPr>
            <w:tcW w:w="1552" w:type="dxa"/>
            <w:vAlign w:val="center"/>
          </w:tcPr>
          <w:p>
            <w:pPr>
              <w:jc w:val="center"/>
              <w:rPr>
                <w:rFonts w:ascii="仿宋_GB2312" w:eastAsia="仿宋_GB2312"/>
                <w:b/>
                <w:color w:val="000000"/>
                <w:sz w:val="24"/>
              </w:rPr>
            </w:pPr>
            <w:r>
              <w:rPr>
                <w:rFonts w:ascii="仿宋_GB2312" w:eastAsia="仿宋_GB2312"/>
                <w:b/>
                <w:color w:val="000000"/>
                <w:sz w:val="24"/>
              </w:rPr>
              <w:t>/</w:t>
            </w:r>
          </w:p>
        </w:tc>
        <w:tc>
          <w:tcPr>
            <w:tcW w:w="1272" w:type="dxa"/>
          </w:tcPr>
          <w:p>
            <w:pPr>
              <w:jc w:val="center"/>
              <w:rPr>
                <w:rFonts w:ascii="仿宋_GB2312" w:eastAsia="仿宋_GB2312"/>
                <w:b/>
                <w:color w:val="000000"/>
                <w:sz w:val="24"/>
              </w:rPr>
            </w:pPr>
          </w:p>
        </w:tc>
        <w:tc>
          <w:tcPr>
            <w:tcW w:w="1466" w:type="dxa"/>
            <w:vAlign w:val="center"/>
          </w:tcPr>
          <w:p>
            <w:pPr>
              <w:jc w:val="center"/>
              <w:rPr>
                <w:rFonts w:ascii="仿宋_GB2312" w:eastAsia="仿宋_GB2312"/>
                <w:b/>
                <w:color w:val="000000"/>
                <w:sz w:val="24"/>
              </w:rPr>
            </w:pPr>
            <w:r>
              <w:rPr>
                <w:rFonts w:hint="eastAsia" w:ascii="仿宋_GB2312" w:eastAsia="仿宋_GB2312"/>
                <w:b/>
                <w:color w:val="000000"/>
                <w:sz w:val="24"/>
              </w:rPr>
              <w:t>1279.2</w:t>
            </w:r>
          </w:p>
        </w:tc>
      </w:tr>
    </w:tbl>
    <w:p>
      <w:pPr>
        <w:spacing w:line="360" w:lineRule="auto"/>
        <w:rPr>
          <w:rFonts w:ascii="仿宋_GB2312" w:eastAsia="仿宋_GB2312"/>
          <w:color w:val="000000"/>
          <w:sz w:val="28"/>
          <w:szCs w:val="28"/>
        </w:rPr>
      </w:pPr>
      <w:r>
        <w:rPr>
          <w:rFonts w:hint="eastAsia" w:ascii="仿宋_GB2312" w:eastAsia="仿宋_GB2312"/>
          <w:color w:val="000000"/>
          <w:sz w:val="28"/>
          <w:szCs w:val="28"/>
        </w:rPr>
        <w:t>注：本项目用水为综合用水定额。</w:t>
      </w:r>
    </w:p>
    <w:p>
      <w:pPr>
        <w:pStyle w:val="3"/>
        <w:rPr>
          <w:rFonts w:ascii="黑体" w:hAnsi="黑体" w:cs="Arial"/>
          <w:color w:val="000000"/>
        </w:rPr>
      </w:pPr>
      <w:bookmarkStart w:id="50" w:name="_Toc483131240"/>
      <w:bookmarkStart w:id="51" w:name="_Toc471465707"/>
      <w:r>
        <w:rPr>
          <w:rFonts w:hint="eastAsia" w:ascii="黑体" w:hAnsi="黑体" w:cs="Arial"/>
          <w:color w:val="000000"/>
        </w:rPr>
        <w:t>6.3 节能措施</w:t>
      </w:r>
      <w:bookmarkEnd w:id="50"/>
      <w:bookmarkEnd w:id="51"/>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6.3.1 规划、设计节能措施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（1）采用新型墙体材料，执行建筑节能标准；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（2）加强建筑物用能设备的运行管理，合理设计建筑围护结构的热工性能，提高制冷、照明、通风、给排水和通道系统的运行效率；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（3）利用可再生能源，在保证建筑物使用功能和室内热环境质量的前提下，降低建筑能源消耗，合理、有效地利用能源。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（5）所有工程项目施工图设计图纸的总说明中必须有节能篇章，内容应包括围护结构等的节能设计技术指标、做法，采取的节能措施、窗墙面积比、保温隔热材料的导热系数，新能源采用情况等并能指导施工。</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（6）推广应用节能型的建筑、结构、材料、用能设备和附属设施及相应的施工工艺、应用技术和管理技术，促进可再生能源的开发利用。</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6.3.2 建筑节能技术措施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1、建筑节能技术和产品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（1）新型节能墙体和屋面的保温、隔热技术与材料；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（2）节能门窗的保温隔热和密闭技术；</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（3）太阳能、地热等可再生能源应用技术及设备；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（4）建筑照明节能技术与产品；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（5）空调制冷节能技术与产品；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（6）其他技术成熟、效果显著的节能技术和节能管理技术。</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2、项目建设和运营应满足国家相关法律法规及规范标准的要求建筑节能具体措施如下：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（1）建筑物尽量采用保温隔热效果好的复合材料或轻质外墙体、中空玻璃、保温屋面和管道保温材料。玻璃幕墙选用保温、隔音、隔热效果好的中空玻璃。 </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建筑外窗外遮阳是建筑节能第一要考虑的因素。采用遮阳型Low－E低辐射玻璃，中庭玻璃采光顶的玻璃遮阳系数SC≤0.35，可见光透过比在40％以上；采用彩釉较厚的彩釉中空玻璃，使光线更加柔和，可以在成本相对较低的条件下取得较好的遮阳效果，并提高建筑的舒适性。</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（3）进行科学的自然通风设计(气流模拟设计)，充分利用自然通风技术，减少空调面积，降低空调能耗，同时能提高舒适性和环境的“健康性”。</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（4）重视建筑围护结构的隔热性能，采用围护结构节能指标体系优化方法以及建筑低能耗围护结构组合优化设计方法。</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6.3.3 照明系统</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照明系统设计采用自然照明光导照明、人工照明相结合方式，充分利用自然照明，采用高效、节能的光导照明，达到高效、节能、舒适、有益环境和提高工作效率的目的。选用发光效率高的节能型光源，具有光照效率高、使用寿命长、环保、色彩丰富、可控性和灯具节能30%—50%等优点。</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高大空间采用陶瓷金卤光源、标准金卤光源等高显色性的气体放电光源。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普通空间采用光导照明、稀土三基色高效荧光灯和紧凑型节能灯。</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路灯、景观灯、射灯和公共通道等选用环保节能产品LED和无极灯作为照明灯具。</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 xml:space="preserve">6.3.4 配电系统 </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整个变配电系统可采用高效节能型变压器、配置供电系统综合节电装置、节能型电气设备，减少变配电能耗和供电线路损耗。大功率电机可采用高压变频调速方式供电运行。设备采用有源和无源滤波相结合的谐波治理设计，智能型无功功率动态自动补偿装置，提高功率因数等相关方法，能大大降低变压器和供电线路的谐波含量，减少谐波造成的电气和能量损耗，减少供配电系统的电能损耗（线损）、变压器自身的损耗、屋内外配电线路损耗、开关柜内各种配件仪表损耗，达到安全节能的目的。</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6.3.5 机电设备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采用高效率、节能环保机电设备，按要求配装能源计量仪表，提高设备运行效率。所选用机电设备的负荷率必须达到国家节能设计规范要求，各类设备及器材的选型一律采用国家现行技术标准的高效节能设备和器材。公共空间按其负荷特性进行内外区划分。变配电、卫生间等处采用变频调速或双速送排风机以节省能源。综合考虑太阳能利用和发电技术，建立整个工程的综合能源利用、管理系统，节约能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通风、空调、供气系统采用合理的运行方式，尽可能降低途中消耗。各设备根据系统需要，按照舒适、节能、环保的方式运行。采用自控或常规仪表分别计量各部分的冷量消耗情况为运行管理提供最可靠的数据。</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项目主要用电设备、照明灯具、用水设备等的选型应严格按照国家制定的能效标准进行选取，尤其要使用有节能标识的产品。</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6.3.6 施工阶段节能措施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1、节能措施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（1）制订合理施工能耗指标，提高施工能源利用率。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（2）优先使用国家、行业推荐的节能、高效、环保的施工设备和机具，如选用变频技术的节能施工设备等。</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（3）施工现场分别设定生产、生活、办公和施工设备的用电控制指标，定期进行计量、核算、对比分析，并有预防与纠正措施。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在施工组织设计中，合理安排施工顺序、工作面，以减少作业区域的机具数量，相邻作业区充分利用共有的机具资源。安排施工工艺时，应优先考虑耗用电能的或其它能耗较少的施工工艺。避免设备额定功率远大于使用功率或超负荷使用设备的现象。</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（5）根据当地气候和自然资源条件，充分利用太阳能、光导系统等可再生能源。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2、机械设备与机具节能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（1）建立施工机械设备管理制度，开展用电、用油计量，完善设备档案，及时做好维修保养工作，使机械设备保持低耗、高效的状态。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选择功率与负载相匹配的施工机械设备，避免大功率施工机械设备低负载长时间运行。机电安装可采用节电型机械设备，如逆变式电焊机和能耗低、效率高的手持电动工具等。机械设备宜使用节能型油料添加剂，在可能的情况下，考虑回收利用，节约油量。</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（3）合理安排工序，提高各种机械的使用率和满载率，降低各种设备的单位耗能。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3、生产、生活及办公临时设施节能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（1）利用场地自然条件，合理设计生产、生活及办公临时设施的外形、朝向、间距和窗墙面积比，使其获得良好的日照、通风和采光，并可根据需要在其外墙窗设遮阳设施。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（2）临时设施宜采用节能材料，墙体、屋面使用隔热性能好的的材料，减少夏天空调的使用时间及耗能。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（3）合理配置空调、风扇数量，规定使用时间，实行分段分时使用，节约用电。</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4、施工用电及照明节能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（1）临时用电优先选用节能电线和节能灯具，临电线路合理设计、布置，临电设备宜采用自动控制装置。采用声控、光控等节能照明灯具。</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（2）照明设计以满足最低照度为原则，照度不超过最低照度的20％。</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6.3.7 加强能源管理，提高利用率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在设计时充分考虑能源管理要求，如对动力设备采用集中控制与</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分别控制相结合等方法、在公共地方中采用感应式照明开关和分别设置局部照明等措施，以达到节能目的。项目完成后，对用能岗位的相关操作人员进行深入的节能教育和节能技术培训；通过充分满足使用功能条件下的能源计量测定，建立科学实用的用能考核制度和节能制度，从人为管理的软件上，提高能源的利用效率。</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采用建筑物智能化管理系统，根据室内温度变化，自动、实时调控空调设备，使其保持在最佳工作状态，减少能耗，降低运行费用。智能化控制系统，同样能对照明系统，给排水系统等进行合理调控，实现按需服务和控制，达到最佳的节能目标。智能化程度应是相对先进和适度超前的。</w:t>
      </w:r>
    </w:p>
    <w:p>
      <w:pPr>
        <w:pStyle w:val="3"/>
        <w:rPr>
          <w:rFonts w:ascii="黑体" w:hAnsi="黑体" w:cs="Arial"/>
          <w:color w:val="000000"/>
        </w:rPr>
      </w:pPr>
      <w:bookmarkStart w:id="52" w:name="_Toc483131241"/>
      <w:bookmarkStart w:id="53" w:name="_Toc471465708"/>
      <w:r>
        <w:rPr>
          <w:rFonts w:hint="eastAsia" w:ascii="黑体" w:hAnsi="黑体" w:cs="Arial"/>
          <w:color w:val="000000"/>
        </w:rPr>
        <w:t>6.4 节水技术及节水措施</w:t>
      </w:r>
      <w:bookmarkEnd w:id="52"/>
      <w:bookmarkEnd w:id="53"/>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6.4.1 节水技术</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主要有新型节水设备，新型热水循环系统，超压出水的控制，污水，雨水收集应用，消防水池的设置新方法，新型水表及管理方法。</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给水管网利用</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减压节流</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生活与消防系统设置</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热水开水供应等方面采用节能新方法和新技术。使用高效节能水泵，让冷水机组冷却水经冷却塔充分循环使用，循环率</w:t>
      </w:r>
      <w:r>
        <w:rPr>
          <w:rFonts w:hint="eastAsia" w:ascii="仿宋_GB2312" w:hAnsi="宋体" w:eastAsia="仿宋_GB2312"/>
          <w:color w:val="000000"/>
          <w:sz w:val="32"/>
          <w:szCs w:val="32"/>
        </w:rPr>
        <w:t>&gt;98%，达到节约用水的目的。</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6.4.2 节水措施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节水措施主要是科学地节约用水量</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防止泄漏</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提高水的利用率。它们是相互联系、相互制约、相辅相成的，涉及到建筑和今后运营给水排水系统的各个环节，必须重</w:t>
      </w:r>
      <w:r>
        <w:rPr>
          <w:rFonts w:hint="eastAsia" w:ascii="仿宋_GB2312" w:hAnsi="宋体" w:eastAsia="仿宋_GB2312"/>
          <w:color w:val="000000"/>
          <w:sz w:val="32"/>
          <w:szCs w:val="32"/>
        </w:rPr>
        <w:t>视节水工作。</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1、推广使用节水型器具</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配水装置和卫生</w:t>
      </w:r>
      <w:r>
        <w:fldChar w:fldCharType="begin"/>
      </w:r>
      <w:r>
        <w:instrText xml:space="preserve"> HYPERLINK "http://g.tgnet.cn/GroupIndex.aspx?no=yhscd" \t "_blank" </w:instrText>
      </w:r>
      <w:r>
        <w:fldChar w:fldCharType="separate"/>
      </w:r>
      <w:r>
        <w:rPr>
          <w:rFonts w:hint="eastAsia" w:ascii="仿宋_GB2312" w:hAnsi="宋体" w:eastAsia="仿宋_GB2312"/>
          <w:color w:val="000000"/>
          <w:sz w:val="32"/>
          <w:szCs w:val="32"/>
        </w:rPr>
        <w:t>设备</w:t>
      </w:r>
      <w:r>
        <w:rPr>
          <w:rFonts w:hint="eastAsia" w:ascii="仿宋_GB2312" w:hAnsi="宋体" w:eastAsia="仿宋_GB2312"/>
          <w:color w:val="000000"/>
          <w:sz w:val="32"/>
          <w:szCs w:val="32"/>
        </w:rPr>
        <w:fldChar w:fldCharType="end"/>
      </w:r>
      <w:r>
        <w:rPr>
          <w:rFonts w:hint="eastAsia" w:ascii="仿宋_GB2312" w:hAnsi="宋体" w:eastAsia="仿宋_GB2312"/>
          <w:color w:val="000000"/>
          <w:sz w:val="32"/>
          <w:szCs w:val="32"/>
        </w:rPr>
        <w:t>，节约用水量，提高节水的成效，是实现节水的重要手段和途径。</w:t>
      </w:r>
    </w:p>
    <w:p>
      <w:pPr>
        <w:spacing w:beforeLines="50" w:afterLines="50" w:line="360" w:lineRule="auto"/>
        <w:ind w:firstLine="640" w:firstLineChars="200"/>
        <w:rPr>
          <w:rFonts w:ascii="仿宋_GB2312" w:hAnsi="Arial" w:eastAsia="仿宋_GB2312"/>
          <w:color w:val="000000"/>
          <w:sz w:val="32"/>
          <w:szCs w:val="32"/>
        </w:rPr>
        <w:sectPr>
          <w:pgSz w:w="11906" w:h="16838"/>
          <w:pgMar w:top="1440" w:right="1797" w:bottom="1440" w:left="1797" w:header="1160" w:footer="1180" w:gutter="0"/>
          <w:cols w:space="425" w:num="1"/>
          <w:docGrid w:type="linesAndChars" w:linePitch="312" w:charSpace="0"/>
        </w:sectPr>
      </w:pPr>
      <w:r>
        <w:rPr>
          <w:rFonts w:hint="eastAsia" w:ascii="仿宋_GB2312" w:hAnsi="宋体" w:eastAsia="仿宋_GB2312"/>
          <w:color w:val="000000"/>
          <w:sz w:val="32"/>
          <w:szCs w:val="32"/>
        </w:rPr>
        <w:t>2、合理设计配水点的水压来防止泄漏，超水压造成泄漏等会造成水量浪费，按现行的《建筑给水排水</w:t>
      </w:r>
      <w:r>
        <w:fldChar w:fldCharType="begin"/>
      </w:r>
      <w:r>
        <w:instrText xml:space="preserve"> HYPERLINK "http://job.tgnet.cn/Sub06.aspx" \t "_blank" </w:instrText>
      </w:r>
      <w:r>
        <w:fldChar w:fldCharType="separate"/>
      </w:r>
      <w:r>
        <w:rPr>
          <w:rFonts w:hint="eastAsia" w:ascii="仿宋_GB2312" w:hAnsi="宋体" w:eastAsia="仿宋_GB2312"/>
          <w:color w:val="000000"/>
          <w:sz w:val="32"/>
          <w:szCs w:val="32"/>
        </w:rPr>
        <w:t>设计</w:t>
      </w:r>
      <w:r>
        <w:rPr>
          <w:rFonts w:hint="eastAsia" w:ascii="仿宋_GB2312" w:hAnsi="宋体" w:eastAsia="仿宋_GB2312"/>
          <w:color w:val="000000"/>
          <w:sz w:val="32"/>
          <w:szCs w:val="32"/>
        </w:rPr>
        <w:fldChar w:fldCharType="end"/>
      </w:r>
      <w:r>
        <w:rPr>
          <w:rFonts w:hint="eastAsia" w:ascii="仿宋_GB2312" w:hAnsi="宋体" w:eastAsia="仿宋_GB2312"/>
          <w:color w:val="000000"/>
          <w:sz w:val="32"/>
          <w:szCs w:val="32"/>
        </w:rPr>
        <w:t>规范》GB50015-2003中对给水配件和支管的最大压力的限制性规定，对给水系统的压力作出限定。使用材料</w:t>
      </w:r>
      <w:r>
        <w:rPr>
          <w:rFonts w:hint="eastAsia" w:ascii="仿宋_GB2312" w:hAnsi="宋体" w:cs="宋体"/>
          <w:color w:val="000000"/>
          <w:sz w:val="32"/>
          <w:szCs w:val="32"/>
        </w:rPr>
        <w:t>﹑</w:t>
      </w:r>
      <w:r>
        <w:rPr>
          <w:rFonts w:hint="eastAsia" w:ascii="仿宋_GB2312" w:hAnsi="仿宋_GB2312" w:eastAsia="仿宋_GB2312" w:cs="仿宋_GB2312"/>
          <w:color w:val="000000"/>
          <w:sz w:val="32"/>
          <w:szCs w:val="32"/>
        </w:rPr>
        <w:t>加工质量过关的高质量节水卫生器具防止水泄漏。对管网加强管理及时监控和排除跑冒滴漏现象。</w:t>
      </w:r>
    </w:p>
    <w:p>
      <w:pPr>
        <w:pStyle w:val="2"/>
        <w:jc w:val="center"/>
        <w:rPr>
          <w:rFonts w:ascii="黑体" w:eastAsia="黑体"/>
          <w:color w:val="000000"/>
          <w:sz w:val="32"/>
          <w:szCs w:val="32"/>
        </w:rPr>
      </w:pPr>
      <w:bookmarkStart w:id="54" w:name="_Toc483131242"/>
      <w:r>
        <w:rPr>
          <w:rFonts w:hint="eastAsia" w:ascii="黑体" w:eastAsia="黑体"/>
          <w:color w:val="000000"/>
          <w:sz w:val="32"/>
          <w:szCs w:val="32"/>
        </w:rPr>
        <w:t>第七章  安全措施</w:t>
      </w:r>
      <w:bookmarkEnd w:id="54"/>
    </w:p>
    <w:p>
      <w:pPr>
        <w:pStyle w:val="3"/>
        <w:rPr>
          <w:rFonts w:ascii="黑体" w:hAnsi="黑体" w:cs="Arial"/>
          <w:color w:val="000000"/>
        </w:rPr>
      </w:pPr>
      <w:bookmarkStart w:id="55" w:name="_Toc399834601"/>
      <w:bookmarkStart w:id="56" w:name="_Toc471465719"/>
      <w:bookmarkStart w:id="57" w:name="_Toc483131243"/>
      <w:r>
        <w:rPr>
          <w:rFonts w:hint="eastAsia" w:ascii="黑体" w:hAnsi="黑体" w:cs="Arial"/>
          <w:color w:val="000000"/>
        </w:rPr>
        <w:t>7.1 劳动安全卫生</w:t>
      </w:r>
      <w:bookmarkEnd w:id="55"/>
      <w:bookmarkEnd w:id="56"/>
      <w:bookmarkEnd w:id="57"/>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7.1.1 设计原则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劳动安全及卫生必须惯彻“安全第一，预放为主”的方针，根据国家及地方相关劳动安全及卫生的规程、规范及标准，确定工程设计采用的劳动安全及卫生技术标准，执行劳动、安全、卫生工程与主体工程同时设计，同时施工，同时使用的原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2、工程项目及劳动场所的劳动安全卫生防护措施和有毒有害因素的浓度（强度），必须符合国家有关劳动安全卫生技术准和相关的设计卫生标准。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3、本设计将采取各项有效措施，严格执行相应的各标项规范，确保本工程的空气质量、环境噪声达到国家规定的标准。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4、因地制宜，选择技术成熟、性能可靠、经济实用的劳动安全及卫生措施工艺。新建项目的劳动卫生防护措施，必须与主体工程同时设计、同时施工、同时投产。</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5、建筑施工现场的运输道路、机械安装、供水、排水、供电系统、材料堆放、脚手架及食堂等临时设施，必须符合安全和劳动卫生的要求，最大限度减少劳动安全事故隐患，确保工程施工期间安全、文明施工。</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7.1.2 采用的标准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1、《建设项目（工程）劳动安全卫生监察规定》；</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2、《广东省公共场所治安管理条例》；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3、《突发公共卫生事件应急条例》；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4、《公共场所卫生管理条例》；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5、《广东省安全生产监督管理规定》；</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6、《广东省重、特大安全生产事故隐患监督管理暂行规定》；</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7、《广东省安全生产条例》；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8、《广东省劳动安全卫生条例》；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9、《生活饮用水卫生标准》(GB5749-2006)；</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10、《建筑设计防火规范》(GB50016-2006)；</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11、《采暖通风与空气调节设计规范》(GB50019-2003)；</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12、《建筑抗震设计规范》（GB 50011-2010）。</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7.1.3 主要危害因素及危害程度分析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1、施工期危害因素和危害程度分析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 旧建筑拆除工程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在旧建筑拆除施工期间，现场管理或操作不当而造成人身伤亡，机具事故。</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 建筑工程(含设备安装)</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电气设备过载，泄漏，导致设备损坏，起火、触电，造成对人身生命的伤亡，以及污染的危害；机械设备失检、失灵，导致机具控制失灵，吊件坠落，塔架倒坍等机毁人亡；易燃易爆物品储存混装、过量，监守不严，引致失落导致火灾、爆炸造成违反治安条例及可能造成设备损坏，人身伤亡；施工作业带边界不清、无栏栅挡板、保安灯、闪光灯等，造成车辆通行、非施工人员进入现场，影响施工现场混乱遭受破坏；施工机械噪声、震动过大，引起妨碍对话、音响信号联络、从而会妨碍作业安全、还会使作业人员造成不适感及耳聋；建筑材料含有毒、放射元素、有害气体挥发，导致人身中毒、潜伏导致职业病。</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2、运营期危害因素和危害程度分析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 运营期间危及劳动安全因素</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火灾、电气设备过载及供电设备故障；排水系统不完善，建筑结构地震设计烈度设防未满足要求；地面材料不防滑或防滑效果不明显存在安全事故隐患；应采取适当的防范和控制措施，避免人员伤亡事故发生；排水管在长期运行中会产生沉淀物，沉淀物发酵产生有害气体，由于排水管通风不畅，容易造成养护人员的伤害，酸碱性等危险品，如不妥善管理或使用不当，容易造成对人员的伤害；水泵是主要的噪音源，操作工人长时间无保护地在噪音环境中工作会造成听力受损。</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 运营期间影响卫生因素</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排水系统设施不完善，污水乱排以及垃圾处理设施不完备影响周边环境卫生等问题。</w:t>
      </w:r>
    </w:p>
    <w:p>
      <w:pPr>
        <w:spacing w:beforeLines="50" w:afterLines="50" w:line="540" w:lineRule="exact"/>
        <w:outlineLvl w:val="2"/>
        <w:rPr>
          <w:rFonts w:ascii="黑体" w:hAnsi="黑体" w:eastAsia="黑体" w:cs="Arial"/>
          <w:b/>
          <w:color w:val="000000"/>
          <w:sz w:val="32"/>
          <w:szCs w:val="32"/>
        </w:rPr>
      </w:pPr>
      <w:r>
        <w:rPr>
          <w:rFonts w:hint="eastAsia" w:ascii="黑体" w:hAnsi="黑体" w:eastAsia="黑体" w:cs="Arial"/>
          <w:b/>
          <w:color w:val="000000"/>
          <w:sz w:val="32"/>
          <w:szCs w:val="32"/>
        </w:rPr>
        <w:t>7.1.4 安全与卫生措施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1、安全措施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A 施工期安全措施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1）根据《建筑设计防火规范》对本项目各项具体工程在设计时配备必要的消防设施，定期对消防设施进行养护，对操作人员进行培训和演练；</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2）建筑物应同时要满足防火、通风、采光、日照等距离要求，建筑通道处设置足够的照度，并设安全疏散指示灯；</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3）建筑平面均考虑无障碍设计，为用户提供使用安全；建筑材料、保温材料等均采用不燃材料。</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4）设计中采用低噪声的先进的设备或采用隔震垫，减小震动，降低噪音；</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5）工程施工期间，应遵守市政建设的规定，实施屏蔽封闭施工，以防非施工人员和车辆闯入，造成伤亡事故；施工人员应持证上岗，做到各负其责，各施其职，严禁无证上岗操作。</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施工期和营运期各类机械作业，均应按照有关规定、规程和标准采取安全防护措施，并加强机械设备维护和检修，杜绝设备因失检、失灵而带病运行；种类电器设备应有警示标志，以防设备过载或泄漏时因设备损坏、燃烧、漏电等产生人员伤亡事故。</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B 运营期安全措施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1）应对自然因素的影响，如炎热的夏季、台风频繁的秋季，相对应的做好防暑降温措施及各项危险牌示标志、信号装置、防护装置、保险装置等防范措施。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2）加强电气设备的日常检查和维护，使设备保持良好运行状态。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3）机电设备的选型、安装施工、验收必须严格按照有关规范进行。大型设备要经过统一的资格考核，并取得相应的上岗合格证书。</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4）电气安全用具要合格，做好漏触电防护措施，安装触电保护器。电力配电线路采用三相五线制，用电设备全部装有接零系统，移动电器需加漏电保护器。</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5）根据《民用建筑隔声设计规范》，对操作高噪声、振动设备的工作人员应配备隔音耳塞并对设备采取加减震垫等，以保证操作人员的身体安全。</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6）为了排除安全隐患，保障人身安全，在加强日常照明设备的检查维修的同时，特别应对施工和运营期间加强安全防护措施及操作规范指导。具体要求如下：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加强领导，落实责任，建立责任追究制度，签订安全责任书。施工安全工程的第一宗旨是安全，工程施工的各个环节都要重视安全工作，认真落实安全管理责任制，切实加强对施工安全的领导。要督促工程项目的建设、勘察、设计、施工、监理等单位建立完善以法定代表人为核心的安全生产责任制，切实落实安全生产主体责任。要从选择有资质的施工队伍入手，强化安全施工意识。建立校舍安全工程施工安全责任追究制度，通过与施工、监理企业签订“施工安全责任书”，明确各方在施工安全方面应承担的责任，并相互监督检查。</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（2）封闭性施工，从源头上防止安全事故的发生。本项目地形较狭窄，紧邻道路，给路过车辆及行人带来一定的安全隐患。    </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（3）树立警示牌，提醒行人远离危险。  </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2、卫生措施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1）供水系统设计严格执行《生活饮用水卫生标准》。给水管材宜采用薄壁不锈钢管，避免管道锈蚀而污染水质。排水系统雨水、污水、废水分流。</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2）工程施工弃渣土应引起高度重视，要严格按照汕头市政府所颁布的各项管理条例实施预防，避免由于管理不严，产生水土流失和扬尘污染环境。</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3）施工期间所产生的污水，应通过市政管理部门指定的排放方式排向污水系统，排出前应作沉淀及分离处理。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4）施工期所产生的废气，应控制在市环保部门规定的排放标准，严禁超标排放造成污染。</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对产生的有害气体、粉尘、油烟及废热等场所，应根据有害物质的特点、性质、数量和危害程度，考虑采取有效的消烟除尘和通风措施，配置必要的除尘、净化或回收装置，以保证施工场所及其周围环境空气达到国家环保、劳动卫生及能源部门等有关法规、规定的标准。</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6）根据《民用建筑隔声设计规范》,对操作高噪声、振动设备的工作人员，应配备隔音耳塞并对设备采取加减振垫等，以保证工作人员身体健康。</w:t>
      </w:r>
    </w:p>
    <w:p>
      <w:pPr>
        <w:pStyle w:val="3"/>
        <w:rPr>
          <w:rFonts w:ascii="黑体" w:hAnsi="黑体" w:cs="Arial"/>
          <w:color w:val="000000"/>
        </w:rPr>
      </w:pPr>
      <w:bookmarkStart w:id="58" w:name="_Toc399834602"/>
      <w:bookmarkStart w:id="59" w:name="_Toc471465720"/>
      <w:bookmarkStart w:id="60" w:name="_Toc483131244"/>
      <w:r>
        <w:rPr>
          <w:rFonts w:hint="eastAsia" w:ascii="黑体" w:hAnsi="黑体" w:cs="Arial"/>
          <w:color w:val="000000"/>
        </w:rPr>
        <w:t>7.2 消防设施</w:t>
      </w:r>
      <w:bookmarkEnd w:id="58"/>
      <w:bookmarkEnd w:id="59"/>
      <w:bookmarkEnd w:id="60"/>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本项目应根据《建筑防火设计规范》（GB50016-2014）和“以防为主，防消结合”的方针，进行有关的消防规划。根据建筑特点及火灾种类，均配置适量的手提式灭火器，以扑救初始火灾。</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项目的建设和使用过程根据《中华人民共和国消防法》和广东省实施《中华人民共和国消防法》办法等国家和广东省有关消防及管理的法律法规执行。</w:t>
      </w:r>
    </w:p>
    <w:p>
      <w:pPr>
        <w:pStyle w:val="2"/>
        <w:spacing w:beforeLines="50" w:afterLines="50" w:line="360" w:lineRule="auto"/>
        <w:jc w:val="center"/>
        <w:rPr>
          <w:rFonts w:ascii="黑体" w:eastAsia="黑体"/>
          <w:color w:val="000000"/>
          <w:sz w:val="32"/>
          <w:szCs w:val="32"/>
        </w:rPr>
        <w:sectPr>
          <w:headerReference r:id="rId9" w:type="first"/>
          <w:footerReference r:id="rId10" w:type="even"/>
          <w:pgSz w:w="11906" w:h="16838"/>
          <w:pgMar w:top="1440" w:right="1800" w:bottom="1440" w:left="1800" w:header="851" w:footer="840" w:gutter="0"/>
          <w:cols w:space="425" w:num="1"/>
          <w:docGrid w:type="lines" w:linePitch="312" w:charSpace="0"/>
        </w:sectPr>
      </w:pPr>
    </w:p>
    <w:p>
      <w:pPr>
        <w:pStyle w:val="2"/>
        <w:jc w:val="center"/>
        <w:rPr>
          <w:rFonts w:ascii="黑体" w:eastAsia="黑体"/>
          <w:color w:val="000000"/>
          <w:sz w:val="32"/>
          <w:szCs w:val="32"/>
        </w:rPr>
      </w:pPr>
      <w:bookmarkStart w:id="61" w:name="_Toc464510828"/>
      <w:bookmarkStart w:id="62" w:name="_Toc415647888"/>
      <w:bookmarkStart w:id="63" w:name="_Toc483131245"/>
      <w:r>
        <w:rPr>
          <w:rFonts w:hint="eastAsia" w:ascii="黑体" w:eastAsia="黑体"/>
          <w:color w:val="000000"/>
          <w:sz w:val="32"/>
          <w:szCs w:val="32"/>
        </w:rPr>
        <w:t>第八章 项目组织机构和管理</w:t>
      </w:r>
      <w:bookmarkEnd w:id="61"/>
      <w:bookmarkEnd w:id="62"/>
      <w:bookmarkEnd w:id="63"/>
    </w:p>
    <w:p>
      <w:pPr>
        <w:pStyle w:val="3"/>
        <w:rPr>
          <w:rFonts w:cs="Arial"/>
          <w:color w:val="000000"/>
        </w:rPr>
      </w:pPr>
      <w:bookmarkStart w:id="64" w:name="_Toc483131246"/>
      <w:bookmarkStart w:id="65" w:name="_Toc369878304"/>
      <w:bookmarkStart w:id="66" w:name="_Toc415647889"/>
      <w:bookmarkStart w:id="67" w:name="_Toc464510829"/>
      <w:r>
        <w:rPr>
          <w:rFonts w:hint="eastAsia" w:cs="Arial"/>
          <w:color w:val="000000"/>
        </w:rPr>
        <w:t>8.1 组织机构</w:t>
      </w:r>
      <w:bookmarkEnd w:id="64"/>
      <w:bookmarkEnd w:id="65"/>
      <w:bookmarkEnd w:id="66"/>
      <w:bookmarkEnd w:id="67"/>
    </w:p>
    <w:p>
      <w:pPr>
        <w:spacing w:beforeLines="50" w:afterLines="50" w:line="360" w:lineRule="auto"/>
        <w:ind w:firstLine="640" w:firstLineChars="200"/>
        <w:rPr>
          <w:rFonts w:ascii="仿宋_GB2312" w:eastAsia="仿宋_GB2312"/>
          <w:color w:val="000000"/>
          <w:sz w:val="32"/>
          <w:szCs w:val="32"/>
        </w:rPr>
      </w:pPr>
      <w:r>
        <w:rPr>
          <w:rFonts w:hint="eastAsia" w:ascii="仿宋_GB2312" w:hAnsi="宋体" w:eastAsia="仿宋_GB2312"/>
          <w:color w:val="000000"/>
          <w:sz w:val="32"/>
          <w:szCs w:val="32"/>
        </w:rPr>
        <w:t>大华路景观美化工程项目</w:t>
      </w:r>
      <w:r>
        <w:rPr>
          <w:rFonts w:hint="eastAsia" w:ascii="仿宋_GB2312" w:eastAsia="仿宋_GB2312"/>
          <w:color w:val="000000"/>
          <w:sz w:val="32"/>
          <w:szCs w:val="32"/>
        </w:rPr>
        <w:t>由汕头市金平区住房和城乡建设局业主，负责组织管理项目的统筹工作，并采用自管方式进行项目的具体实施。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建设过程管理将以政府技术及管理部门为依托，按规划部门批准的规划方案落实整个项目建设过程(包含项目前期规划、筹备；项目报批、报建；项目设计、监理、施工等招投标；项目资金财政评审；施工组织、落实、管理；竣工验收等一系列项目实施的具体工作)。建设期组织架构见图8-1。</w:t>
      </w:r>
    </w:p>
    <w:p>
      <w:pPr>
        <w:spacing w:line="360" w:lineRule="auto"/>
        <w:ind w:left="-567" w:leftChars="-270" w:firstLine="560" w:firstLineChars="200"/>
        <w:rPr>
          <w:rFonts w:ascii="仿宋_GB2312" w:hAnsi="宋体" w:eastAsia="仿宋_GB2312"/>
          <w:color w:val="000000"/>
          <w:sz w:val="28"/>
          <w:szCs w:val="28"/>
        </w:rPr>
      </w:pPr>
      <w:r>
        <w:rPr>
          <w:rFonts w:ascii="仿宋_GB2312" w:hAnsi="宋体" w:eastAsia="仿宋_GB2312"/>
          <w:i/>
          <w:color w:val="000000"/>
          <w:sz w:val="28"/>
          <w:szCs w:val="28"/>
        </w:rPr>
        <w:drawing>
          <wp:inline distT="0" distB="0" distL="0" distR="0">
            <wp:extent cx="5428615" cy="1971040"/>
            <wp:effectExtent l="38100" t="0" r="57785" b="0"/>
            <wp:docPr id="177" name="组织结构图 1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pPr>
        <w:pStyle w:val="3"/>
        <w:rPr>
          <w:rFonts w:cs="Arial"/>
          <w:color w:val="000000"/>
        </w:rPr>
      </w:pPr>
      <w:bookmarkStart w:id="68" w:name="_Toc369878305"/>
      <w:bookmarkStart w:id="69" w:name="_Toc483131247"/>
      <w:bookmarkStart w:id="70" w:name="_Toc464510830"/>
      <w:bookmarkStart w:id="71" w:name="_Toc415647890"/>
      <w:r>
        <w:rPr>
          <w:rFonts w:hint="eastAsia" w:cs="Arial"/>
          <w:color w:val="000000"/>
        </w:rPr>
        <w:t>8.2 人力资源配置</w:t>
      </w:r>
      <w:bookmarkEnd w:id="68"/>
      <w:bookmarkEnd w:id="69"/>
      <w:bookmarkEnd w:id="70"/>
      <w:bookmarkEnd w:id="71"/>
    </w:p>
    <w:p>
      <w:pPr>
        <w:spacing w:beforeLines="50" w:afterLines="50" w:line="360" w:lineRule="auto"/>
        <w:ind w:firstLine="640" w:firstLineChars="200"/>
        <w:rPr>
          <w:rFonts w:ascii="仿宋_GB2312" w:eastAsia="仿宋_GB2312"/>
          <w:color w:val="000000"/>
          <w:sz w:val="32"/>
          <w:szCs w:val="32"/>
        </w:rPr>
      </w:pPr>
      <w:r>
        <w:rPr>
          <w:rFonts w:hint="eastAsia" w:ascii="仿宋_GB2312" w:hAnsi="宋体" w:eastAsia="仿宋_GB2312"/>
          <w:color w:val="000000"/>
          <w:sz w:val="32"/>
          <w:szCs w:val="32"/>
        </w:rPr>
        <w:t>本项目建成后，由汕头市金平区住房和城乡建设局交付其他政府行政机构进行管理，故本报告中不对后续运营的人员定额进行配置。</w:t>
      </w:r>
    </w:p>
    <w:p>
      <w:pPr>
        <w:spacing w:beforeLines="50" w:afterLines="50" w:line="360" w:lineRule="auto"/>
        <w:rPr>
          <w:color w:val="000000"/>
        </w:rPr>
        <w:sectPr>
          <w:pgSz w:w="11906" w:h="16838"/>
          <w:pgMar w:top="1440" w:right="1800" w:bottom="1440" w:left="1800" w:header="851" w:footer="840" w:gutter="0"/>
          <w:cols w:space="425" w:num="1"/>
          <w:docGrid w:type="lines" w:linePitch="312" w:charSpace="0"/>
        </w:sectPr>
      </w:pPr>
    </w:p>
    <w:p>
      <w:pPr>
        <w:pStyle w:val="2"/>
        <w:jc w:val="center"/>
        <w:rPr>
          <w:rFonts w:ascii="黑体" w:eastAsia="黑体"/>
          <w:color w:val="000000"/>
          <w:sz w:val="32"/>
          <w:szCs w:val="32"/>
        </w:rPr>
      </w:pPr>
      <w:bookmarkStart w:id="72" w:name="_Toc483131248"/>
      <w:r>
        <w:rPr>
          <w:rFonts w:hint="eastAsia" w:ascii="黑体" w:eastAsia="黑体"/>
          <w:color w:val="000000"/>
          <w:sz w:val="32"/>
          <w:szCs w:val="32"/>
        </w:rPr>
        <w:t>第九章  建设进度计划与招投标</w:t>
      </w:r>
      <w:bookmarkEnd w:id="72"/>
    </w:p>
    <w:p>
      <w:pPr>
        <w:pStyle w:val="3"/>
        <w:rPr>
          <w:rFonts w:cs="Arial"/>
          <w:color w:val="000000"/>
        </w:rPr>
      </w:pPr>
      <w:bookmarkStart w:id="73" w:name="_Toc483131249"/>
      <w:r>
        <w:rPr>
          <w:rFonts w:hint="eastAsia" w:cs="Arial"/>
          <w:color w:val="000000"/>
        </w:rPr>
        <w:t>9.1 建设进度</w:t>
      </w:r>
      <w:bookmarkEnd w:id="73"/>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鉴于项目的实际需求，根据项目的建设规模与建设难度，项目实施的总跨度为12个月。为使各方工作能顺利进行，项目建设的各个期间把握好进度节奏，使建设项目高质量高效率完成。</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考虑到实际情况，项目拟分期实施，工程建设工期为12月，从2017年5月至2018年4月。</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 xml:space="preserve">1、2017年5月至2017年6月初完成项目前期工作，包括环境评价报告、可行性研究报告的编制与审批等； </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2、2017年5月下旬至2017年6月中旬完成招投标工作；</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3、2017年6月中下旬至2017年7月中旬进行勘察设计工作；</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4、2017年6月下旬至2017年8月完成开工前准备；</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5、2017年9月至2018年3月进行项目土建施工；</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 xml:space="preserve">6、2018年4月进行竣工验收。 </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建设进度计划详见下表9-1。</w:t>
      </w:r>
    </w:p>
    <w:p>
      <w:pPr>
        <w:ind w:firstLine="640" w:firstLineChars="200"/>
        <w:rPr>
          <w:rFonts w:ascii="仿宋_GB2312" w:hAnsi="Arial" w:eastAsia="仿宋_GB2312"/>
          <w:color w:val="000000"/>
          <w:sz w:val="32"/>
          <w:szCs w:val="32"/>
        </w:rPr>
        <w:sectPr>
          <w:pgSz w:w="11906" w:h="16838"/>
          <w:pgMar w:top="1440" w:right="1800" w:bottom="1440" w:left="1800" w:header="851" w:footer="840" w:gutter="0"/>
          <w:cols w:space="425" w:num="1"/>
          <w:docGrid w:type="lines" w:linePitch="312" w:charSpace="0"/>
        </w:sectPr>
      </w:pPr>
    </w:p>
    <w:p>
      <w:pPr>
        <w:spacing w:beforeLines="50" w:afterLines="50" w:line="540" w:lineRule="exact"/>
        <w:ind w:firstLine="562" w:firstLineChars="200"/>
        <w:jc w:val="center"/>
        <w:rPr>
          <w:rFonts w:ascii="黑体" w:hAnsi="Arial" w:eastAsia="黑体"/>
          <w:b/>
          <w:color w:val="000000"/>
          <w:sz w:val="28"/>
          <w:szCs w:val="28"/>
        </w:rPr>
      </w:pPr>
      <w:r>
        <w:rPr>
          <w:rFonts w:hint="eastAsia" w:ascii="黑体" w:hAnsi="Arial" w:eastAsia="黑体"/>
          <w:b/>
          <w:color w:val="000000"/>
          <w:sz w:val="28"/>
          <w:szCs w:val="28"/>
        </w:rPr>
        <w:t>建设进度计划表</w:t>
      </w:r>
    </w:p>
    <w:p>
      <w:pPr>
        <w:spacing w:beforeLines="50" w:afterLines="50" w:line="540" w:lineRule="exact"/>
        <w:ind w:firstLine="480" w:firstLineChars="200"/>
        <w:rPr>
          <w:rFonts w:ascii="仿宋_GB2312" w:hAnsi="Arial" w:eastAsia="仿宋_GB2312"/>
          <w:color w:val="000000"/>
          <w:sz w:val="24"/>
        </w:rPr>
      </w:pPr>
      <w:r>
        <w:rPr>
          <w:rFonts w:hint="eastAsia" w:ascii="仿宋_GB2312" w:hAnsi="Arial" w:eastAsia="仿宋_GB2312"/>
          <w:color w:val="000000"/>
          <w:sz w:val="24"/>
        </w:rPr>
        <w:t>表9-1</w:t>
      </w:r>
    </w:p>
    <w:tbl>
      <w:tblPr>
        <w:tblStyle w:val="31"/>
        <w:tblW w:w="13627" w:type="dxa"/>
        <w:jc w:val="center"/>
        <w:tblInd w:w="71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3251"/>
        <w:gridCol w:w="792"/>
        <w:gridCol w:w="793"/>
        <w:gridCol w:w="793"/>
        <w:gridCol w:w="793"/>
        <w:gridCol w:w="794"/>
        <w:gridCol w:w="794"/>
        <w:gridCol w:w="794"/>
        <w:gridCol w:w="794"/>
        <w:gridCol w:w="794"/>
        <w:gridCol w:w="794"/>
        <w:gridCol w:w="794"/>
        <w:gridCol w:w="79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49" w:type="dxa"/>
            <w:vMerge w:val="restart"/>
            <w:vAlign w:val="center"/>
          </w:tcPr>
          <w:p>
            <w:pPr>
              <w:widowControl/>
              <w:jc w:val="left"/>
              <w:rPr>
                <w:rFonts w:ascii="宋体" w:hAnsi="宋体" w:cs="宋体"/>
                <w:color w:val="000000"/>
                <w:kern w:val="0"/>
                <w:sz w:val="24"/>
              </w:rPr>
            </w:pPr>
            <w:r>
              <w:rPr>
                <w:rFonts w:hint="eastAsia" w:ascii="宋体" w:hAnsi="宋体" w:cs="宋体"/>
                <w:color w:val="000000"/>
                <w:kern w:val="0"/>
                <w:sz w:val="24"/>
              </w:rPr>
              <w:t>序号</w:t>
            </w:r>
          </w:p>
        </w:tc>
        <w:tc>
          <w:tcPr>
            <w:tcW w:w="3251" w:type="dxa"/>
            <w:vMerge w:val="restart"/>
            <w:vAlign w:val="center"/>
          </w:tcPr>
          <w:p>
            <w:pPr>
              <w:widowControl/>
              <w:jc w:val="center"/>
              <w:rPr>
                <w:rFonts w:ascii="宋体" w:hAnsi="宋体" w:cs="宋体"/>
                <w:color w:val="000000"/>
                <w:kern w:val="0"/>
                <w:sz w:val="24"/>
              </w:rPr>
            </w:pPr>
            <w:r>
              <w:rPr>
                <w:rFonts w:hint="eastAsia" w:ascii="宋体" w:hAnsi="宋体" w:cs="宋体"/>
                <w:color w:val="000000"/>
                <w:kern w:val="0"/>
                <w:sz w:val="24"/>
              </w:rPr>
              <w:t>项目名称</w:t>
            </w:r>
          </w:p>
        </w:tc>
        <w:tc>
          <w:tcPr>
            <w:tcW w:w="6347" w:type="dxa"/>
            <w:gridSpan w:val="8"/>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2017</w:t>
            </w:r>
          </w:p>
        </w:tc>
        <w:tc>
          <w:tcPr>
            <w:tcW w:w="3180" w:type="dxa"/>
            <w:gridSpan w:val="4"/>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2018</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3" w:hRule="atLeast"/>
          <w:jc w:val="center"/>
        </w:trPr>
        <w:tc>
          <w:tcPr>
            <w:tcW w:w="849" w:type="dxa"/>
            <w:vMerge w:val="continue"/>
            <w:vAlign w:val="center"/>
          </w:tcPr>
          <w:p>
            <w:pPr>
              <w:widowControl/>
              <w:jc w:val="center"/>
              <w:rPr>
                <w:rFonts w:ascii="宋体" w:hAnsi="宋体" w:cs="宋体"/>
                <w:color w:val="000000"/>
                <w:kern w:val="0"/>
                <w:sz w:val="24"/>
              </w:rPr>
            </w:pPr>
          </w:p>
        </w:tc>
        <w:tc>
          <w:tcPr>
            <w:tcW w:w="3251" w:type="dxa"/>
            <w:vMerge w:val="continue"/>
            <w:vAlign w:val="center"/>
          </w:tcPr>
          <w:p>
            <w:pPr>
              <w:widowControl/>
              <w:jc w:val="center"/>
              <w:rPr>
                <w:rFonts w:ascii="宋体" w:hAnsi="宋体" w:cs="宋体"/>
                <w:color w:val="000000"/>
                <w:kern w:val="0"/>
                <w:sz w:val="24"/>
              </w:rPr>
            </w:pPr>
          </w:p>
        </w:tc>
        <w:tc>
          <w:tcPr>
            <w:tcW w:w="792"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5</w:t>
            </w:r>
          </w:p>
        </w:tc>
        <w:tc>
          <w:tcPr>
            <w:tcW w:w="793"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6</w:t>
            </w:r>
          </w:p>
        </w:tc>
        <w:tc>
          <w:tcPr>
            <w:tcW w:w="793"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7</w:t>
            </w:r>
          </w:p>
        </w:tc>
        <w:tc>
          <w:tcPr>
            <w:tcW w:w="793"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8</w:t>
            </w:r>
          </w:p>
        </w:tc>
        <w:tc>
          <w:tcPr>
            <w:tcW w:w="79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9</w:t>
            </w:r>
          </w:p>
        </w:tc>
        <w:tc>
          <w:tcPr>
            <w:tcW w:w="79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10</w:t>
            </w:r>
          </w:p>
        </w:tc>
        <w:tc>
          <w:tcPr>
            <w:tcW w:w="79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11</w:t>
            </w:r>
          </w:p>
        </w:tc>
        <w:tc>
          <w:tcPr>
            <w:tcW w:w="79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12</w:t>
            </w:r>
          </w:p>
        </w:tc>
        <w:tc>
          <w:tcPr>
            <w:tcW w:w="79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1</w:t>
            </w:r>
          </w:p>
        </w:tc>
        <w:tc>
          <w:tcPr>
            <w:tcW w:w="79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2</w:t>
            </w:r>
          </w:p>
        </w:tc>
        <w:tc>
          <w:tcPr>
            <w:tcW w:w="794" w:type="dxa"/>
          </w:tcPr>
          <w:p>
            <w:pPr>
              <w:widowControl/>
              <w:jc w:val="center"/>
              <w:rPr>
                <w:rFonts w:ascii="宋体" w:hAnsi="宋体" w:cs="宋体"/>
                <w:b/>
                <w:color w:val="000000"/>
                <w:kern w:val="0"/>
                <w:sz w:val="24"/>
              </w:rPr>
            </w:pPr>
            <w:r>
              <w:rPr>
                <w:rFonts w:hint="eastAsia" w:ascii="宋体" w:hAnsi="宋体" w:cs="宋体"/>
                <w:b/>
                <w:color w:val="000000"/>
                <w:kern w:val="0"/>
                <w:sz w:val="24"/>
              </w:rPr>
              <w:t>3</w:t>
            </w:r>
          </w:p>
        </w:tc>
        <w:tc>
          <w:tcPr>
            <w:tcW w:w="798" w:type="dxa"/>
          </w:tcPr>
          <w:p>
            <w:pPr>
              <w:widowControl/>
              <w:jc w:val="center"/>
              <w:rPr>
                <w:rFonts w:ascii="宋体" w:hAnsi="宋体" w:cs="宋体"/>
                <w:b/>
                <w:color w:val="000000"/>
                <w:kern w:val="0"/>
                <w:sz w:val="24"/>
              </w:rPr>
            </w:pPr>
            <w:r>
              <w:rPr>
                <w:rFonts w:hint="eastAsia" w:ascii="宋体" w:hAnsi="宋体" w:cs="宋体"/>
                <w:b/>
                <w:color w:val="000000"/>
                <w:kern w:val="0"/>
                <w:sz w:val="24"/>
              </w:rPr>
              <w:t>4</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84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3251"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前期工作阶段</w:t>
            </w:r>
          </w:p>
        </w:tc>
        <w:tc>
          <w:tcPr>
            <w:tcW w:w="792" w:type="dxa"/>
            <w:vAlign w:val="center"/>
          </w:tcPr>
          <w:p>
            <w:pPr>
              <w:widowControl/>
              <w:jc w:val="center"/>
              <w:rPr>
                <w:rFonts w:ascii="宋体" w:hAnsi="宋体" w:cs="宋体"/>
                <w:color w:val="000000"/>
                <w:kern w:val="0"/>
                <w:sz w:val="24"/>
              </w:rPr>
            </w:pPr>
            <w:r>
              <w:rPr>
                <w:rFonts w:ascii="宋体" w:hAnsi="宋体" w:cs="宋体"/>
                <w:color w:val="000000"/>
                <w:kern w:val="0"/>
                <w:sz w:val="24"/>
              </w:rPr>
              <mc:AlternateContent>
                <mc:Choice Requires="wps">
                  <w:drawing>
                    <wp:anchor distT="0" distB="0" distL="114300" distR="114300" simplePos="0" relativeHeight="251678720" behindDoc="0" locked="0" layoutInCell="1" allowOverlap="1">
                      <wp:simplePos x="0" y="0"/>
                      <wp:positionH relativeFrom="column">
                        <wp:posOffset>1270</wp:posOffset>
                      </wp:positionH>
                      <wp:positionV relativeFrom="paragraph">
                        <wp:posOffset>117475</wp:posOffset>
                      </wp:positionV>
                      <wp:extent cx="476250" cy="9525"/>
                      <wp:effectExtent l="635" t="19050" r="18415" b="28575"/>
                      <wp:wrapNone/>
                      <wp:docPr id="7" name="自选图形 163"/>
                      <wp:cNvGraphicFramePr/>
                      <a:graphic xmlns:a="http://schemas.openxmlformats.org/drawingml/2006/main">
                        <a:graphicData uri="http://schemas.microsoft.com/office/word/2010/wordprocessingShape">
                          <wps:wsp>
                            <wps:cNvCnPr/>
                            <wps:spPr>
                              <a:xfrm>
                                <a:off x="0" y="0"/>
                                <a:ext cx="476250" cy="9525"/>
                              </a:xfrm>
                              <a:prstGeom prst="straightConnector1">
                                <a:avLst/>
                              </a:prstGeom>
                              <a:ln w="38100" cap="flat" cmpd="sng">
                                <a:solidFill>
                                  <a:srgbClr val="000000"/>
                                </a:solidFill>
                                <a:prstDash val="solid"/>
                                <a:headEnd type="none" w="med" len="med"/>
                                <a:tailEnd type="none" w="med" len="med"/>
                              </a:ln>
                            </wps:spPr>
                            <wps:bodyPr/>
                          </wps:wsp>
                        </a:graphicData>
                      </a:graphic>
                    </wp:anchor>
                  </w:drawing>
                </mc:Choice>
                <mc:Fallback>
                  <w:pict>
                    <v:shape id="自选图形 163" o:spid="_x0000_s1026" o:spt="32" type="#_x0000_t32" style="position:absolute;left:0pt;margin-left:0.1pt;margin-top:9.25pt;height:0.75pt;width:37.5pt;z-index:251678720;mso-width-relative:page;mso-height-relative:page;" filled="f" stroked="t" coordsize="21600,21600" o:gfxdata="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8GIHB0AAAAAUBAAAPAAAAAAAAAAEA&#10;IAAAACIAAABkcnMvZG93bnJldi54bWxQSwECFAAUAAAACACHTuJAg+iakN4BAACaAwAADgAAAAAA&#10;AAABACAAAAAfAQAAZHJzL2Uyb0RvYy54bWxQSwUGAAAAAAYABgBZAQAAbwUAAAAA&#10;">
                      <v:fill on="f" focussize="0,0"/>
                      <v:stroke weight="3pt" color="#000000" joinstyle="round"/>
                      <v:imagedata o:title=""/>
                      <o:lock v:ext="edit" aspectratio="f"/>
                    </v:shape>
                  </w:pict>
                </mc:Fallback>
              </mc:AlternateContent>
            </w: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tcPr>
          <w:p>
            <w:pPr>
              <w:widowControl/>
              <w:jc w:val="center"/>
              <w:rPr>
                <w:rFonts w:ascii="宋体" w:hAnsi="宋体" w:cs="宋体"/>
                <w:color w:val="000000"/>
                <w:kern w:val="0"/>
                <w:sz w:val="24"/>
              </w:rPr>
            </w:pPr>
          </w:p>
        </w:tc>
        <w:tc>
          <w:tcPr>
            <w:tcW w:w="798" w:type="dxa"/>
          </w:tcPr>
          <w:p>
            <w:pPr>
              <w:widowControl/>
              <w:jc w:val="center"/>
              <w:rPr>
                <w:rFonts w:ascii="宋体" w:hAnsi="宋体" w:cs="宋体"/>
                <w:color w:val="000000"/>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84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3251"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招标投标阶段</w:t>
            </w:r>
          </w:p>
        </w:tc>
        <w:tc>
          <w:tcPr>
            <w:tcW w:w="792" w:type="dxa"/>
            <w:vAlign w:val="center"/>
          </w:tcPr>
          <w:p>
            <w:pPr>
              <w:widowControl/>
              <w:jc w:val="center"/>
              <w:rPr>
                <w:rFonts w:ascii="宋体" w:hAnsi="宋体" w:cs="宋体"/>
                <w:color w:val="000000"/>
                <w:kern w:val="0"/>
                <w:sz w:val="24"/>
              </w:rPr>
            </w:pPr>
            <w:r>
              <w:rPr>
                <w:rFonts w:ascii="宋体" w:hAnsi="宋体" w:cs="宋体"/>
                <w:color w:val="000000"/>
                <w:kern w:val="0"/>
                <w:sz w:val="24"/>
              </w:rPr>
              <mc:AlternateContent>
                <mc:Choice Requires="wps">
                  <w:drawing>
                    <wp:anchor distT="0" distB="0" distL="114300" distR="114300" simplePos="0" relativeHeight="251689984" behindDoc="0" locked="0" layoutInCell="1" allowOverlap="1">
                      <wp:simplePos x="0" y="0"/>
                      <wp:positionH relativeFrom="column">
                        <wp:posOffset>274320</wp:posOffset>
                      </wp:positionH>
                      <wp:positionV relativeFrom="paragraph">
                        <wp:posOffset>111760</wp:posOffset>
                      </wp:positionV>
                      <wp:extent cx="431800" cy="0"/>
                      <wp:effectExtent l="0" t="0" r="0" b="0"/>
                      <wp:wrapNone/>
                      <wp:docPr id="12" name="自选图形 173"/>
                      <wp:cNvGraphicFramePr/>
                      <a:graphic xmlns:a="http://schemas.openxmlformats.org/drawingml/2006/main">
                        <a:graphicData uri="http://schemas.microsoft.com/office/word/2010/wordprocessingShape">
                          <wps:wsp>
                            <wps:cNvCnPr/>
                            <wps:spPr>
                              <a:xfrm>
                                <a:off x="0" y="0"/>
                                <a:ext cx="431800" cy="0"/>
                              </a:xfrm>
                              <a:prstGeom prst="straightConnector1">
                                <a:avLst/>
                              </a:prstGeom>
                              <a:ln w="38100" cap="flat" cmpd="sng">
                                <a:solidFill>
                                  <a:srgbClr val="000000"/>
                                </a:solidFill>
                                <a:prstDash val="solid"/>
                                <a:headEnd type="none" w="med" len="med"/>
                                <a:tailEnd type="none" w="med" len="med"/>
                              </a:ln>
                            </wps:spPr>
                            <wps:bodyPr/>
                          </wps:wsp>
                        </a:graphicData>
                      </a:graphic>
                    </wp:anchor>
                  </w:drawing>
                </mc:Choice>
                <mc:Fallback>
                  <w:pict>
                    <v:shape id="自选图形 173" o:spid="_x0000_s1026" o:spt="32" type="#_x0000_t32" style="position:absolute;left:0pt;margin-left:21.6pt;margin-top:8.8pt;height:0pt;width:34pt;z-index:251689984;mso-width-relative:page;mso-height-relative:page;" filled="f" stroked="t" coordsize="21600,21600" o:gfxdata="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gvQmN1AAAAAgBAAAPAAAAAAAAAAEA&#10;IAAAACIAAABkcnMvZG93bnJldi54bWxQSwECFAAUAAAACACHTuJAf6xF+doBAACYAwAADgAAAAAA&#10;AAABACAAAAAjAQAAZHJzL2Uyb0RvYy54bWxQSwUGAAAAAAYABgBZAQAAbwUAAAAA&#10;">
                      <v:fill on="f" focussize="0,0"/>
                      <v:stroke weight="3pt" color="#000000" joinstyle="round"/>
                      <v:imagedata o:title=""/>
                      <o:lock v:ext="edit" aspectratio="f"/>
                    </v:shape>
                  </w:pict>
                </mc:Fallback>
              </mc:AlternateContent>
            </w: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tcPr>
          <w:p>
            <w:pPr>
              <w:widowControl/>
              <w:jc w:val="center"/>
              <w:rPr>
                <w:rFonts w:ascii="宋体" w:hAnsi="宋体" w:cs="宋体"/>
                <w:color w:val="000000"/>
                <w:kern w:val="0"/>
                <w:sz w:val="24"/>
              </w:rPr>
            </w:pPr>
          </w:p>
        </w:tc>
        <w:tc>
          <w:tcPr>
            <w:tcW w:w="798" w:type="dxa"/>
          </w:tcPr>
          <w:p>
            <w:pPr>
              <w:widowControl/>
              <w:jc w:val="center"/>
              <w:rPr>
                <w:rFonts w:ascii="宋体" w:hAnsi="宋体" w:cs="宋体"/>
                <w:color w:val="000000"/>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84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3251"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勘察设计阶段</w:t>
            </w:r>
          </w:p>
        </w:tc>
        <w:tc>
          <w:tcPr>
            <w:tcW w:w="792"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r>
              <w:rPr>
                <w:rFonts w:ascii="宋体" w:hAnsi="宋体" w:cs="宋体"/>
                <w:color w:val="000000"/>
                <w:kern w:val="0"/>
                <w:sz w:val="24"/>
              </w:rPr>
              <mc:AlternateContent>
                <mc:Choice Requires="wps">
                  <w:drawing>
                    <wp:anchor distT="0" distB="0" distL="114300" distR="114300" simplePos="0" relativeHeight="251686912" behindDoc="0" locked="0" layoutInCell="1" allowOverlap="1">
                      <wp:simplePos x="0" y="0"/>
                      <wp:positionH relativeFrom="column">
                        <wp:posOffset>207645</wp:posOffset>
                      </wp:positionH>
                      <wp:positionV relativeFrom="paragraph">
                        <wp:posOffset>119380</wp:posOffset>
                      </wp:positionV>
                      <wp:extent cx="448310" cy="0"/>
                      <wp:effectExtent l="0" t="0" r="0" b="0"/>
                      <wp:wrapNone/>
                      <wp:docPr id="9" name="自选图形 170"/>
                      <wp:cNvGraphicFramePr/>
                      <a:graphic xmlns:a="http://schemas.openxmlformats.org/drawingml/2006/main">
                        <a:graphicData uri="http://schemas.microsoft.com/office/word/2010/wordprocessingShape">
                          <wps:wsp>
                            <wps:cNvCnPr/>
                            <wps:spPr>
                              <a:xfrm>
                                <a:off x="0" y="0"/>
                                <a:ext cx="448310" cy="0"/>
                              </a:xfrm>
                              <a:prstGeom prst="straightConnector1">
                                <a:avLst/>
                              </a:prstGeom>
                              <a:ln w="38100" cap="flat" cmpd="sng">
                                <a:solidFill>
                                  <a:srgbClr val="000000"/>
                                </a:solidFill>
                                <a:prstDash val="solid"/>
                                <a:headEnd type="none" w="med" len="med"/>
                                <a:tailEnd type="none" w="med" len="med"/>
                              </a:ln>
                            </wps:spPr>
                            <wps:bodyPr/>
                          </wps:wsp>
                        </a:graphicData>
                      </a:graphic>
                    </wp:anchor>
                  </w:drawing>
                </mc:Choice>
                <mc:Fallback>
                  <w:pict>
                    <v:shape id="自选图形 170" o:spid="_x0000_s1026" o:spt="32" type="#_x0000_t32" style="position:absolute;left:0pt;margin-left:16.35pt;margin-top:9.4pt;height:0pt;width:35.3pt;z-index:251686912;mso-width-relative:page;mso-height-relative:page;" filled="f" stroked="t" coordsize="21600,21600" o:gfxdata="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VU7L/TAAAACAEAAA8AAAAAAAAAAQAg&#10;AAAAIgAAAGRycy9kb3ducmV2LnhtbFBLAQIUABQAAAAIAIdO4kCjFR1G2gEAAJcDAAAOAAAAAAAA&#10;AAEAIAAAACIBAABkcnMvZTJvRG9jLnhtbFBLBQYAAAAABgAGAFkBAABuBQAAAAA=&#10;">
                      <v:fill on="f" focussize="0,0"/>
                      <v:stroke weight="3pt" color="#000000" joinstyle="round"/>
                      <v:imagedata o:title=""/>
                      <o:lock v:ext="edit" aspectratio="f"/>
                    </v:shape>
                  </w:pict>
                </mc:Fallback>
              </mc:AlternateContent>
            </w: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tcPr>
          <w:p>
            <w:pPr>
              <w:widowControl/>
              <w:jc w:val="center"/>
              <w:rPr>
                <w:rFonts w:ascii="宋体" w:hAnsi="宋体" w:cs="宋体"/>
                <w:color w:val="000000"/>
                <w:kern w:val="0"/>
                <w:sz w:val="24"/>
              </w:rPr>
            </w:pPr>
          </w:p>
        </w:tc>
        <w:tc>
          <w:tcPr>
            <w:tcW w:w="798" w:type="dxa"/>
          </w:tcPr>
          <w:p>
            <w:pPr>
              <w:widowControl/>
              <w:jc w:val="center"/>
              <w:rPr>
                <w:rFonts w:ascii="宋体" w:hAnsi="宋体" w:cs="宋体"/>
                <w:color w:val="000000"/>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84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3251"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开工前准备阶段</w:t>
            </w:r>
          </w:p>
        </w:tc>
        <w:tc>
          <w:tcPr>
            <w:tcW w:w="792"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r>
              <w:rPr>
                <w:rFonts w:ascii="宋体" w:hAnsi="宋体" w:cs="宋体"/>
                <w:color w:val="000000"/>
                <w:kern w:val="0"/>
                <w:sz w:val="24"/>
              </w:rPr>
              <mc:AlternateContent>
                <mc:Choice Requires="wps">
                  <w:drawing>
                    <wp:anchor distT="0" distB="0" distL="114300" distR="114300" simplePos="0" relativeHeight="251687936" behindDoc="0" locked="0" layoutInCell="1" allowOverlap="1">
                      <wp:simplePos x="0" y="0"/>
                      <wp:positionH relativeFrom="column">
                        <wp:posOffset>259715</wp:posOffset>
                      </wp:positionH>
                      <wp:positionV relativeFrom="paragraph">
                        <wp:posOffset>120015</wp:posOffset>
                      </wp:positionV>
                      <wp:extent cx="1171575" cy="0"/>
                      <wp:effectExtent l="0" t="0" r="0" b="0"/>
                      <wp:wrapNone/>
                      <wp:docPr id="10" name="自选图形 171"/>
                      <wp:cNvGraphicFramePr/>
                      <a:graphic xmlns:a="http://schemas.openxmlformats.org/drawingml/2006/main">
                        <a:graphicData uri="http://schemas.microsoft.com/office/word/2010/wordprocessingShape">
                          <wps:wsp>
                            <wps:cNvCnPr/>
                            <wps:spPr>
                              <a:xfrm>
                                <a:off x="0" y="0"/>
                                <a:ext cx="1171575" cy="0"/>
                              </a:xfrm>
                              <a:prstGeom prst="straightConnector1">
                                <a:avLst/>
                              </a:prstGeom>
                              <a:ln w="38100" cap="flat" cmpd="sng">
                                <a:solidFill>
                                  <a:srgbClr val="000000"/>
                                </a:solidFill>
                                <a:prstDash val="solid"/>
                                <a:headEnd type="none" w="med" len="med"/>
                                <a:tailEnd type="none" w="med" len="med"/>
                              </a:ln>
                            </wps:spPr>
                            <wps:bodyPr/>
                          </wps:wsp>
                        </a:graphicData>
                      </a:graphic>
                    </wp:anchor>
                  </w:drawing>
                </mc:Choice>
                <mc:Fallback>
                  <w:pict>
                    <v:shape id="自选图形 171" o:spid="_x0000_s1026" o:spt="32" type="#_x0000_t32" style="position:absolute;left:0pt;margin-left:20.45pt;margin-top:9.45pt;height:0pt;width:92.25pt;z-index:251687936;mso-width-relative:page;mso-height-relative:page;" filled="f" stroked="t" coordsize="21600,21600" o:gfxdata="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MGSnm1QAAAAgBAAAPAAAAAAAA&#10;AAEAIAAAACIAAABkcnMvZG93bnJldi54bWxQSwECFAAUAAAACACHTuJA/8RiT9wBAACZAwAADgAA&#10;AAAAAAABACAAAAAkAQAAZHJzL2Uyb0RvYy54bWxQSwUGAAAAAAYABgBZAQAAcgUAAAAA&#10;">
                      <v:fill on="f" focussize="0,0"/>
                      <v:stroke weight="3pt" color="#000000" joinstyle="round"/>
                      <v:imagedata o:title=""/>
                      <o:lock v:ext="edit" aspectratio="f"/>
                    </v:shape>
                  </w:pict>
                </mc:Fallback>
              </mc:AlternateContent>
            </w: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tcPr>
          <w:p>
            <w:pPr>
              <w:widowControl/>
              <w:jc w:val="center"/>
              <w:rPr>
                <w:rFonts w:ascii="宋体" w:hAnsi="宋体" w:cs="宋体"/>
                <w:color w:val="000000"/>
                <w:kern w:val="0"/>
                <w:sz w:val="24"/>
              </w:rPr>
            </w:pPr>
          </w:p>
        </w:tc>
        <w:tc>
          <w:tcPr>
            <w:tcW w:w="798" w:type="dxa"/>
          </w:tcPr>
          <w:p>
            <w:pPr>
              <w:widowControl/>
              <w:jc w:val="center"/>
              <w:rPr>
                <w:rFonts w:ascii="宋体" w:hAnsi="宋体" w:cs="宋体"/>
                <w:color w:val="000000"/>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84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3251"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施工建设阶段</w:t>
            </w:r>
          </w:p>
        </w:tc>
        <w:tc>
          <w:tcPr>
            <w:tcW w:w="792"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r>
              <w:rPr>
                <w:rFonts w:ascii="宋体" w:hAnsi="宋体" w:cs="宋体"/>
                <w:color w:val="000000"/>
                <w:kern w:val="0"/>
                <w:sz w:val="24"/>
              </w:rPr>
              <mc:AlternateContent>
                <mc:Choice Requires="wps">
                  <w:drawing>
                    <wp:anchor distT="0" distB="0" distL="114300" distR="114300" simplePos="0" relativeHeight="251688960" behindDoc="0" locked="0" layoutInCell="1" allowOverlap="1">
                      <wp:simplePos x="0" y="0"/>
                      <wp:positionH relativeFrom="column">
                        <wp:posOffset>426085</wp:posOffset>
                      </wp:positionH>
                      <wp:positionV relativeFrom="paragraph">
                        <wp:posOffset>102870</wp:posOffset>
                      </wp:positionV>
                      <wp:extent cx="3517900" cy="9525"/>
                      <wp:effectExtent l="0" t="0" r="0" b="0"/>
                      <wp:wrapNone/>
                      <wp:docPr id="11" name="自选图形 172"/>
                      <wp:cNvGraphicFramePr/>
                      <a:graphic xmlns:a="http://schemas.openxmlformats.org/drawingml/2006/main">
                        <a:graphicData uri="http://schemas.microsoft.com/office/word/2010/wordprocessingShape">
                          <wps:wsp>
                            <wps:cNvCnPr/>
                            <wps:spPr>
                              <a:xfrm flipV="1">
                                <a:off x="0" y="0"/>
                                <a:ext cx="3517900" cy="9525"/>
                              </a:xfrm>
                              <a:prstGeom prst="straightConnector1">
                                <a:avLst/>
                              </a:prstGeom>
                              <a:ln w="38100" cap="flat" cmpd="sng">
                                <a:solidFill>
                                  <a:srgbClr val="000000"/>
                                </a:solidFill>
                                <a:prstDash val="solid"/>
                                <a:headEnd type="none" w="med" len="med"/>
                                <a:tailEnd type="none" w="med" len="med"/>
                              </a:ln>
                            </wps:spPr>
                            <wps:bodyPr/>
                          </wps:wsp>
                        </a:graphicData>
                      </a:graphic>
                    </wp:anchor>
                  </w:drawing>
                </mc:Choice>
                <mc:Fallback>
                  <w:pict>
                    <v:shape id="自选图形 172" o:spid="_x0000_s1026" o:spt="32" type="#_x0000_t32" style="position:absolute;left:0pt;flip:y;margin-left:33.55pt;margin-top:8.1pt;height:0.75pt;width:277pt;z-index:251688960;mso-width-relative:page;mso-height-relative:page;" filled="f" stroked="t" coordsize="21600,21600" o:gfxdata="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YpaDtQAAAAIAQAA&#10;DwAAAAAAAAABACAAAAAiAAAAZHJzL2Rvd25yZXYueG1sUEsBAhQAFAAAAAgAh07iQNqRxjjkAQAA&#10;pgMAAA4AAAAAAAAAAQAgAAAAIwEAAGRycy9lMm9Eb2MueG1sUEsFBgAAAAAGAAYAWQEAAHkFAAAA&#10;AA==&#10;">
                      <v:fill on="f" focussize="0,0"/>
                      <v:stroke weight="3pt" color="#000000" joinstyle="round"/>
                      <v:imagedata o:title=""/>
                      <o:lock v:ext="edit" aspectratio="f"/>
                    </v:shape>
                  </w:pict>
                </mc:Fallback>
              </mc:AlternateContent>
            </w: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tcPr>
          <w:p>
            <w:pPr>
              <w:widowControl/>
              <w:jc w:val="center"/>
              <w:rPr>
                <w:rFonts w:ascii="宋体" w:hAnsi="宋体" w:cs="宋体"/>
                <w:color w:val="000000"/>
                <w:kern w:val="0"/>
                <w:sz w:val="24"/>
              </w:rPr>
            </w:pPr>
          </w:p>
        </w:tc>
        <w:tc>
          <w:tcPr>
            <w:tcW w:w="798" w:type="dxa"/>
          </w:tcPr>
          <w:p>
            <w:pPr>
              <w:widowControl/>
              <w:jc w:val="center"/>
              <w:rPr>
                <w:rFonts w:ascii="宋体" w:hAnsi="宋体" w:cs="宋体"/>
                <w:color w:val="000000"/>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84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3251"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项目竣工验收阶段</w:t>
            </w:r>
          </w:p>
        </w:tc>
        <w:tc>
          <w:tcPr>
            <w:tcW w:w="792"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3"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r>
              <w:rPr>
                <w:rFonts w:ascii="宋体" w:hAnsi="宋体" w:cs="宋体"/>
                <w:color w:val="000000"/>
                <w:kern w:val="0"/>
                <w:sz w:val="24"/>
              </w:rPr>
              <mc:AlternateContent>
                <mc:Choice Requires="wps">
                  <w:drawing>
                    <wp:anchor distT="0" distB="0" distL="114300" distR="114300" simplePos="0" relativeHeight="251685888" behindDoc="0" locked="1" layoutInCell="1" allowOverlap="1">
                      <wp:simplePos x="0" y="0"/>
                      <wp:positionH relativeFrom="column">
                        <wp:posOffset>1926590</wp:posOffset>
                      </wp:positionH>
                      <wp:positionV relativeFrom="paragraph">
                        <wp:posOffset>148590</wp:posOffset>
                      </wp:positionV>
                      <wp:extent cx="521970" cy="635"/>
                      <wp:effectExtent l="0" t="0" r="0" b="0"/>
                      <wp:wrapNone/>
                      <wp:docPr id="8" name="AutoShape 32"/>
                      <wp:cNvGraphicFramePr/>
                      <a:graphic xmlns:a="http://schemas.openxmlformats.org/drawingml/2006/main">
                        <a:graphicData uri="http://schemas.microsoft.com/office/word/2010/wordprocessingShape">
                          <wps:wsp>
                            <wps:cNvCnPr/>
                            <wps:spPr>
                              <a:xfrm>
                                <a:off x="0" y="0"/>
                                <a:ext cx="521970" cy="635"/>
                              </a:xfrm>
                              <a:prstGeom prst="straightConnector1">
                                <a:avLst/>
                              </a:prstGeom>
                              <a:ln w="44450" cap="flat" cmpd="sng">
                                <a:solidFill>
                                  <a:srgbClr val="000000"/>
                                </a:solidFill>
                                <a:prstDash val="solid"/>
                                <a:headEnd type="none" w="med" len="med"/>
                                <a:tailEnd type="none" w="med" len="med"/>
                              </a:ln>
                            </wps:spPr>
                            <wps:bodyPr/>
                          </wps:wsp>
                        </a:graphicData>
                      </a:graphic>
                    </wp:anchor>
                  </w:drawing>
                </mc:Choice>
                <mc:Fallback>
                  <w:pict>
                    <v:shape id="AutoShape 32" o:spid="_x0000_s1026" o:spt="32" type="#_x0000_t32" style="position:absolute;left:0pt;margin-left:151.7pt;margin-top:11.7pt;height:0.05pt;width:41.1pt;z-index:251685888;mso-width-relative:page;mso-height-relative:page;" filled="f" stroked="t" coordsize="21600,21600" o:gfxdata="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UXD//2QAAAAkBAAAPAAAAAAAAAAEAIAAAACIAAABkcnMvZG93&#10;bnJldi54bWxQSwECFAAUAAAACACHTuJAkAdSlsYBAACVAwAADgAAAAAAAAABACAAAAAoAQAAZHJz&#10;L2Uyb0RvYy54bWxQSwUGAAAAAAYABgBZAQAAYAUAAAAA&#10;">
                      <v:fill on="f" focussize="0,0"/>
                      <v:stroke weight="3.5pt" color="#000000" joinstyle="round"/>
                      <v:imagedata o:title=""/>
                      <o:lock v:ext="edit" aspectratio="f"/>
                      <w10:anchorlock/>
                    </v:shape>
                  </w:pict>
                </mc:Fallback>
              </mc:AlternateContent>
            </w:r>
          </w:p>
        </w:tc>
        <w:tc>
          <w:tcPr>
            <w:tcW w:w="794" w:type="dxa"/>
            <w:vAlign w:val="center"/>
          </w:tcPr>
          <w:p>
            <w:pPr>
              <w:widowControl/>
              <w:jc w:val="center"/>
              <w:rPr>
                <w:rFonts w:ascii="宋体" w:hAnsi="宋体" w:cs="宋体"/>
                <w:color w:val="000000"/>
                <w:kern w:val="0"/>
                <w:sz w:val="24"/>
              </w:rPr>
            </w:pPr>
          </w:p>
        </w:tc>
        <w:tc>
          <w:tcPr>
            <w:tcW w:w="794" w:type="dxa"/>
            <w:vAlign w:val="center"/>
          </w:tcPr>
          <w:p>
            <w:pPr>
              <w:widowControl/>
              <w:jc w:val="center"/>
              <w:rPr>
                <w:rFonts w:ascii="宋体" w:hAnsi="宋体" w:cs="宋体"/>
                <w:color w:val="000000"/>
                <w:kern w:val="0"/>
                <w:sz w:val="24"/>
              </w:rPr>
            </w:pPr>
          </w:p>
        </w:tc>
        <w:tc>
          <w:tcPr>
            <w:tcW w:w="794" w:type="dxa"/>
          </w:tcPr>
          <w:p>
            <w:pPr>
              <w:widowControl/>
              <w:jc w:val="center"/>
              <w:rPr>
                <w:rFonts w:ascii="宋体" w:hAnsi="宋体" w:cs="宋体"/>
                <w:color w:val="000000"/>
                <w:kern w:val="0"/>
                <w:sz w:val="24"/>
              </w:rPr>
            </w:pPr>
          </w:p>
        </w:tc>
        <w:tc>
          <w:tcPr>
            <w:tcW w:w="798" w:type="dxa"/>
          </w:tcPr>
          <w:p>
            <w:pPr>
              <w:widowControl/>
              <w:jc w:val="center"/>
              <w:rPr>
                <w:rFonts w:ascii="宋体" w:hAnsi="宋体" w:cs="宋体"/>
                <w:color w:val="000000"/>
                <w:kern w:val="0"/>
                <w:sz w:val="24"/>
              </w:rPr>
            </w:pPr>
          </w:p>
        </w:tc>
      </w:tr>
    </w:tbl>
    <w:p>
      <w:pPr>
        <w:spacing w:beforeLines="50" w:afterLines="50" w:line="540" w:lineRule="exact"/>
        <w:ind w:firstLine="480" w:firstLineChars="200"/>
        <w:rPr>
          <w:rFonts w:ascii="仿宋_GB2312" w:hAnsi="Arial" w:eastAsia="仿宋_GB2312"/>
          <w:color w:val="000000"/>
          <w:sz w:val="24"/>
        </w:rPr>
      </w:pPr>
    </w:p>
    <w:p>
      <w:pPr>
        <w:spacing w:beforeLines="50" w:afterLines="50" w:line="540" w:lineRule="exact"/>
        <w:rPr>
          <w:color w:val="000000"/>
        </w:rPr>
      </w:pPr>
    </w:p>
    <w:p>
      <w:pPr>
        <w:pStyle w:val="3"/>
        <w:spacing w:line="520" w:lineRule="exact"/>
        <w:rPr>
          <w:rFonts w:cs="Arial"/>
          <w:i/>
          <w:color w:val="000000"/>
          <w:sz w:val="28"/>
          <w:szCs w:val="28"/>
        </w:rPr>
        <w:sectPr>
          <w:pgSz w:w="16838" w:h="11906" w:orient="landscape"/>
          <w:pgMar w:top="1797" w:right="1440" w:bottom="1797" w:left="1440" w:header="1160" w:footer="1180" w:gutter="0"/>
          <w:cols w:space="425" w:num="1"/>
          <w:docGrid w:type="linesAndChars" w:linePitch="312" w:charSpace="0"/>
        </w:sectPr>
      </w:pPr>
    </w:p>
    <w:p>
      <w:pPr>
        <w:pStyle w:val="3"/>
        <w:rPr>
          <w:rFonts w:cs="Arial"/>
          <w:color w:val="000000"/>
        </w:rPr>
      </w:pPr>
      <w:bookmarkStart w:id="74" w:name="_Toc483131250"/>
      <w:r>
        <w:rPr>
          <w:rFonts w:hint="eastAsia" w:cs="Arial"/>
          <w:color w:val="000000"/>
        </w:rPr>
        <w:t>9.2 招投标</w:t>
      </w:r>
      <w:bookmarkEnd w:id="74"/>
    </w:p>
    <w:p>
      <w:pPr>
        <w:rPr>
          <w:rFonts w:ascii="Arial" w:hAnsi="Arial" w:eastAsia="黑体" w:cs="Arial"/>
          <w:bCs/>
          <w:color w:val="000000"/>
          <w:sz w:val="32"/>
          <w:szCs w:val="32"/>
        </w:rPr>
      </w:pPr>
      <w:r>
        <w:rPr>
          <w:rFonts w:hint="eastAsia" w:ascii="Arial" w:hAnsi="Arial" w:eastAsia="黑体" w:cs="Arial"/>
          <w:bCs/>
          <w:color w:val="000000"/>
          <w:sz w:val="32"/>
          <w:szCs w:val="32"/>
        </w:rPr>
        <w:t>9.2.1 项目招标的主要依据</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1、《中华人民共和国招标投标法》；</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工程建设项目施工招标投标办法》（中华人民共和国国家发展计划委员会、中华人民共和国建设部、中华人民共和国铁道部、中华人民共和国交通部、中华人民共和国信息产业部、中华人民共和国水利部、中国民用航空总局第30号令）；</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3、《工程建设项目招标范围和规模标准规定》（国家发展计划委员会第3号令）；</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4、《建设项目可行性研究报告增加招标内容以及核准招标事项暂行规定》（国家发展计划委员会第9号令）；</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5、广东省实施《中华人民共和国招标投标法》办法；</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6、《广东省建设工程招标投标管理条例》；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7、《汕头经济特区建设工程施工招标投标管理条例》；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8、《汕头市建设工程招标投标管理办法》；</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9、《关于进一步加强汕头市政府投资建设工程施工招标投标管理的意见》（汕府办[2015]80号）；</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10、其他有关招标投标事项的规定。</w:t>
      </w:r>
    </w:p>
    <w:p>
      <w:pPr>
        <w:rPr>
          <w:rFonts w:ascii="Arial" w:hAnsi="Arial" w:eastAsia="黑体" w:cs="Arial"/>
          <w:bCs/>
          <w:color w:val="000000"/>
          <w:sz w:val="32"/>
          <w:szCs w:val="32"/>
        </w:rPr>
      </w:pPr>
      <w:r>
        <w:rPr>
          <w:rFonts w:hint="eastAsia" w:ascii="Arial" w:hAnsi="Arial" w:eastAsia="黑体" w:cs="Arial"/>
          <w:bCs/>
          <w:color w:val="000000"/>
          <w:sz w:val="32"/>
          <w:szCs w:val="32"/>
        </w:rPr>
        <w:t>9.2.2招标的范围</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项目的招标范围为建筑安装工程、勘察设计、监理。</w:t>
      </w:r>
    </w:p>
    <w:p>
      <w:pPr>
        <w:rPr>
          <w:rFonts w:ascii="Arial" w:hAnsi="Arial" w:eastAsia="黑体" w:cs="Arial"/>
          <w:bCs/>
          <w:color w:val="000000"/>
          <w:sz w:val="32"/>
          <w:szCs w:val="32"/>
        </w:rPr>
      </w:pPr>
      <w:r>
        <w:rPr>
          <w:rFonts w:hint="eastAsia" w:ascii="Arial" w:hAnsi="Arial" w:eastAsia="黑体" w:cs="Arial"/>
          <w:bCs/>
          <w:color w:val="000000"/>
          <w:sz w:val="32"/>
          <w:szCs w:val="32"/>
        </w:rPr>
        <w:t>9.2.3项目招标的组织形式</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委托招标，不采用自行招标。项目招标拟委托有资质的中介机构进行招标。</w:t>
      </w:r>
    </w:p>
    <w:p>
      <w:pPr>
        <w:rPr>
          <w:rFonts w:ascii="Arial" w:hAnsi="Arial" w:eastAsia="黑体" w:cs="Arial"/>
          <w:bCs/>
          <w:color w:val="000000"/>
          <w:sz w:val="32"/>
          <w:szCs w:val="32"/>
        </w:rPr>
      </w:pPr>
      <w:r>
        <w:rPr>
          <w:rFonts w:hint="eastAsia" w:ascii="Arial" w:hAnsi="Arial" w:eastAsia="黑体" w:cs="Arial"/>
          <w:bCs/>
          <w:color w:val="000000"/>
          <w:sz w:val="32"/>
          <w:szCs w:val="32"/>
        </w:rPr>
        <w:t>9.2.4项目招标的方式</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项目的招标方式为公开招标。</w:t>
      </w:r>
    </w:p>
    <w:p>
      <w:pPr>
        <w:rPr>
          <w:rFonts w:ascii="Arial" w:hAnsi="Arial" w:eastAsia="黑体" w:cs="Arial"/>
          <w:bCs/>
          <w:color w:val="000000"/>
          <w:sz w:val="32"/>
          <w:szCs w:val="32"/>
        </w:rPr>
      </w:pPr>
      <w:r>
        <w:rPr>
          <w:rFonts w:hint="eastAsia" w:ascii="Arial" w:hAnsi="Arial" w:eastAsia="黑体" w:cs="Arial"/>
          <w:bCs/>
          <w:color w:val="000000"/>
          <w:sz w:val="32"/>
          <w:szCs w:val="32"/>
        </w:rPr>
        <w:t>9.2.5项目招标的具体实施</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按建设单位要求，本项目要在12个月内全部完成并办理竣工验收，因本项目建设的特殊性，项目的实施进度受多方面的影响。根据国家、广东省及汕头市有关规定，针对招标范围和工程的具体情况，具体实施如下：</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1、对于建筑安装工程及勘察设计的招标采取工程勘察设计施工总承包招标模式，节省招标投标环节时间，加快推进项目进度；</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2、工程监理招标工作可与工程勘察设计施工总承包招标工作同期进行；</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具体细节严格按招标投标法规定和相关法规操作。开标、评标的具体程序及控制环节严格依法执行。项目招标具体要求详见表9-2。</w:t>
      </w:r>
    </w:p>
    <w:p>
      <w:pPr>
        <w:ind w:firstLine="560" w:firstLineChars="200"/>
        <w:rPr>
          <w:rFonts w:ascii="仿宋_GB2312" w:hAnsi="Arial" w:eastAsia="仿宋_GB2312"/>
          <w:color w:val="000000"/>
          <w:sz w:val="28"/>
          <w:szCs w:val="28"/>
        </w:rPr>
        <w:sectPr>
          <w:pgSz w:w="11906" w:h="16838"/>
          <w:pgMar w:top="1440" w:right="1800" w:bottom="1440" w:left="1800" w:header="851" w:footer="840" w:gutter="0"/>
          <w:cols w:space="425" w:num="1"/>
          <w:docGrid w:type="lines" w:linePitch="312" w:charSpace="0"/>
        </w:sectPr>
      </w:pPr>
    </w:p>
    <w:tbl>
      <w:tblPr>
        <w:tblStyle w:val="31"/>
        <w:tblpPr w:leftFromText="180" w:rightFromText="180" w:vertAnchor="page" w:horzAnchor="margin" w:tblpY="2491"/>
        <w:tblW w:w="1421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08"/>
        <w:gridCol w:w="1229"/>
        <w:gridCol w:w="1214"/>
        <w:gridCol w:w="1342"/>
        <w:gridCol w:w="1467"/>
        <w:gridCol w:w="1513"/>
        <w:gridCol w:w="1499"/>
        <w:gridCol w:w="1413"/>
        <w:gridCol w:w="1567"/>
        <w:gridCol w:w="156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11" w:hRule="exact"/>
        </w:trPr>
        <w:tc>
          <w:tcPr>
            <w:tcW w:w="1408" w:type="dxa"/>
            <w:vMerge w:val="restart"/>
          </w:tcPr>
          <w:p>
            <w:pPr>
              <w:spacing w:before="190" w:after="190"/>
              <w:jc w:val="center"/>
              <w:rPr>
                <w:rFonts w:ascii="仿宋_GB2312" w:hAnsi="宋体"/>
                <w:color w:val="000000"/>
                <w:sz w:val="24"/>
              </w:rPr>
            </w:pPr>
          </w:p>
        </w:tc>
        <w:tc>
          <w:tcPr>
            <w:tcW w:w="2443" w:type="dxa"/>
            <w:gridSpan w:val="2"/>
          </w:tcPr>
          <w:p>
            <w:pPr>
              <w:spacing w:before="190" w:after="190"/>
              <w:jc w:val="center"/>
              <w:rPr>
                <w:rFonts w:ascii="仿宋_GB2312" w:hAnsi="宋体"/>
                <w:color w:val="000000"/>
                <w:sz w:val="24"/>
              </w:rPr>
            </w:pPr>
            <w:r>
              <w:rPr>
                <w:rFonts w:hint="eastAsia" w:ascii="仿宋_GB2312" w:hAnsi="宋体"/>
                <w:color w:val="000000"/>
                <w:sz w:val="24"/>
              </w:rPr>
              <w:t>招标范围</w:t>
            </w:r>
          </w:p>
        </w:tc>
        <w:tc>
          <w:tcPr>
            <w:tcW w:w="2809" w:type="dxa"/>
            <w:gridSpan w:val="2"/>
          </w:tcPr>
          <w:p>
            <w:pPr>
              <w:spacing w:before="190" w:after="190"/>
              <w:jc w:val="center"/>
              <w:rPr>
                <w:rFonts w:ascii="仿宋_GB2312" w:hAnsi="宋体"/>
                <w:color w:val="000000"/>
                <w:sz w:val="24"/>
              </w:rPr>
            </w:pPr>
            <w:r>
              <w:rPr>
                <w:rFonts w:hint="eastAsia" w:ascii="仿宋_GB2312" w:hAnsi="宋体"/>
                <w:color w:val="000000"/>
                <w:sz w:val="24"/>
              </w:rPr>
              <w:t>招标组织形式</w:t>
            </w:r>
          </w:p>
        </w:tc>
        <w:tc>
          <w:tcPr>
            <w:tcW w:w="3012" w:type="dxa"/>
            <w:gridSpan w:val="2"/>
          </w:tcPr>
          <w:p>
            <w:pPr>
              <w:spacing w:before="190" w:after="190"/>
              <w:jc w:val="center"/>
              <w:rPr>
                <w:rFonts w:ascii="仿宋_GB2312" w:hAnsi="宋体"/>
                <w:color w:val="000000"/>
                <w:sz w:val="24"/>
              </w:rPr>
            </w:pPr>
            <w:r>
              <w:rPr>
                <w:rFonts w:hint="eastAsia" w:ascii="仿宋_GB2312" w:hAnsi="宋体"/>
                <w:color w:val="000000"/>
                <w:sz w:val="24"/>
              </w:rPr>
              <w:t>招标方式</w:t>
            </w:r>
          </w:p>
        </w:tc>
        <w:tc>
          <w:tcPr>
            <w:tcW w:w="1413" w:type="dxa"/>
            <w:vMerge w:val="restart"/>
          </w:tcPr>
          <w:p>
            <w:pPr>
              <w:spacing w:before="190" w:after="190"/>
              <w:jc w:val="center"/>
              <w:rPr>
                <w:rFonts w:ascii="仿宋_GB2312" w:hAnsi="宋体"/>
                <w:color w:val="000000"/>
                <w:sz w:val="24"/>
              </w:rPr>
            </w:pPr>
            <w:r>
              <w:rPr>
                <w:rFonts w:hint="eastAsia" w:ascii="仿宋_GB2312" w:hAnsi="宋体"/>
                <w:color w:val="000000"/>
                <w:sz w:val="24"/>
              </w:rPr>
              <w:t>不采用</w:t>
            </w:r>
          </w:p>
          <w:p>
            <w:pPr>
              <w:spacing w:before="190" w:after="190"/>
              <w:jc w:val="center"/>
              <w:rPr>
                <w:rFonts w:ascii="仿宋_GB2312" w:hAnsi="宋体"/>
                <w:color w:val="000000"/>
                <w:sz w:val="24"/>
              </w:rPr>
            </w:pPr>
            <w:r>
              <w:rPr>
                <w:rFonts w:hint="eastAsia" w:ascii="仿宋_GB2312" w:hAnsi="宋体"/>
                <w:color w:val="000000"/>
                <w:sz w:val="24"/>
              </w:rPr>
              <w:t>招标方式</w:t>
            </w:r>
          </w:p>
        </w:tc>
        <w:tc>
          <w:tcPr>
            <w:tcW w:w="1567" w:type="dxa"/>
            <w:vMerge w:val="restart"/>
          </w:tcPr>
          <w:p>
            <w:pPr>
              <w:spacing w:before="190" w:after="190"/>
              <w:jc w:val="center"/>
              <w:rPr>
                <w:rFonts w:ascii="仿宋_GB2312" w:hAnsi="宋体"/>
                <w:color w:val="000000"/>
                <w:sz w:val="24"/>
              </w:rPr>
            </w:pPr>
            <w:r>
              <w:rPr>
                <w:rFonts w:hint="eastAsia" w:ascii="仿宋_GB2312" w:hAnsi="宋体"/>
                <w:color w:val="000000"/>
                <w:sz w:val="24"/>
              </w:rPr>
              <w:t>招标估算金额(万元)</w:t>
            </w:r>
          </w:p>
        </w:tc>
        <w:tc>
          <w:tcPr>
            <w:tcW w:w="1567" w:type="dxa"/>
            <w:vMerge w:val="restart"/>
          </w:tcPr>
          <w:p>
            <w:pPr>
              <w:spacing w:before="190" w:after="190"/>
              <w:jc w:val="center"/>
              <w:rPr>
                <w:rFonts w:ascii="仿宋_GB2312" w:hAnsi="宋体"/>
                <w:color w:val="000000"/>
                <w:sz w:val="24"/>
              </w:rPr>
            </w:pPr>
            <w:r>
              <w:rPr>
                <w:rFonts w:hint="eastAsia" w:ascii="仿宋_GB2312" w:hAnsi="宋体"/>
                <w:color w:val="000000"/>
                <w:sz w:val="24"/>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6" w:hRule="exact"/>
        </w:trPr>
        <w:tc>
          <w:tcPr>
            <w:tcW w:w="1408" w:type="dxa"/>
            <w:vMerge w:val="continue"/>
          </w:tcPr>
          <w:p>
            <w:pPr>
              <w:spacing w:before="190" w:after="190"/>
              <w:jc w:val="center"/>
              <w:rPr>
                <w:rFonts w:ascii="仿宋_GB2312" w:hAnsi="宋体"/>
                <w:color w:val="000000"/>
                <w:sz w:val="24"/>
              </w:rPr>
            </w:pPr>
          </w:p>
        </w:tc>
        <w:tc>
          <w:tcPr>
            <w:tcW w:w="1229" w:type="dxa"/>
          </w:tcPr>
          <w:p>
            <w:pPr>
              <w:spacing w:before="190" w:after="190"/>
              <w:jc w:val="center"/>
              <w:rPr>
                <w:rFonts w:ascii="仿宋_GB2312" w:hAnsi="宋体"/>
                <w:color w:val="000000"/>
                <w:sz w:val="24"/>
              </w:rPr>
            </w:pPr>
            <w:r>
              <w:rPr>
                <w:rFonts w:hint="eastAsia" w:ascii="仿宋_GB2312" w:hAnsi="宋体"/>
                <w:color w:val="000000"/>
                <w:sz w:val="24"/>
              </w:rPr>
              <w:t>全部招标</w:t>
            </w:r>
          </w:p>
        </w:tc>
        <w:tc>
          <w:tcPr>
            <w:tcW w:w="1214" w:type="dxa"/>
          </w:tcPr>
          <w:p>
            <w:pPr>
              <w:spacing w:before="190" w:after="190"/>
              <w:jc w:val="center"/>
              <w:rPr>
                <w:rFonts w:ascii="仿宋_GB2312" w:hAnsi="宋体"/>
                <w:color w:val="000000"/>
                <w:sz w:val="24"/>
              </w:rPr>
            </w:pPr>
            <w:r>
              <w:rPr>
                <w:rFonts w:hint="eastAsia" w:ascii="仿宋_GB2312" w:hAnsi="宋体"/>
                <w:color w:val="000000"/>
                <w:sz w:val="24"/>
              </w:rPr>
              <w:t>部分招标</w:t>
            </w:r>
          </w:p>
        </w:tc>
        <w:tc>
          <w:tcPr>
            <w:tcW w:w="1342" w:type="dxa"/>
          </w:tcPr>
          <w:p>
            <w:pPr>
              <w:spacing w:before="190" w:after="190"/>
              <w:jc w:val="center"/>
              <w:rPr>
                <w:rFonts w:ascii="仿宋_GB2312" w:hAnsi="宋体"/>
                <w:color w:val="000000"/>
                <w:sz w:val="24"/>
              </w:rPr>
            </w:pPr>
            <w:r>
              <w:rPr>
                <w:rFonts w:hint="eastAsia" w:ascii="仿宋_GB2312" w:hAnsi="宋体"/>
                <w:color w:val="000000"/>
                <w:sz w:val="24"/>
              </w:rPr>
              <w:t>自行招标</w:t>
            </w:r>
          </w:p>
        </w:tc>
        <w:tc>
          <w:tcPr>
            <w:tcW w:w="1467" w:type="dxa"/>
          </w:tcPr>
          <w:p>
            <w:pPr>
              <w:spacing w:before="190" w:after="190"/>
              <w:jc w:val="center"/>
              <w:rPr>
                <w:rFonts w:ascii="仿宋_GB2312" w:hAnsi="宋体"/>
                <w:color w:val="000000"/>
                <w:sz w:val="24"/>
              </w:rPr>
            </w:pPr>
            <w:r>
              <w:rPr>
                <w:rFonts w:hint="eastAsia" w:ascii="仿宋_GB2312" w:hAnsi="宋体"/>
                <w:color w:val="000000"/>
                <w:sz w:val="24"/>
              </w:rPr>
              <w:t>委托招标</w:t>
            </w:r>
          </w:p>
        </w:tc>
        <w:tc>
          <w:tcPr>
            <w:tcW w:w="1513" w:type="dxa"/>
          </w:tcPr>
          <w:p>
            <w:pPr>
              <w:spacing w:before="190" w:after="190"/>
              <w:jc w:val="center"/>
              <w:rPr>
                <w:rFonts w:ascii="仿宋_GB2312" w:hAnsi="宋体"/>
                <w:color w:val="000000"/>
                <w:sz w:val="24"/>
              </w:rPr>
            </w:pPr>
            <w:r>
              <w:rPr>
                <w:rFonts w:hint="eastAsia" w:ascii="仿宋_GB2312" w:hAnsi="宋体"/>
                <w:color w:val="000000"/>
                <w:sz w:val="24"/>
              </w:rPr>
              <w:t>公开招标</w:t>
            </w:r>
          </w:p>
        </w:tc>
        <w:tc>
          <w:tcPr>
            <w:tcW w:w="1499" w:type="dxa"/>
          </w:tcPr>
          <w:p>
            <w:pPr>
              <w:spacing w:before="190" w:after="190"/>
              <w:jc w:val="center"/>
              <w:rPr>
                <w:rFonts w:ascii="仿宋_GB2312" w:hAnsi="宋体"/>
                <w:color w:val="000000"/>
                <w:sz w:val="24"/>
              </w:rPr>
            </w:pPr>
            <w:r>
              <w:rPr>
                <w:rFonts w:hint="eastAsia" w:ascii="仿宋_GB2312" w:hAnsi="宋体"/>
                <w:color w:val="000000"/>
                <w:sz w:val="24"/>
              </w:rPr>
              <w:t>邀请招标</w:t>
            </w:r>
          </w:p>
        </w:tc>
        <w:tc>
          <w:tcPr>
            <w:tcW w:w="1413" w:type="dxa"/>
            <w:vMerge w:val="continue"/>
          </w:tcPr>
          <w:p>
            <w:pPr>
              <w:spacing w:before="190" w:after="190"/>
              <w:jc w:val="center"/>
              <w:rPr>
                <w:rFonts w:ascii="仿宋_GB2312" w:hAnsi="宋体"/>
                <w:color w:val="000000"/>
                <w:sz w:val="24"/>
              </w:rPr>
            </w:pPr>
          </w:p>
        </w:tc>
        <w:tc>
          <w:tcPr>
            <w:tcW w:w="1567" w:type="dxa"/>
            <w:vMerge w:val="continue"/>
          </w:tcPr>
          <w:p>
            <w:pPr>
              <w:spacing w:before="190" w:after="190"/>
              <w:jc w:val="center"/>
              <w:rPr>
                <w:rFonts w:ascii="仿宋_GB2312" w:hAnsi="宋体"/>
                <w:color w:val="000000"/>
                <w:sz w:val="24"/>
              </w:rPr>
            </w:pPr>
          </w:p>
        </w:tc>
        <w:tc>
          <w:tcPr>
            <w:tcW w:w="1567" w:type="dxa"/>
            <w:vMerge w:val="continue"/>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exact"/>
        </w:trPr>
        <w:tc>
          <w:tcPr>
            <w:tcW w:w="1408" w:type="dxa"/>
          </w:tcPr>
          <w:p>
            <w:pPr>
              <w:spacing w:before="190" w:after="190"/>
              <w:jc w:val="center"/>
              <w:rPr>
                <w:rFonts w:ascii="仿宋_GB2312" w:hAnsi="宋体"/>
                <w:color w:val="000000"/>
                <w:sz w:val="24"/>
              </w:rPr>
            </w:pPr>
            <w:r>
              <w:rPr>
                <w:rFonts w:hint="eastAsia" w:ascii="仿宋_GB2312" w:hAnsi="宋体"/>
                <w:color w:val="000000"/>
                <w:sz w:val="24"/>
              </w:rPr>
              <w:t>设计</w:t>
            </w:r>
          </w:p>
        </w:tc>
        <w:tc>
          <w:tcPr>
            <w:tcW w:w="1229"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214" w:type="dxa"/>
          </w:tcPr>
          <w:p>
            <w:pPr>
              <w:spacing w:before="190" w:after="190"/>
              <w:jc w:val="center"/>
              <w:rPr>
                <w:rFonts w:ascii="仿宋_GB2312" w:hAnsi="宋体"/>
                <w:color w:val="000000"/>
                <w:sz w:val="24"/>
              </w:rPr>
            </w:pPr>
          </w:p>
        </w:tc>
        <w:tc>
          <w:tcPr>
            <w:tcW w:w="1342" w:type="dxa"/>
          </w:tcPr>
          <w:p>
            <w:pPr>
              <w:spacing w:before="190" w:after="190"/>
              <w:jc w:val="center"/>
              <w:rPr>
                <w:rFonts w:ascii="仿宋_GB2312" w:hAnsi="宋体"/>
                <w:color w:val="000000"/>
                <w:sz w:val="24"/>
              </w:rPr>
            </w:pPr>
          </w:p>
        </w:tc>
        <w:tc>
          <w:tcPr>
            <w:tcW w:w="1467"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513"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499" w:type="dxa"/>
          </w:tcPr>
          <w:p>
            <w:pPr>
              <w:spacing w:before="190" w:after="190"/>
              <w:jc w:val="center"/>
              <w:rPr>
                <w:rFonts w:ascii="仿宋_GB2312" w:hAnsi="宋体"/>
                <w:color w:val="000000"/>
                <w:sz w:val="24"/>
              </w:rPr>
            </w:pPr>
          </w:p>
        </w:tc>
        <w:tc>
          <w:tcPr>
            <w:tcW w:w="1413" w:type="dxa"/>
          </w:tcPr>
          <w:p>
            <w:pPr>
              <w:spacing w:before="190" w:after="190"/>
              <w:jc w:val="center"/>
              <w:rPr>
                <w:rFonts w:ascii="仿宋_GB2312" w:hAnsi="宋体"/>
                <w:color w:val="000000"/>
                <w:sz w:val="24"/>
              </w:rPr>
            </w:pPr>
          </w:p>
        </w:tc>
        <w:tc>
          <w:tcPr>
            <w:tcW w:w="1567" w:type="dxa"/>
            <w:vAlign w:val="center"/>
          </w:tcPr>
          <w:p>
            <w:pPr>
              <w:widowControl/>
              <w:jc w:val="center"/>
              <w:rPr>
                <w:rFonts w:ascii="仿宋_GB2312" w:hAnsi="宋体" w:cs="宋体"/>
                <w:color w:val="000000"/>
                <w:kern w:val="0"/>
                <w:sz w:val="24"/>
              </w:rPr>
            </w:pPr>
            <w:r>
              <w:rPr>
                <w:rFonts w:hint="eastAsia" w:ascii="仿宋_GB2312" w:hAnsi="宋体" w:cs="宋体"/>
                <w:color w:val="000000"/>
                <w:kern w:val="0"/>
                <w:sz w:val="24"/>
              </w:rPr>
              <w:t>494.00</w:t>
            </w:r>
          </w:p>
        </w:tc>
        <w:tc>
          <w:tcPr>
            <w:tcW w:w="1567" w:type="dxa"/>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exact"/>
        </w:trPr>
        <w:tc>
          <w:tcPr>
            <w:tcW w:w="1408" w:type="dxa"/>
          </w:tcPr>
          <w:p>
            <w:pPr>
              <w:spacing w:before="190" w:after="190"/>
              <w:jc w:val="center"/>
              <w:rPr>
                <w:rFonts w:ascii="仿宋_GB2312" w:hAnsi="宋体"/>
                <w:color w:val="000000"/>
                <w:sz w:val="24"/>
              </w:rPr>
            </w:pPr>
            <w:r>
              <w:rPr>
                <w:rFonts w:hint="eastAsia" w:ascii="仿宋_GB2312" w:hAnsi="宋体"/>
                <w:color w:val="000000"/>
                <w:sz w:val="24"/>
              </w:rPr>
              <w:t>建安工程</w:t>
            </w:r>
          </w:p>
        </w:tc>
        <w:tc>
          <w:tcPr>
            <w:tcW w:w="1229"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214" w:type="dxa"/>
          </w:tcPr>
          <w:p>
            <w:pPr>
              <w:spacing w:before="190" w:after="190"/>
              <w:jc w:val="center"/>
              <w:rPr>
                <w:rFonts w:ascii="仿宋_GB2312" w:hAnsi="宋体"/>
                <w:color w:val="000000"/>
                <w:sz w:val="24"/>
              </w:rPr>
            </w:pPr>
          </w:p>
        </w:tc>
        <w:tc>
          <w:tcPr>
            <w:tcW w:w="1342" w:type="dxa"/>
          </w:tcPr>
          <w:p>
            <w:pPr>
              <w:spacing w:before="190" w:after="190"/>
              <w:jc w:val="center"/>
              <w:rPr>
                <w:rFonts w:ascii="仿宋_GB2312" w:hAnsi="宋体"/>
                <w:color w:val="000000"/>
                <w:sz w:val="24"/>
              </w:rPr>
            </w:pPr>
          </w:p>
        </w:tc>
        <w:tc>
          <w:tcPr>
            <w:tcW w:w="1467"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513"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499" w:type="dxa"/>
          </w:tcPr>
          <w:p>
            <w:pPr>
              <w:spacing w:before="190" w:after="190"/>
              <w:jc w:val="center"/>
              <w:rPr>
                <w:rFonts w:ascii="仿宋_GB2312" w:hAnsi="宋体"/>
                <w:color w:val="000000"/>
                <w:sz w:val="24"/>
              </w:rPr>
            </w:pPr>
          </w:p>
        </w:tc>
        <w:tc>
          <w:tcPr>
            <w:tcW w:w="1413" w:type="dxa"/>
          </w:tcPr>
          <w:p>
            <w:pPr>
              <w:spacing w:before="190" w:after="190"/>
              <w:jc w:val="center"/>
              <w:rPr>
                <w:rFonts w:ascii="仿宋_GB2312" w:hAnsi="宋体"/>
                <w:color w:val="000000"/>
                <w:sz w:val="24"/>
              </w:rPr>
            </w:pPr>
          </w:p>
        </w:tc>
        <w:tc>
          <w:tcPr>
            <w:tcW w:w="1567" w:type="dxa"/>
            <w:vAlign w:val="center"/>
          </w:tcPr>
          <w:p>
            <w:pPr>
              <w:widowControl/>
              <w:jc w:val="center"/>
              <w:rPr>
                <w:rFonts w:ascii="仿宋_GB2312" w:hAnsi="宋体" w:cs="宋体"/>
                <w:color w:val="000000"/>
                <w:kern w:val="0"/>
                <w:sz w:val="24"/>
              </w:rPr>
            </w:pPr>
            <w:r>
              <w:rPr>
                <w:rFonts w:hint="eastAsia" w:ascii="仿宋_GB2312" w:hAnsi="宋体" w:cs="宋体"/>
                <w:color w:val="000000"/>
                <w:kern w:val="0"/>
                <w:sz w:val="24"/>
              </w:rPr>
              <w:t>11054.80</w:t>
            </w:r>
          </w:p>
        </w:tc>
        <w:tc>
          <w:tcPr>
            <w:tcW w:w="1567" w:type="dxa"/>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exact"/>
        </w:trPr>
        <w:tc>
          <w:tcPr>
            <w:tcW w:w="1408" w:type="dxa"/>
          </w:tcPr>
          <w:p>
            <w:pPr>
              <w:spacing w:before="190" w:after="190"/>
              <w:jc w:val="center"/>
              <w:rPr>
                <w:rFonts w:ascii="仿宋_GB2312" w:hAnsi="宋体"/>
                <w:color w:val="000000"/>
                <w:sz w:val="24"/>
              </w:rPr>
            </w:pPr>
            <w:r>
              <w:rPr>
                <w:rFonts w:hint="eastAsia" w:ascii="仿宋_GB2312" w:hAnsi="宋体"/>
                <w:color w:val="000000"/>
                <w:sz w:val="24"/>
              </w:rPr>
              <w:t>监理</w:t>
            </w:r>
          </w:p>
        </w:tc>
        <w:tc>
          <w:tcPr>
            <w:tcW w:w="1229"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214" w:type="dxa"/>
          </w:tcPr>
          <w:p>
            <w:pPr>
              <w:spacing w:before="190" w:after="190"/>
              <w:jc w:val="center"/>
              <w:rPr>
                <w:rFonts w:ascii="仿宋_GB2312" w:hAnsi="宋体"/>
                <w:color w:val="000000"/>
                <w:sz w:val="24"/>
              </w:rPr>
            </w:pPr>
          </w:p>
        </w:tc>
        <w:tc>
          <w:tcPr>
            <w:tcW w:w="1342" w:type="dxa"/>
          </w:tcPr>
          <w:p>
            <w:pPr>
              <w:spacing w:before="190" w:after="190"/>
              <w:jc w:val="center"/>
              <w:rPr>
                <w:rFonts w:ascii="仿宋_GB2312" w:hAnsi="宋体"/>
                <w:color w:val="000000"/>
                <w:sz w:val="24"/>
              </w:rPr>
            </w:pPr>
          </w:p>
        </w:tc>
        <w:tc>
          <w:tcPr>
            <w:tcW w:w="1467"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513" w:type="dxa"/>
          </w:tcPr>
          <w:p>
            <w:pPr>
              <w:spacing w:before="190" w:after="190"/>
              <w:jc w:val="center"/>
              <w:rPr>
                <w:rFonts w:ascii="仿宋_GB2312" w:hAnsi="宋体"/>
                <w:color w:val="000000"/>
                <w:sz w:val="24"/>
              </w:rPr>
            </w:pPr>
            <w:r>
              <w:rPr>
                <w:rFonts w:hint="eastAsia" w:ascii="仿宋_GB2312" w:hAnsi="宋体"/>
                <w:color w:val="000000"/>
                <w:sz w:val="24"/>
              </w:rPr>
              <w:t>√</w:t>
            </w:r>
          </w:p>
        </w:tc>
        <w:tc>
          <w:tcPr>
            <w:tcW w:w="1499" w:type="dxa"/>
          </w:tcPr>
          <w:p>
            <w:pPr>
              <w:spacing w:before="190" w:after="190"/>
              <w:jc w:val="center"/>
              <w:rPr>
                <w:rFonts w:ascii="仿宋_GB2312" w:hAnsi="宋体"/>
                <w:color w:val="000000"/>
                <w:sz w:val="24"/>
              </w:rPr>
            </w:pPr>
          </w:p>
        </w:tc>
        <w:tc>
          <w:tcPr>
            <w:tcW w:w="1413" w:type="dxa"/>
          </w:tcPr>
          <w:p>
            <w:pPr>
              <w:spacing w:before="190" w:after="190"/>
              <w:jc w:val="center"/>
              <w:rPr>
                <w:rFonts w:ascii="仿宋_GB2312" w:hAnsi="宋体"/>
                <w:color w:val="000000"/>
                <w:sz w:val="24"/>
              </w:rPr>
            </w:pPr>
          </w:p>
        </w:tc>
        <w:tc>
          <w:tcPr>
            <w:tcW w:w="1567" w:type="dxa"/>
            <w:vAlign w:val="center"/>
          </w:tcPr>
          <w:p>
            <w:pPr>
              <w:widowControl/>
              <w:jc w:val="center"/>
              <w:rPr>
                <w:rFonts w:ascii="仿宋_GB2312" w:hAnsi="宋体" w:cs="宋体"/>
                <w:color w:val="000000"/>
                <w:kern w:val="0"/>
                <w:sz w:val="24"/>
              </w:rPr>
            </w:pPr>
            <w:r>
              <w:rPr>
                <w:rFonts w:hint="eastAsia" w:ascii="仿宋_GB2312" w:hAnsi="宋体" w:cs="宋体"/>
                <w:color w:val="000000"/>
                <w:kern w:val="0"/>
                <w:sz w:val="24"/>
              </w:rPr>
              <w:t>237.04</w:t>
            </w:r>
          </w:p>
        </w:tc>
        <w:tc>
          <w:tcPr>
            <w:tcW w:w="1567" w:type="dxa"/>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PrEx>
        <w:trPr>
          <w:trHeight w:val="454" w:hRule="exact"/>
        </w:trPr>
        <w:tc>
          <w:tcPr>
            <w:tcW w:w="1408" w:type="dxa"/>
          </w:tcPr>
          <w:p>
            <w:pPr>
              <w:spacing w:before="190" w:after="190"/>
              <w:jc w:val="center"/>
              <w:rPr>
                <w:rFonts w:ascii="仿宋_GB2312" w:hAnsi="宋体"/>
                <w:color w:val="000000"/>
                <w:sz w:val="24"/>
              </w:rPr>
            </w:pPr>
            <w:r>
              <w:rPr>
                <w:rFonts w:hint="eastAsia" w:ascii="仿宋_GB2312" w:hAnsi="宋体"/>
                <w:color w:val="000000"/>
                <w:sz w:val="24"/>
              </w:rPr>
              <w:t>设备</w:t>
            </w:r>
          </w:p>
        </w:tc>
        <w:tc>
          <w:tcPr>
            <w:tcW w:w="1229" w:type="dxa"/>
          </w:tcPr>
          <w:p>
            <w:pPr>
              <w:spacing w:before="190" w:after="190"/>
              <w:jc w:val="center"/>
              <w:rPr>
                <w:rFonts w:ascii="仿宋_GB2312" w:hAnsi="宋体"/>
                <w:color w:val="000000"/>
                <w:sz w:val="24"/>
              </w:rPr>
            </w:pPr>
          </w:p>
        </w:tc>
        <w:tc>
          <w:tcPr>
            <w:tcW w:w="1214" w:type="dxa"/>
          </w:tcPr>
          <w:p>
            <w:pPr>
              <w:spacing w:before="190" w:after="190"/>
              <w:jc w:val="center"/>
              <w:rPr>
                <w:rFonts w:ascii="仿宋_GB2312" w:hAnsi="宋体"/>
                <w:color w:val="000000"/>
                <w:sz w:val="24"/>
              </w:rPr>
            </w:pPr>
          </w:p>
        </w:tc>
        <w:tc>
          <w:tcPr>
            <w:tcW w:w="1342" w:type="dxa"/>
          </w:tcPr>
          <w:p>
            <w:pPr>
              <w:spacing w:before="190" w:after="190"/>
              <w:jc w:val="center"/>
              <w:rPr>
                <w:rFonts w:ascii="仿宋_GB2312" w:hAnsi="宋体"/>
                <w:color w:val="000000"/>
                <w:sz w:val="24"/>
              </w:rPr>
            </w:pPr>
          </w:p>
        </w:tc>
        <w:tc>
          <w:tcPr>
            <w:tcW w:w="1467" w:type="dxa"/>
          </w:tcPr>
          <w:p>
            <w:pPr>
              <w:spacing w:before="190" w:after="190"/>
              <w:jc w:val="center"/>
              <w:rPr>
                <w:rFonts w:ascii="仿宋_GB2312" w:hAnsi="宋体"/>
                <w:color w:val="000000"/>
                <w:sz w:val="24"/>
              </w:rPr>
            </w:pPr>
          </w:p>
        </w:tc>
        <w:tc>
          <w:tcPr>
            <w:tcW w:w="1513" w:type="dxa"/>
          </w:tcPr>
          <w:p>
            <w:pPr>
              <w:spacing w:before="190" w:after="190"/>
              <w:jc w:val="center"/>
              <w:rPr>
                <w:rFonts w:ascii="仿宋_GB2312" w:hAnsi="宋体"/>
                <w:color w:val="000000"/>
                <w:sz w:val="24"/>
              </w:rPr>
            </w:pPr>
          </w:p>
        </w:tc>
        <w:tc>
          <w:tcPr>
            <w:tcW w:w="1499" w:type="dxa"/>
          </w:tcPr>
          <w:p>
            <w:pPr>
              <w:spacing w:before="190" w:after="190"/>
              <w:jc w:val="center"/>
              <w:rPr>
                <w:rFonts w:ascii="仿宋_GB2312" w:hAnsi="宋体"/>
                <w:color w:val="000000"/>
                <w:sz w:val="24"/>
              </w:rPr>
            </w:pPr>
          </w:p>
        </w:tc>
        <w:tc>
          <w:tcPr>
            <w:tcW w:w="1413" w:type="dxa"/>
          </w:tcPr>
          <w:p>
            <w:pPr>
              <w:spacing w:before="190" w:after="190"/>
              <w:jc w:val="center"/>
              <w:rPr>
                <w:rFonts w:ascii="仿宋_GB2312" w:hAnsi="宋体"/>
                <w:color w:val="000000"/>
                <w:sz w:val="24"/>
              </w:rPr>
            </w:pPr>
          </w:p>
        </w:tc>
        <w:tc>
          <w:tcPr>
            <w:tcW w:w="1567" w:type="dxa"/>
          </w:tcPr>
          <w:p>
            <w:pPr>
              <w:spacing w:before="190" w:after="190"/>
              <w:jc w:val="center"/>
              <w:rPr>
                <w:rFonts w:ascii="仿宋_GB2312" w:hAnsi="宋体"/>
                <w:color w:val="000000"/>
                <w:sz w:val="24"/>
                <w:highlight w:val="yellow"/>
              </w:rPr>
            </w:pPr>
          </w:p>
        </w:tc>
        <w:tc>
          <w:tcPr>
            <w:tcW w:w="1567" w:type="dxa"/>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exact"/>
        </w:trPr>
        <w:tc>
          <w:tcPr>
            <w:tcW w:w="1408" w:type="dxa"/>
          </w:tcPr>
          <w:p>
            <w:pPr>
              <w:spacing w:before="190" w:after="190"/>
              <w:jc w:val="center"/>
              <w:rPr>
                <w:rFonts w:ascii="仿宋_GB2312" w:hAnsi="宋体"/>
                <w:color w:val="000000"/>
                <w:sz w:val="24"/>
              </w:rPr>
            </w:pPr>
            <w:r>
              <w:rPr>
                <w:rFonts w:hint="eastAsia" w:ascii="仿宋_GB2312" w:hAnsi="宋体"/>
                <w:color w:val="000000"/>
                <w:sz w:val="24"/>
              </w:rPr>
              <w:t>重要材料</w:t>
            </w:r>
          </w:p>
        </w:tc>
        <w:tc>
          <w:tcPr>
            <w:tcW w:w="1229" w:type="dxa"/>
          </w:tcPr>
          <w:p>
            <w:pPr>
              <w:spacing w:before="190" w:after="190"/>
              <w:jc w:val="center"/>
              <w:rPr>
                <w:rFonts w:ascii="仿宋_GB2312" w:hAnsi="宋体"/>
                <w:color w:val="000000"/>
                <w:sz w:val="24"/>
              </w:rPr>
            </w:pPr>
          </w:p>
        </w:tc>
        <w:tc>
          <w:tcPr>
            <w:tcW w:w="1214" w:type="dxa"/>
          </w:tcPr>
          <w:p>
            <w:pPr>
              <w:spacing w:before="190" w:after="190"/>
              <w:jc w:val="center"/>
              <w:rPr>
                <w:rFonts w:ascii="仿宋_GB2312" w:hAnsi="宋体"/>
                <w:color w:val="000000"/>
                <w:sz w:val="24"/>
              </w:rPr>
            </w:pPr>
          </w:p>
        </w:tc>
        <w:tc>
          <w:tcPr>
            <w:tcW w:w="1342" w:type="dxa"/>
          </w:tcPr>
          <w:p>
            <w:pPr>
              <w:spacing w:before="190" w:after="190"/>
              <w:jc w:val="center"/>
              <w:rPr>
                <w:rFonts w:ascii="仿宋_GB2312" w:hAnsi="宋体"/>
                <w:color w:val="000000"/>
                <w:sz w:val="24"/>
              </w:rPr>
            </w:pPr>
          </w:p>
        </w:tc>
        <w:tc>
          <w:tcPr>
            <w:tcW w:w="1467" w:type="dxa"/>
          </w:tcPr>
          <w:p>
            <w:pPr>
              <w:spacing w:before="190" w:after="190"/>
              <w:jc w:val="center"/>
              <w:rPr>
                <w:rFonts w:ascii="仿宋_GB2312" w:hAnsi="宋体"/>
                <w:color w:val="000000"/>
                <w:sz w:val="24"/>
              </w:rPr>
            </w:pPr>
          </w:p>
        </w:tc>
        <w:tc>
          <w:tcPr>
            <w:tcW w:w="1513" w:type="dxa"/>
          </w:tcPr>
          <w:p>
            <w:pPr>
              <w:spacing w:before="190" w:after="190"/>
              <w:jc w:val="center"/>
              <w:rPr>
                <w:rFonts w:ascii="仿宋_GB2312" w:hAnsi="宋体"/>
                <w:color w:val="000000"/>
                <w:sz w:val="24"/>
              </w:rPr>
            </w:pPr>
          </w:p>
        </w:tc>
        <w:tc>
          <w:tcPr>
            <w:tcW w:w="1499" w:type="dxa"/>
          </w:tcPr>
          <w:p>
            <w:pPr>
              <w:spacing w:before="190" w:after="190"/>
              <w:jc w:val="center"/>
              <w:rPr>
                <w:rFonts w:ascii="仿宋_GB2312" w:hAnsi="宋体"/>
                <w:color w:val="000000"/>
                <w:sz w:val="24"/>
              </w:rPr>
            </w:pPr>
          </w:p>
        </w:tc>
        <w:tc>
          <w:tcPr>
            <w:tcW w:w="1413" w:type="dxa"/>
          </w:tcPr>
          <w:p>
            <w:pPr>
              <w:spacing w:before="190" w:after="190"/>
              <w:jc w:val="center"/>
              <w:rPr>
                <w:rFonts w:ascii="仿宋_GB2312" w:hAnsi="宋体"/>
                <w:color w:val="000000"/>
                <w:sz w:val="24"/>
              </w:rPr>
            </w:pPr>
          </w:p>
        </w:tc>
        <w:tc>
          <w:tcPr>
            <w:tcW w:w="1567" w:type="dxa"/>
          </w:tcPr>
          <w:p>
            <w:pPr>
              <w:spacing w:before="190" w:after="190"/>
              <w:jc w:val="center"/>
              <w:rPr>
                <w:rFonts w:ascii="仿宋_GB2312" w:hAnsi="宋体"/>
                <w:color w:val="000000"/>
                <w:sz w:val="24"/>
                <w:highlight w:val="yellow"/>
              </w:rPr>
            </w:pPr>
          </w:p>
        </w:tc>
        <w:tc>
          <w:tcPr>
            <w:tcW w:w="1567" w:type="dxa"/>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exact"/>
        </w:trPr>
        <w:tc>
          <w:tcPr>
            <w:tcW w:w="1408" w:type="dxa"/>
          </w:tcPr>
          <w:p>
            <w:pPr>
              <w:spacing w:before="190" w:after="190"/>
              <w:jc w:val="center"/>
              <w:rPr>
                <w:rFonts w:ascii="仿宋_GB2312" w:hAnsi="宋体"/>
                <w:color w:val="000000"/>
                <w:sz w:val="24"/>
              </w:rPr>
            </w:pPr>
            <w:r>
              <w:rPr>
                <w:rFonts w:hint="eastAsia" w:ascii="仿宋_GB2312" w:hAnsi="宋体"/>
                <w:color w:val="000000"/>
                <w:sz w:val="24"/>
              </w:rPr>
              <w:t>其他</w:t>
            </w:r>
          </w:p>
        </w:tc>
        <w:tc>
          <w:tcPr>
            <w:tcW w:w="1229" w:type="dxa"/>
          </w:tcPr>
          <w:p>
            <w:pPr>
              <w:spacing w:before="190" w:after="190"/>
              <w:jc w:val="center"/>
              <w:rPr>
                <w:rFonts w:ascii="仿宋_GB2312" w:hAnsi="宋体"/>
                <w:color w:val="000000"/>
                <w:sz w:val="24"/>
              </w:rPr>
            </w:pPr>
          </w:p>
        </w:tc>
        <w:tc>
          <w:tcPr>
            <w:tcW w:w="1214" w:type="dxa"/>
          </w:tcPr>
          <w:p>
            <w:pPr>
              <w:spacing w:before="190" w:after="190"/>
              <w:jc w:val="center"/>
              <w:rPr>
                <w:rFonts w:ascii="仿宋_GB2312" w:hAnsi="宋体"/>
                <w:color w:val="000000"/>
                <w:sz w:val="24"/>
              </w:rPr>
            </w:pPr>
          </w:p>
        </w:tc>
        <w:tc>
          <w:tcPr>
            <w:tcW w:w="1342" w:type="dxa"/>
          </w:tcPr>
          <w:p>
            <w:pPr>
              <w:spacing w:before="190" w:after="190"/>
              <w:jc w:val="center"/>
              <w:rPr>
                <w:rFonts w:ascii="仿宋_GB2312" w:hAnsi="宋体"/>
                <w:color w:val="000000"/>
                <w:sz w:val="24"/>
              </w:rPr>
            </w:pPr>
          </w:p>
        </w:tc>
        <w:tc>
          <w:tcPr>
            <w:tcW w:w="1467" w:type="dxa"/>
          </w:tcPr>
          <w:p>
            <w:pPr>
              <w:spacing w:before="190" w:after="190"/>
              <w:jc w:val="center"/>
              <w:rPr>
                <w:rFonts w:ascii="仿宋_GB2312" w:hAnsi="宋体"/>
                <w:color w:val="000000"/>
                <w:sz w:val="24"/>
              </w:rPr>
            </w:pPr>
          </w:p>
        </w:tc>
        <w:tc>
          <w:tcPr>
            <w:tcW w:w="1513" w:type="dxa"/>
          </w:tcPr>
          <w:p>
            <w:pPr>
              <w:spacing w:before="190" w:after="190"/>
              <w:jc w:val="center"/>
              <w:rPr>
                <w:rFonts w:ascii="仿宋_GB2312" w:hAnsi="宋体"/>
                <w:color w:val="000000"/>
                <w:sz w:val="24"/>
              </w:rPr>
            </w:pPr>
          </w:p>
        </w:tc>
        <w:tc>
          <w:tcPr>
            <w:tcW w:w="1499" w:type="dxa"/>
          </w:tcPr>
          <w:p>
            <w:pPr>
              <w:spacing w:before="190" w:after="190"/>
              <w:jc w:val="center"/>
              <w:rPr>
                <w:rFonts w:ascii="仿宋_GB2312" w:hAnsi="宋体"/>
                <w:color w:val="000000"/>
                <w:sz w:val="24"/>
              </w:rPr>
            </w:pPr>
          </w:p>
        </w:tc>
        <w:tc>
          <w:tcPr>
            <w:tcW w:w="1413" w:type="dxa"/>
          </w:tcPr>
          <w:p>
            <w:pPr>
              <w:spacing w:before="190" w:after="190"/>
              <w:jc w:val="center"/>
              <w:rPr>
                <w:rFonts w:ascii="仿宋_GB2312" w:hAnsi="宋体"/>
                <w:color w:val="000000"/>
                <w:sz w:val="24"/>
              </w:rPr>
            </w:pPr>
          </w:p>
        </w:tc>
        <w:tc>
          <w:tcPr>
            <w:tcW w:w="1567" w:type="dxa"/>
          </w:tcPr>
          <w:p>
            <w:pPr>
              <w:spacing w:before="190" w:after="190"/>
              <w:jc w:val="center"/>
              <w:rPr>
                <w:rFonts w:ascii="仿宋_GB2312" w:hAnsi="宋体"/>
                <w:color w:val="000000"/>
                <w:sz w:val="24"/>
                <w:highlight w:val="yellow"/>
              </w:rPr>
            </w:pPr>
          </w:p>
        </w:tc>
        <w:tc>
          <w:tcPr>
            <w:tcW w:w="1567" w:type="dxa"/>
          </w:tcPr>
          <w:p>
            <w:pPr>
              <w:spacing w:before="190" w:after="190"/>
              <w:jc w:val="center"/>
              <w:rPr>
                <w:rFonts w:ascii="仿宋_GB2312" w:hAnsi="宋体"/>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650" w:hRule="exact"/>
        </w:trPr>
        <w:tc>
          <w:tcPr>
            <w:tcW w:w="14219" w:type="dxa"/>
            <w:gridSpan w:val="10"/>
          </w:tcPr>
          <w:p>
            <w:pPr>
              <w:spacing w:before="190" w:after="190" w:line="260" w:lineRule="exact"/>
              <w:jc w:val="left"/>
              <w:rPr>
                <w:rFonts w:ascii="仿宋_GB2312" w:hAnsi="宋体"/>
                <w:color w:val="000000"/>
                <w:sz w:val="24"/>
              </w:rPr>
            </w:pPr>
            <w:r>
              <w:rPr>
                <w:rFonts w:hint="eastAsia" w:ascii="仿宋_GB2312" w:hAnsi="宋体"/>
                <w:b/>
                <w:color w:val="000000"/>
                <w:sz w:val="24"/>
              </w:rPr>
              <w:t>情况说明：</w:t>
            </w:r>
            <w:r>
              <w:rPr>
                <w:rFonts w:hint="eastAsia" w:ascii="仿宋_GB2312" w:hAnsi="宋体"/>
                <w:color w:val="000000"/>
                <w:sz w:val="24"/>
              </w:rPr>
              <w:t xml:space="preserve"> </w:t>
            </w:r>
          </w:p>
          <w:p>
            <w:pPr>
              <w:spacing w:before="190" w:after="190"/>
              <w:ind w:right="960" w:firstLine="2280" w:firstLineChars="950"/>
              <w:jc w:val="right"/>
              <w:rPr>
                <w:rFonts w:ascii="仿宋_GB2312" w:hAnsi="宋体"/>
                <w:color w:val="000000"/>
                <w:sz w:val="24"/>
              </w:rPr>
            </w:pPr>
            <w:r>
              <w:rPr>
                <w:rFonts w:hint="eastAsia" w:ascii="仿宋_GB2312" w:hAnsi="宋体"/>
                <w:color w:val="000000"/>
                <w:sz w:val="24"/>
              </w:rPr>
              <w:t>建设单位盖章</w:t>
            </w:r>
          </w:p>
          <w:p>
            <w:pPr>
              <w:spacing w:before="190" w:after="190"/>
              <w:jc w:val="center"/>
              <w:rPr>
                <w:rFonts w:ascii="仿宋_GB2312" w:hAnsi="宋体"/>
                <w:color w:val="000000"/>
                <w:sz w:val="24"/>
              </w:rPr>
            </w:pPr>
            <w:r>
              <w:rPr>
                <w:rFonts w:hint="eastAsia" w:ascii="仿宋_GB2312" w:hAnsi="宋体"/>
                <w:color w:val="000000"/>
                <w:sz w:val="24"/>
              </w:rPr>
              <w:t xml:space="preserve">                                                                                          年   月   日</w:t>
            </w:r>
          </w:p>
        </w:tc>
      </w:tr>
    </w:tbl>
    <w:p>
      <w:pPr>
        <w:tabs>
          <w:tab w:val="left" w:pos="992"/>
        </w:tabs>
        <w:ind w:firstLine="482"/>
        <w:rPr>
          <w:rFonts w:ascii="仿宋_GB2312"/>
          <w:b/>
          <w:color w:val="000000"/>
          <w:szCs w:val="28"/>
        </w:rPr>
      </w:pPr>
      <w:r>
        <w:rPr>
          <w:rFonts w:hint="eastAsia" w:ascii="仿宋_GB2312"/>
          <w:b/>
          <w:color w:val="000000"/>
          <w:szCs w:val="28"/>
        </w:rPr>
        <w:t>表9-2                                                         招标基本情况表</w:t>
      </w:r>
    </w:p>
    <w:p>
      <w:pPr>
        <w:spacing w:line="360" w:lineRule="auto"/>
        <w:ind w:firstLine="482"/>
        <w:rPr>
          <w:rFonts w:ascii="仿宋_GB2312"/>
          <w:b/>
          <w:color w:val="000000"/>
          <w:sz w:val="24"/>
        </w:rPr>
      </w:pPr>
      <w:r>
        <w:rPr>
          <w:rFonts w:hint="eastAsia" w:ascii="仿宋_GB2312"/>
          <w:b/>
          <w:color w:val="000000"/>
          <w:sz w:val="24"/>
        </w:rPr>
        <w:t>注：情况说明在表内填写不下，可附另页。</w:t>
      </w:r>
    </w:p>
    <w:p>
      <w:pPr>
        <w:pStyle w:val="3"/>
        <w:spacing w:line="520" w:lineRule="exact"/>
        <w:rPr>
          <w:rFonts w:cs="Arial"/>
          <w:i/>
          <w:color w:val="000000"/>
          <w:sz w:val="28"/>
          <w:szCs w:val="28"/>
        </w:rPr>
        <w:sectPr>
          <w:pgSz w:w="16838" w:h="11906" w:orient="landscape"/>
          <w:pgMar w:top="1797" w:right="1440" w:bottom="1797" w:left="1440" w:header="1160" w:footer="1180" w:gutter="0"/>
          <w:cols w:space="425" w:num="1"/>
          <w:docGrid w:type="linesAndChars" w:linePitch="312" w:charSpace="0"/>
        </w:sectPr>
      </w:pPr>
    </w:p>
    <w:p>
      <w:pPr>
        <w:pStyle w:val="2"/>
        <w:jc w:val="center"/>
        <w:rPr>
          <w:rFonts w:ascii="黑体" w:eastAsia="黑体"/>
          <w:color w:val="000000"/>
          <w:sz w:val="32"/>
          <w:szCs w:val="32"/>
        </w:rPr>
      </w:pPr>
      <w:bookmarkStart w:id="75" w:name="_Toc483131251"/>
      <w:r>
        <w:rPr>
          <w:rFonts w:hint="eastAsia" w:ascii="黑体" w:eastAsia="黑体"/>
          <w:color w:val="000000"/>
          <w:sz w:val="32"/>
          <w:szCs w:val="32"/>
        </w:rPr>
        <w:t>第十章  投资估算与资金筹措</w:t>
      </w:r>
      <w:bookmarkEnd w:id="75"/>
    </w:p>
    <w:p>
      <w:pPr>
        <w:pStyle w:val="3"/>
        <w:rPr>
          <w:rFonts w:cs="Arial"/>
          <w:color w:val="000000"/>
        </w:rPr>
      </w:pPr>
      <w:bookmarkStart w:id="76" w:name="_Toc217104205"/>
      <w:bookmarkStart w:id="77" w:name="_Toc483131252"/>
      <w:bookmarkStart w:id="78" w:name="_Toc196018786"/>
      <w:r>
        <w:rPr>
          <w:rFonts w:hint="eastAsia" w:cs="Arial"/>
          <w:color w:val="000000"/>
        </w:rPr>
        <w:t>10.1 编制范围</w:t>
      </w:r>
      <w:bookmarkEnd w:id="76"/>
      <w:bookmarkEnd w:id="77"/>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本项目工程范围包括拆除旧建筑、增设铁艺空调机位、增加墙面立体绿化、增设泛灯、加装交叉路口监控设备等。</w:t>
      </w:r>
    </w:p>
    <w:p>
      <w:pPr>
        <w:pStyle w:val="3"/>
        <w:rPr>
          <w:rFonts w:cs="Arial"/>
          <w:color w:val="000000"/>
        </w:rPr>
      </w:pPr>
      <w:bookmarkStart w:id="79" w:name="_Toc483131253"/>
      <w:bookmarkStart w:id="80" w:name="_Toc217104206"/>
      <w:r>
        <w:rPr>
          <w:rFonts w:hint="eastAsia" w:cs="Arial"/>
          <w:color w:val="000000"/>
        </w:rPr>
        <w:t>10.2 编制依据</w:t>
      </w:r>
      <w:bookmarkEnd w:id="78"/>
      <w:bookmarkEnd w:id="79"/>
      <w:bookmarkEnd w:id="80"/>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1、国家发展改革委、建设部联合以“发改投资[2006]1325号《关于印发建设项目经评价方法与参数的通知》”颁发的文件及其有关规定、方法（第三版）；</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2、中国国际工程咨询公司《投资项目经济咨询指南》；</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3、国家计委、建设部计价格[2002]10号《关于发布〈工程勘察设计收费管理规定〉的通知》。</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4、国家计委计投资[1999]1340号《国家计委关于加强对基本建设大中型项目概算中“涨价预备费”管理有关问题的通知》。</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5、国家计委《关于工程建设其他项目划分暂行规定》、《关于改进建筑安装工程费用项目划分的若干规定》。</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6、国家标准《建设工程工程量清单计价规范》(GB50500-2013)、《广东省建设工程计价通则（2010）》。</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7、发改价格[2007]670号文《建设工程监理与相关服务收费管理规定》、发改价格[2011]534号文《国家发展改革委关于降低部分建设项目收费标准规划收费行为等有关问题的通知》。</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8、国家计委计价格[2002]1980号《国家计委关于印发〈招标代理服务收费管理暂行办法〉的通知》</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9、《广东省建筑与装饰工程综合定额（2010）》。</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10、《广东省安装工程综合定额（2010）》。</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11、本报告所确定的工程技术方案和工程量；</w:t>
      </w:r>
    </w:p>
    <w:p>
      <w:pPr>
        <w:spacing w:beforeLines="50" w:afterLines="50" w:line="360" w:lineRule="auto"/>
        <w:rPr>
          <w:rFonts w:ascii="仿宋_GB2312" w:hAnsi="Arial" w:eastAsia="仿宋_GB2312"/>
          <w:color w:val="000000"/>
          <w:sz w:val="32"/>
          <w:szCs w:val="32"/>
        </w:rPr>
      </w:pPr>
      <w:r>
        <w:rPr>
          <w:rFonts w:hint="eastAsia" w:ascii="仿宋_GB2312" w:hAnsi="Arial" w:eastAsia="仿宋_GB2312"/>
          <w:color w:val="000000"/>
          <w:sz w:val="32"/>
          <w:szCs w:val="32"/>
          <w:lang w:val="en-US" w:eastAsia="zh-CN"/>
        </w:rPr>
        <w:t xml:space="preserve">    </w:t>
      </w:r>
      <w:r>
        <w:rPr>
          <w:rFonts w:hint="eastAsia" w:ascii="仿宋_GB2312" w:hAnsi="Arial" w:eastAsia="仿宋_GB2312"/>
          <w:color w:val="000000"/>
          <w:sz w:val="32"/>
          <w:szCs w:val="32"/>
        </w:rPr>
        <w:t>12、业主提供的有关投资估算资料。</w:t>
      </w:r>
    </w:p>
    <w:p>
      <w:pPr>
        <w:pStyle w:val="3"/>
        <w:rPr>
          <w:rFonts w:cs="Arial"/>
          <w:color w:val="000000"/>
        </w:rPr>
      </w:pPr>
      <w:bookmarkStart w:id="81" w:name="_Toc196018787"/>
      <w:bookmarkStart w:id="82" w:name="_Toc217104207"/>
      <w:bookmarkStart w:id="83" w:name="_Toc193706156"/>
      <w:bookmarkStart w:id="84" w:name="_Toc483131254"/>
      <w:r>
        <w:rPr>
          <w:rFonts w:hint="eastAsia" w:cs="Arial"/>
          <w:color w:val="000000"/>
        </w:rPr>
        <w:t xml:space="preserve">10.3 </w:t>
      </w:r>
      <w:bookmarkEnd w:id="81"/>
      <w:bookmarkEnd w:id="82"/>
      <w:bookmarkEnd w:id="83"/>
      <w:r>
        <w:rPr>
          <w:rFonts w:hint="eastAsia" w:cs="Arial"/>
          <w:color w:val="000000"/>
        </w:rPr>
        <w:t>估算方法</w:t>
      </w:r>
      <w:bookmarkEnd w:id="84"/>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项目投资估算根据报告确定的工程量，采取综合单价法进行估算，依据国家和地方有关收费标准估算工程建设其它费及预备费，汇总得到建设投资。</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项目工程建设其他费和预备费取费标准如下：</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1、建设单位管理费，按财建[2002]394号文计算；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2、工程设计费，按国家计委、建设部计价格[2002]10号《关于发布〈工程勘察设计收费管理规定〉的通知》计算；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3、审查费：取工程费用的1%估算；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4、工程监理费，按照《建设工程监理与相关服务收费标准》，采用插入法计算；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5、招标代理费，根据《国家发展改革委关于降低部分建设项目收费标准规划收费行为等有关问题的通知》发改价格[2011]534号文计取；</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6、城市建设配套费，参照粤价2003[160]号文计算；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7、施工图审查费，取设计费的6.5%；</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8、施工图预算编制费，取设计费的10%；</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9、可行性研究报告编制费，以协商价格估算；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10、节能评估报告编审费，以协商价格估算；</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11、基本预备费，取工程费用和其他费用（不含土地费用）之和的3%；</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12、涨价预备费，据相关政策取0。</w:t>
      </w:r>
    </w:p>
    <w:p>
      <w:pPr>
        <w:pStyle w:val="3"/>
        <w:rPr>
          <w:rFonts w:cs="Arial"/>
          <w:color w:val="000000"/>
        </w:rPr>
      </w:pPr>
      <w:bookmarkStart w:id="85" w:name="_Toc193706157"/>
      <w:bookmarkStart w:id="86" w:name="_Toc483131255"/>
      <w:bookmarkStart w:id="87" w:name="_Toc217104208"/>
      <w:bookmarkStart w:id="88" w:name="_Toc196018788"/>
      <w:r>
        <w:rPr>
          <w:rFonts w:hint="eastAsia" w:cs="Arial"/>
          <w:color w:val="000000"/>
        </w:rPr>
        <w:t xml:space="preserve">10.4 </w:t>
      </w:r>
      <w:bookmarkEnd w:id="85"/>
      <w:r>
        <w:rPr>
          <w:rFonts w:hint="eastAsia" w:cs="Arial"/>
          <w:color w:val="000000"/>
        </w:rPr>
        <w:t>总投资</w:t>
      </w:r>
      <w:bookmarkEnd w:id="86"/>
      <w:bookmarkEnd w:id="87"/>
      <w:bookmarkEnd w:id="88"/>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本项目建设投资13069.06万元，其中工程费用11054.80万元、其它费用1633.61万元、预备费380.65万元。</w:t>
      </w:r>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建设投资估算表见表10-1。</w:t>
      </w:r>
    </w:p>
    <w:p>
      <w:pPr>
        <w:spacing w:beforeLines="50" w:afterLines="50" w:line="360" w:lineRule="auto"/>
        <w:ind w:firstLine="640" w:firstLineChars="200"/>
        <w:rPr>
          <w:rFonts w:ascii="仿宋_GB2312" w:hAnsi="Arial" w:eastAsia="仿宋_GB2312"/>
          <w:color w:val="000000"/>
          <w:sz w:val="32"/>
          <w:szCs w:val="32"/>
        </w:rPr>
        <w:sectPr>
          <w:pgSz w:w="11906" w:h="16838"/>
          <w:pgMar w:top="1440" w:right="1800" w:bottom="1440" w:left="1800" w:header="851" w:footer="992" w:gutter="0"/>
          <w:cols w:space="425" w:num="1"/>
          <w:docGrid w:type="lines" w:linePitch="312" w:charSpace="0"/>
        </w:sectPr>
      </w:pPr>
    </w:p>
    <w:p>
      <w:pPr>
        <w:spacing w:beforeLines="50" w:afterLines="50" w:line="540" w:lineRule="exact"/>
        <w:jc w:val="center"/>
        <w:rPr>
          <w:rFonts w:ascii="黑体" w:hAnsi="Arial" w:eastAsia="黑体"/>
          <w:b/>
          <w:color w:val="000000"/>
          <w:sz w:val="28"/>
          <w:szCs w:val="28"/>
        </w:rPr>
      </w:pPr>
      <w:r>
        <w:rPr>
          <w:rFonts w:hint="eastAsia" w:ascii="黑体" w:hAnsi="Arial" w:eastAsia="黑体"/>
          <w:b/>
          <w:color w:val="000000"/>
          <w:sz w:val="28"/>
          <w:szCs w:val="28"/>
        </w:rPr>
        <w:t>建设投资估算表</w:t>
      </w:r>
    </w:p>
    <w:p>
      <w:pPr>
        <w:spacing w:line="540" w:lineRule="exact"/>
        <w:rPr>
          <w:rFonts w:ascii="仿宋_GB2312" w:hAnsi="Arial" w:eastAsia="仿宋_GB2312"/>
          <w:color w:val="000000"/>
          <w:sz w:val="24"/>
        </w:rPr>
      </w:pPr>
      <w:r>
        <w:rPr>
          <w:rFonts w:hint="eastAsia" w:ascii="仿宋_GB2312" w:hAnsi="Arial" w:eastAsia="仿宋_GB2312"/>
          <w:color w:val="000000"/>
          <w:sz w:val="24"/>
        </w:rPr>
        <w:t>表10-1                                                                                                单位：万元</w:t>
      </w:r>
    </w:p>
    <w:tbl>
      <w:tblPr>
        <w:tblStyle w:val="31"/>
        <w:tblW w:w="15654" w:type="dxa"/>
        <w:jc w:val="center"/>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2441"/>
        <w:gridCol w:w="1117"/>
        <w:gridCol w:w="1117"/>
        <w:gridCol w:w="1260"/>
        <w:gridCol w:w="1039"/>
        <w:gridCol w:w="1237"/>
        <w:gridCol w:w="1120"/>
        <w:gridCol w:w="1296"/>
        <w:gridCol w:w="1716"/>
        <w:gridCol w:w="1068"/>
        <w:gridCol w:w="116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blHeader/>
          <w:jc w:val="center"/>
        </w:trPr>
        <w:tc>
          <w:tcPr>
            <w:tcW w:w="1082" w:type="dxa"/>
            <w:vMerge w:val="restart"/>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序号</w:t>
            </w:r>
          </w:p>
        </w:tc>
        <w:tc>
          <w:tcPr>
            <w:tcW w:w="2441" w:type="dxa"/>
            <w:vMerge w:val="restart"/>
            <w:shd w:val="clear" w:color="auto" w:fill="auto"/>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项目或费用名称</w:t>
            </w:r>
          </w:p>
        </w:tc>
        <w:tc>
          <w:tcPr>
            <w:tcW w:w="5770" w:type="dxa"/>
            <w:gridSpan w:val="5"/>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估算金额（万元）</w:t>
            </w:r>
          </w:p>
        </w:tc>
        <w:tc>
          <w:tcPr>
            <w:tcW w:w="4132" w:type="dxa"/>
            <w:gridSpan w:val="3"/>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估算指标</w:t>
            </w:r>
          </w:p>
        </w:tc>
        <w:tc>
          <w:tcPr>
            <w:tcW w:w="1068" w:type="dxa"/>
            <w:vMerge w:val="restart"/>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占总投资比例（%）</w:t>
            </w:r>
          </w:p>
        </w:tc>
        <w:tc>
          <w:tcPr>
            <w:tcW w:w="1161" w:type="dxa"/>
            <w:vMerge w:val="restart"/>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blHeader/>
          <w:jc w:val="center"/>
        </w:trPr>
        <w:tc>
          <w:tcPr>
            <w:tcW w:w="1082" w:type="dxa"/>
            <w:vMerge w:val="continue"/>
            <w:vAlign w:val="center"/>
          </w:tcPr>
          <w:p>
            <w:pPr>
              <w:widowControl/>
              <w:jc w:val="left"/>
              <w:rPr>
                <w:rFonts w:ascii="仿宋_GB2312" w:hAnsi="宋体" w:eastAsia="仿宋_GB2312" w:cs="宋体"/>
                <w:b/>
                <w:bCs/>
                <w:color w:val="000000"/>
                <w:kern w:val="0"/>
                <w:szCs w:val="21"/>
              </w:rPr>
            </w:pPr>
          </w:p>
        </w:tc>
        <w:tc>
          <w:tcPr>
            <w:tcW w:w="2441" w:type="dxa"/>
            <w:vMerge w:val="continue"/>
            <w:vAlign w:val="center"/>
          </w:tcPr>
          <w:p>
            <w:pPr>
              <w:widowControl/>
              <w:jc w:val="left"/>
              <w:rPr>
                <w:rFonts w:ascii="仿宋_GB2312" w:hAnsi="宋体" w:eastAsia="仿宋_GB2312" w:cs="宋体"/>
                <w:b/>
                <w:bCs/>
                <w:color w:val="000000"/>
                <w:kern w:val="0"/>
                <w:szCs w:val="21"/>
              </w:rPr>
            </w:pPr>
          </w:p>
        </w:tc>
        <w:tc>
          <w:tcPr>
            <w:tcW w:w="1117"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建筑工程费</w:t>
            </w:r>
          </w:p>
        </w:tc>
        <w:tc>
          <w:tcPr>
            <w:tcW w:w="1117"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材料费</w:t>
            </w:r>
          </w:p>
        </w:tc>
        <w:tc>
          <w:tcPr>
            <w:tcW w:w="1260"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安装费</w:t>
            </w:r>
          </w:p>
        </w:tc>
        <w:tc>
          <w:tcPr>
            <w:tcW w:w="1039"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其他费用</w:t>
            </w:r>
          </w:p>
        </w:tc>
        <w:tc>
          <w:tcPr>
            <w:tcW w:w="1237" w:type="dxa"/>
            <w:shd w:val="clear" w:color="auto" w:fill="auto"/>
            <w:vAlign w:val="center"/>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合计</w:t>
            </w:r>
          </w:p>
        </w:tc>
        <w:tc>
          <w:tcPr>
            <w:tcW w:w="1120"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单位</w:t>
            </w:r>
          </w:p>
        </w:tc>
        <w:tc>
          <w:tcPr>
            <w:tcW w:w="1296"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数量</w:t>
            </w:r>
          </w:p>
        </w:tc>
        <w:tc>
          <w:tcPr>
            <w:tcW w:w="1716" w:type="dxa"/>
            <w:shd w:val="clear" w:color="auto" w:fill="auto"/>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单价</w:t>
            </w:r>
          </w:p>
        </w:tc>
        <w:tc>
          <w:tcPr>
            <w:tcW w:w="1068" w:type="dxa"/>
            <w:vMerge w:val="continue"/>
            <w:vAlign w:val="center"/>
          </w:tcPr>
          <w:p>
            <w:pPr>
              <w:widowControl/>
              <w:jc w:val="left"/>
              <w:rPr>
                <w:rFonts w:ascii="仿宋_GB2312" w:hAnsi="宋体" w:eastAsia="仿宋_GB2312" w:cs="宋体"/>
                <w:b/>
                <w:bCs/>
                <w:color w:val="000000"/>
                <w:kern w:val="0"/>
                <w:szCs w:val="21"/>
              </w:rPr>
            </w:pPr>
          </w:p>
        </w:tc>
        <w:tc>
          <w:tcPr>
            <w:tcW w:w="1161" w:type="dxa"/>
            <w:vMerge w:val="continue"/>
            <w:vAlign w:val="center"/>
          </w:tcPr>
          <w:p>
            <w:pPr>
              <w:widowControl/>
              <w:jc w:val="left"/>
              <w:rPr>
                <w:rFonts w:ascii="仿宋_GB2312" w:hAnsi="宋体" w:eastAsia="仿宋_GB2312" w:cs="宋体"/>
                <w:b/>
                <w:bCs/>
                <w:color w:val="000000"/>
                <w:kern w:val="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一</w:t>
            </w:r>
          </w:p>
        </w:tc>
        <w:tc>
          <w:tcPr>
            <w:tcW w:w="2441" w:type="dxa"/>
            <w:shd w:val="clear" w:color="auto" w:fill="auto"/>
            <w:vAlign w:val="bottom"/>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工程费用</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2856.11 </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6538.62 </w:t>
            </w: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1550.61 </w:t>
            </w: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109.45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11054.80 </w:t>
            </w:r>
          </w:p>
        </w:tc>
        <w:tc>
          <w:tcPr>
            <w:tcW w:w="1120" w:type="dxa"/>
            <w:shd w:val="clear" w:color="auto" w:fill="auto"/>
            <w:vAlign w:val="bottom"/>
          </w:tcPr>
          <w:p>
            <w:pPr>
              <w:jc w:val="right"/>
              <w:rPr>
                <w:rFonts w:ascii="仿宋_GB2312" w:hAnsi="宋体" w:eastAsia="仿宋_GB2312" w:cs="宋体"/>
                <w:b/>
                <w:bCs/>
                <w:color w:val="000000"/>
                <w:szCs w:val="21"/>
              </w:rPr>
            </w:pPr>
          </w:p>
        </w:tc>
        <w:tc>
          <w:tcPr>
            <w:tcW w:w="1296" w:type="dxa"/>
            <w:shd w:val="clear" w:color="auto" w:fill="auto"/>
            <w:vAlign w:val="bottom"/>
          </w:tcPr>
          <w:p>
            <w:pPr>
              <w:jc w:val="right"/>
              <w:rPr>
                <w:rFonts w:ascii="仿宋_GB2312" w:hAnsi="宋体" w:eastAsia="仿宋_GB2312" w:cs="宋体"/>
                <w:b/>
                <w:bCs/>
                <w:color w:val="000000"/>
                <w:szCs w:val="21"/>
              </w:rPr>
            </w:pPr>
          </w:p>
        </w:tc>
        <w:tc>
          <w:tcPr>
            <w:tcW w:w="1716" w:type="dxa"/>
            <w:shd w:val="clear" w:color="auto" w:fill="auto"/>
            <w:vAlign w:val="bottom"/>
          </w:tcPr>
          <w:p>
            <w:pPr>
              <w:jc w:val="right"/>
              <w:rPr>
                <w:rFonts w:ascii="仿宋_GB2312" w:hAnsi="宋体" w:eastAsia="仿宋_GB2312" w:cs="宋体"/>
                <w:b/>
                <w:bCs/>
                <w:color w:val="000000"/>
                <w:szCs w:val="21"/>
              </w:rPr>
            </w:pPr>
          </w:p>
        </w:tc>
        <w:tc>
          <w:tcPr>
            <w:tcW w:w="1068" w:type="dxa"/>
            <w:shd w:val="clear" w:color="auto" w:fill="auto"/>
            <w:vAlign w:val="bottom"/>
          </w:tcPr>
          <w:p>
            <w:pPr>
              <w:jc w:val="right"/>
              <w:rPr>
                <w:rFonts w:ascii="仿宋_GB2312" w:hAnsi="宋体" w:eastAsia="仿宋_GB2312" w:cs="宋体"/>
                <w:b/>
                <w:bCs/>
                <w:color w:val="000000"/>
                <w:szCs w:val="21"/>
              </w:rPr>
            </w:pPr>
            <w:r>
              <w:rPr>
                <w:rFonts w:hint="eastAsia" w:ascii="仿宋_GB2312" w:hAnsi="宋体" w:eastAsia="仿宋_GB2312"/>
                <w:b/>
                <w:bCs/>
                <w:color w:val="000000"/>
                <w:szCs w:val="21"/>
              </w:rPr>
              <w:t>84.59%</w:t>
            </w: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244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外墙修缮工程</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2377.01 </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5263.39 </w:t>
            </w: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1018.72 </w:t>
            </w: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8659.13 </w:t>
            </w:r>
          </w:p>
        </w:tc>
        <w:tc>
          <w:tcPr>
            <w:tcW w:w="1120" w:type="dxa"/>
            <w:shd w:val="clear" w:color="auto" w:fill="auto"/>
            <w:vAlign w:val="center"/>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bottom"/>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1.1</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建筑工程</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2377.01 </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260" w:type="dxa"/>
            <w:shd w:val="clear" w:color="auto" w:fill="auto"/>
            <w:textDirection w:val="lrTb"/>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255.89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材料购置</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5263.39 </w:t>
            </w:r>
          </w:p>
        </w:tc>
        <w:tc>
          <w:tcPr>
            <w:tcW w:w="1260" w:type="dxa"/>
            <w:shd w:val="clear" w:color="auto" w:fill="auto"/>
            <w:textDirection w:val="lrTb"/>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566.61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1.3</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安装费</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1018.72 </w:t>
            </w: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109.67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p>
        </w:tc>
        <w:tc>
          <w:tcPr>
            <w:tcW w:w="244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景观工程</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199.79 </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595.96 </w:t>
            </w: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274.68 </w:t>
            </w: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1070.41 </w:t>
            </w:r>
          </w:p>
        </w:tc>
        <w:tc>
          <w:tcPr>
            <w:tcW w:w="1120" w:type="dxa"/>
            <w:shd w:val="clear" w:color="auto" w:fill="auto"/>
            <w:vAlign w:val="center"/>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olor w:val="000000"/>
                <w:szCs w:val="21"/>
              </w:rPr>
            </w:pPr>
          </w:p>
        </w:tc>
        <w:tc>
          <w:tcPr>
            <w:tcW w:w="1716" w:type="dxa"/>
            <w:shd w:val="clear" w:color="auto" w:fill="auto"/>
            <w:textDirection w:val="lrTb"/>
            <w:vAlign w:val="center"/>
          </w:tcPr>
          <w:p>
            <w:pPr>
              <w:jc w:val="right"/>
              <w:rPr>
                <w:rFonts w:ascii="仿宋_GB2312" w:hAnsi="宋体" w:eastAsia="仿宋_GB2312"/>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2.1</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建筑工程</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199.79 </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260" w:type="dxa"/>
            <w:shd w:val="clear" w:color="auto" w:fill="auto"/>
            <w:textDirection w:val="lrTb"/>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21.51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2.2</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材料购置</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595.96 </w:t>
            </w:r>
          </w:p>
        </w:tc>
        <w:tc>
          <w:tcPr>
            <w:tcW w:w="1260" w:type="dxa"/>
            <w:shd w:val="clear" w:color="auto" w:fill="auto"/>
            <w:textDirection w:val="lrTb"/>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64.15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2.3</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安装费</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274.68 </w:t>
            </w: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29.57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亮化美化工程</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279.31 </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445.28 </w:t>
            </w: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185.21 </w:t>
            </w: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909.80 </w:t>
            </w:r>
          </w:p>
        </w:tc>
        <w:tc>
          <w:tcPr>
            <w:tcW w:w="1120" w:type="dxa"/>
            <w:shd w:val="clear" w:color="auto" w:fill="auto"/>
            <w:vAlign w:val="center"/>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olor w:val="000000"/>
                <w:szCs w:val="21"/>
              </w:rPr>
            </w:pPr>
          </w:p>
        </w:tc>
        <w:tc>
          <w:tcPr>
            <w:tcW w:w="1716" w:type="dxa"/>
            <w:shd w:val="clear" w:color="auto" w:fill="auto"/>
            <w:textDirection w:val="lrTb"/>
            <w:vAlign w:val="center"/>
          </w:tcPr>
          <w:p>
            <w:pPr>
              <w:jc w:val="right"/>
              <w:rPr>
                <w:rFonts w:ascii="仿宋_GB2312" w:hAnsi="宋体" w:eastAsia="仿宋_GB2312"/>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3.1</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建筑工程</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279.31 </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260" w:type="dxa"/>
            <w:shd w:val="clear" w:color="auto" w:fill="auto"/>
            <w:textDirection w:val="lrTb"/>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30.07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3.2</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材料购置</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445.28 </w:t>
            </w:r>
          </w:p>
        </w:tc>
        <w:tc>
          <w:tcPr>
            <w:tcW w:w="1260" w:type="dxa"/>
            <w:shd w:val="clear" w:color="auto" w:fill="auto"/>
            <w:textDirection w:val="lrTb"/>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47.93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3.3</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安装费</w:t>
            </w: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117" w:type="dxa"/>
            <w:shd w:val="clear" w:color="auto" w:fill="auto"/>
            <w:textDirection w:val="lrTb"/>
            <w:vAlign w:val="bottom"/>
          </w:tcPr>
          <w:p>
            <w:pPr>
              <w:jc w:val="right"/>
              <w:rPr>
                <w:rFonts w:ascii="仿宋_GB2312" w:hAnsi="宋体" w:eastAsia="仿宋_GB2312" w:cs="宋体"/>
                <w:color w:val="000000"/>
                <w:szCs w:val="21"/>
              </w:rPr>
            </w:pP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185.21 </w:t>
            </w:r>
          </w:p>
        </w:tc>
        <w:tc>
          <w:tcPr>
            <w:tcW w:w="1039" w:type="dxa"/>
            <w:shd w:val="clear" w:color="auto" w:fill="auto"/>
            <w:textDirection w:val="lrTb"/>
            <w:vAlign w:val="bottom"/>
          </w:tcPr>
          <w:p>
            <w:pPr>
              <w:jc w:val="right"/>
              <w:rPr>
                <w:rFonts w:ascii="仿宋_GB2312" w:hAnsi="宋体" w:eastAsia="仿宋_GB2312" w:cs="宋体"/>
                <w:color w:val="000000"/>
                <w:szCs w:val="21"/>
              </w:rPr>
            </w:pPr>
          </w:p>
        </w:tc>
        <w:tc>
          <w:tcPr>
            <w:tcW w:w="1237" w:type="dxa"/>
            <w:shd w:val="clear" w:color="auto" w:fill="auto"/>
            <w:textDirection w:val="lrTb"/>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color w:val="000000"/>
                <w:szCs w:val="21"/>
              </w:rPr>
              <w:t>㎡</w:t>
            </w:r>
          </w:p>
        </w:tc>
        <w:tc>
          <w:tcPr>
            <w:tcW w:w="1296" w:type="dxa"/>
            <w:shd w:val="clear" w:color="auto" w:fill="auto"/>
            <w:vAlign w:val="bottom"/>
          </w:tcPr>
          <w:p>
            <w:pPr>
              <w:jc w:val="right"/>
              <w:rPr>
                <w:rFonts w:ascii="仿宋_GB2312" w:hAnsi="宋体" w:eastAsia="仿宋_GB2312"/>
                <w:color w:val="000000"/>
                <w:szCs w:val="21"/>
              </w:rPr>
            </w:pPr>
            <w:r>
              <w:rPr>
                <w:rFonts w:hint="eastAsia" w:ascii="仿宋_GB2312" w:hAnsi="宋体" w:eastAsia="仿宋_GB2312"/>
                <w:color w:val="000000"/>
                <w:szCs w:val="21"/>
              </w:rPr>
              <w:t>92893.39</w:t>
            </w:r>
          </w:p>
        </w:tc>
        <w:tc>
          <w:tcPr>
            <w:tcW w:w="1716" w:type="dxa"/>
            <w:shd w:val="clear" w:color="auto" w:fill="auto"/>
            <w:textDirection w:val="lrTb"/>
            <w:vAlign w:val="center"/>
          </w:tcPr>
          <w:p>
            <w:pPr>
              <w:keepNext w:val="0"/>
              <w:keepLines w:val="0"/>
              <w:widowControl/>
              <w:suppressLineNumbers w:val="0"/>
              <w:jc w:val="right"/>
              <w:textAlignment w:val="center"/>
              <w:rPr>
                <w:rFonts w:ascii="仿宋_GB2312" w:hAnsi="宋体" w:eastAsia="仿宋_GB2312"/>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19.94 </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道路监控工程</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234.00</w:t>
            </w:r>
          </w:p>
        </w:tc>
        <w:tc>
          <w:tcPr>
            <w:tcW w:w="1260"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72.00</w:t>
            </w:r>
          </w:p>
        </w:tc>
        <w:tc>
          <w:tcPr>
            <w:tcW w:w="1039" w:type="dxa"/>
            <w:shd w:val="clear" w:color="auto" w:fill="auto"/>
            <w:vAlign w:val="bottom"/>
          </w:tcPr>
          <w:p>
            <w:pPr>
              <w:jc w:val="right"/>
              <w:rPr>
                <w:rFonts w:ascii="仿宋_GB2312" w:hAnsi="宋体" w:eastAsia="仿宋_GB2312" w:cs="宋体"/>
                <w:color w:val="000000"/>
                <w:szCs w:val="21"/>
              </w:rPr>
            </w:pPr>
          </w:p>
        </w:tc>
        <w:tc>
          <w:tcPr>
            <w:tcW w:w="1237"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306.00</w:t>
            </w:r>
          </w:p>
        </w:tc>
        <w:tc>
          <w:tcPr>
            <w:tcW w:w="1120" w:type="dxa"/>
            <w:shd w:val="clear" w:color="auto" w:fill="auto"/>
            <w:vAlign w:val="center"/>
          </w:tcPr>
          <w:p>
            <w:pPr>
              <w:jc w:val="right"/>
              <w:rPr>
                <w:rFonts w:ascii="仿宋_GB2312" w:hAnsi="宋体" w:eastAsia="仿宋_GB2312" w:cs="宋体"/>
                <w:color w:val="000000"/>
                <w:szCs w:val="21"/>
              </w:rPr>
            </w:pPr>
          </w:p>
        </w:tc>
        <w:tc>
          <w:tcPr>
            <w:tcW w:w="1296" w:type="dxa"/>
            <w:shd w:val="clear" w:color="auto" w:fill="auto"/>
            <w:vAlign w:val="center"/>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4.1</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材料购置</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234.00</w:t>
            </w: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vAlign w:val="bottom"/>
          </w:tcPr>
          <w:p>
            <w:pPr>
              <w:jc w:val="right"/>
              <w:rPr>
                <w:rFonts w:ascii="仿宋_GB2312" w:hAnsi="宋体" w:eastAsia="仿宋_GB2312" w:cs="宋体"/>
                <w:color w:val="000000"/>
                <w:szCs w:val="21"/>
              </w:rPr>
            </w:pPr>
          </w:p>
        </w:tc>
        <w:tc>
          <w:tcPr>
            <w:tcW w:w="1237" w:type="dxa"/>
            <w:shd w:val="clear" w:color="auto" w:fill="auto"/>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eastAsia="仿宋_GB2312"/>
                <w:color w:val="000000"/>
                <w:szCs w:val="21"/>
              </w:rPr>
              <w:t>项</w:t>
            </w:r>
          </w:p>
        </w:tc>
        <w:tc>
          <w:tcPr>
            <w:tcW w:w="1296" w:type="dxa"/>
            <w:shd w:val="clear" w:color="auto" w:fill="auto"/>
            <w:vAlign w:val="center"/>
          </w:tcPr>
          <w:p>
            <w:pPr>
              <w:jc w:val="right"/>
              <w:rPr>
                <w:rFonts w:ascii="仿宋_GB2312" w:hAnsi="宋体" w:eastAsia="仿宋_GB2312" w:cs="宋体"/>
                <w:color w:val="000000"/>
                <w:szCs w:val="21"/>
              </w:rPr>
            </w:pPr>
            <w:r>
              <w:rPr>
                <w:rFonts w:hint="eastAsia" w:ascii="仿宋_GB2312" w:hAnsi="宋体" w:eastAsia="仿宋_GB2312"/>
                <w:color w:val="000000"/>
                <w:szCs w:val="21"/>
              </w:rPr>
              <w:t>10</w:t>
            </w:r>
          </w:p>
        </w:tc>
        <w:tc>
          <w:tcPr>
            <w:tcW w:w="1716" w:type="dxa"/>
            <w:shd w:val="clear" w:color="auto" w:fill="auto"/>
            <w:vAlign w:val="center"/>
          </w:tcPr>
          <w:p>
            <w:pPr>
              <w:jc w:val="right"/>
              <w:rPr>
                <w:rFonts w:ascii="仿宋_GB2312" w:hAnsi="宋体" w:eastAsia="仿宋_GB2312" w:cs="宋体"/>
                <w:color w:val="000000"/>
                <w:szCs w:val="21"/>
              </w:rPr>
            </w:pPr>
            <w:r>
              <w:rPr>
                <w:rFonts w:hint="eastAsia" w:ascii="仿宋_GB2312" w:hAnsi="宋体" w:eastAsia="仿宋_GB2312"/>
                <w:color w:val="000000"/>
                <w:szCs w:val="21"/>
              </w:rPr>
              <w:t>234000.00</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4.2</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安装费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72.00</w:t>
            </w:r>
          </w:p>
        </w:tc>
        <w:tc>
          <w:tcPr>
            <w:tcW w:w="1039" w:type="dxa"/>
            <w:shd w:val="clear" w:color="auto" w:fill="auto"/>
            <w:vAlign w:val="bottom"/>
          </w:tcPr>
          <w:p>
            <w:pPr>
              <w:jc w:val="right"/>
              <w:rPr>
                <w:rFonts w:ascii="仿宋_GB2312" w:hAnsi="宋体" w:eastAsia="仿宋_GB2312" w:cs="宋体"/>
                <w:color w:val="000000"/>
                <w:szCs w:val="21"/>
              </w:rPr>
            </w:pPr>
          </w:p>
        </w:tc>
        <w:tc>
          <w:tcPr>
            <w:tcW w:w="1237" w:type="dxa"/>
            <w:shd w:val="clear" w:color="auto" w:fill="auto"/>
            <w:vAlign w:val="bottom"/>
          </w:tcPr>
          <w:p>
            <w:pPr>
              <w:jc w:val="right"/>
              <w:rPr>
                <w:rFonts w:ascii="仿宋_GB2312" w:hAnsi="宋体" w:eastAsia="仿宋_GB2312" w:cs="宋体"/>
                <w:color w:val="000000"/>
                <w:szCs w:val="21"/>
              </w:rPr>
            </w:pPr>
          </w:p>
        </w:tc>
        <w:tc>
          <w:tcPr>
            <w:tcW w:w="1120" w:type="dxa"/>
            <w:shd w:val="clear" w:color="auto" w:fill="auto"/>
            <w:vAlign w:val="center"/>
          </w:tcPr>
          <w:p>
            <w:pPr>
              <w:jc w:val="right"/>
              <w:rPr>
                <w:rFonts w:ascii="仿宋_GB2312" w:hAnsi="宋体" w:eastAsia="仿宋_GB2312" w:cs="宋体"/>
                <w:color w:val="000000"/>
                <w:szCs w:val="21"/>
              </w:rPr>
            </w:pPr>
            <w:r>
              <w:rPr>
                <w:rFonts w:hint="eastAsia" w:ascii="仿宋_GB2312" w:hAnsi="宋体" w:eastAsia="仿宋_GB2312"/>
                <w:color w:val="000000"/>
                <w:szCs w:val="21"/>
              </w:rPr>
              <w:t>项</w:t>
            </w:r>
          </w:p>
        </w:tc>
        <w:tc>
          <w:tcPr>
            <w:tcW w:w="1296" w:type="dxa"/>
            <w:shd w:val="clear" w:color="auto" w:fill="auto"/>
            <w:vAlign w:val="center"/>
          </w:tcPr>
          <w:p>
            <w:pPr>
              <w:jc w:val="right"/>
              <w:rPr>
                <w:rFonts w:ascii="仿宋_GB2312" w:hAnsi="宋体" w:eastAsia="仿宋_GB2312" w:cs="宋体"/>
                <w:color w:val="000000"/>
                <w:szCs w:val="21"/>
              </w:rPr>
            </w:pPr>
            <w:r>
              <w:rPr>
                <w:rFonts w:hint="eastAsia" w:ascii="仿宋_GB2312" w:hAnsi="宋体" w:eastAsia="仿宋_GB2312"/>
                <w:color w:val="000000"/>
                <w:szCs w:val="21"/>
              </w:rPr>
              <w:t>10</w:t>
            </w:r>
          </w:p>
        </w:tc>
        <w:tc>
          <w:tcPr>
            <w:tcW w:w="1716" w:type="dxa"/>
            <w:shd w:val="clear" w:color="auto" w:fill="auto"/>
            <w:vAlign w:val="center"/>
          </w:tcPr>
          <w:p>
            <w:pPr>
              <w:jc w:val="right"/>
              <w:rPr>
                <w:rFonts w:ascii="仿宋_GB2312" w:hAnsi="宋体" w:eastAsia="仿宋_GB2312" w:cs="宋体"/>
                <w:color w:val="000000"/>
                <w:szCs w:val="21"/>
              </w:rPr>
            </w:pPr>
            <w:r>
              <w:rPr>
                <w:rFonts w:hint="eastAsia" w:ascii="仿宋_GB2312" w:hAnsi="宋体" w:eastAsia="仿宋_GB2312"/>
                <w:color w:val="000000"/>
                <w:szCs w:val="21"/>
              </w:rPr>
              <w:t>72000.00</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5</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场地准备及临时设施费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109.45</w:t>
            </w:r>
          </w:p>
        </w:tc>
        <w:tc>
          <w:tcPr>
            <w:tcW w:w="1237"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109.45</w:t>
            </w:r>
          </w:p>
        </w:tc>
        <w:tc>
          <w:tcPr>
            <w:tcW w:w="1120" w:type="dxa"/>
            <w:shd w:val="clear" w:color="auto" w:fill="auto"/>
            <w:vAlign w:val="center"/>
          </w:tcPr>
          <w:p>
            <w:pPr>
              <w:jc w:val="right"/>
              <w:rPr>
                <w:rFonts w:ascii="仿宋_GB2312" w:hAnsi="宋体" w:eastAsia="仿宋_GB2312" w:cs="宋体"/>
                <w:color w:val="000000"/>
                <w:szCs w:val="21"/>
              </w:rPr>
            </w:pPr>
          </w:p>
        </w:tc>
        <w:tc>
          <w:tcPr>
            <w:tcW w:w="1296" w:type="dxa"/>
            <w:shd w:val="clear" w:color="auto" w:fill="auto"/>
            <w:vAlign w:val="center"/>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082"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二</w:t>
            </w:r>
          </w:p>
        </w:tc>
        <w:tc>
          <w:tcPr>
            <w:tcW w:w="2441" w:type="dxa"/>
            <w:shd w:val="clear" w:color="auto" w:fill="auto"/>
            <w:vAlign w:val="bottom"/>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工程建设其他费</w:t>
            </w:r>
          </w:p>
        </w:tc>
        <w:tc>
          <w:tcPr>
            <w:tcW w:w="1117" w:type="dxa"/>
            <w:shd w:val="clear" w:color="auto" w:fill="auto"/>
            <w:vAlign w:val="bottom"/>
          </w:tcPr>
          <w:p>
            <w:pPr>
              <w:jc w:val="right"/>
              <w:rPr>
                <w:rFonts w:ascii="仿宋_GB2312" w:hAnsi="宋体" w:eastAsia="仿宋_GB2312" w:cs="宋体"/>
                <w:b/>
                <w:bCs/>
                <w:color w:val="000000"/>
                <w:szCs w:val="21"/>
              </w:rPr>
            </w:pPr>
          </w:p>
        </w:tc>
        <w:tc>
          <w:tcPr>
            <w:tcW w:w="1117" w:type="dxa"/>
            <w:shd w:val="clear" w:color="auto" w:fill="auto"/>
            <w:vAlign w:val="bottom"/>
          </w:tcPr>
          <w:p>
            <w:pPr>
              <w:jc w:val="right"/>
              <w:rPr>
                <w:rFonts w:ascii="仿宋_GB2312" w:hAnsi="宋体" w:eastAsia="仿宋_GB2312" w:cs="宋体"/>
                <w:b/>
                <w:bCs/>
                <w:color w:val="000000"/>
                <w:szCs w:val="21"/>
              </w:rPr>
            </w:pPr>
          </w:p>
        </w:tc>
        <w:tc>
          <w:tcPr>
            <w:tcW w:w="1260" w:type="dxa"/>
            <w:shd w:val="clear" w:color="auto" w:fill="auto"/>
            <w:vAlign w:val="bottom"/>
          </w:tcPr>
          <w:p>
            <w:pPr>
              <w:jc w:val="right"/>
              <w:rPr>
                <w:rFonts w:ascii="仿宋_GB2312" w:hAnsi="宋体" w:eastAsia="仿宋_GB2312" w:cs="宋体"/>
                <w:b/>
                <w:bCs/>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1633.61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1633.61 </w:t>
            </w:r>
          </w:p>
        </w:tc>
        <w:tc>
          <w:tcPr>
            <w:tcW w:w="1120" w:type="dxa"/>
            <w:shd w:val="clear" w:color="auto" w:fill="auto"/>
            <w:vAlign w:val="bottom"/>
          </w:tcPr>
          <w:p>
            <w:pPr>
              <w:jc w:val="right"/>
              <w:rPr>
                <w:rFonts w:ascii="仿宋_GB2312" w:hAnsi="宋体" w:eastAsia="仿宋_GB2312" w:cs="宋体"/>
                <w:b/>
                <w:bCs/>
                <w:color w:val="000000"/>
                <w:szCs w:val="21"/>
              </w:rPr>
            </w:pPr>
          </w:p>
        </w:tc>
        <w:tc>
          <w:tcPr>
            <w:tcW w:w="1296" w:type="dxa"/>
            <w:shd w:val="clear" w:color="auto" w:fill="auto"/>
            <w:vAlign w:val="bottom"/>
          </w:tcPr>
          <w:p>
            <w:pPr>
              <w:jc w:val="right"/>
              <w:rPr>
                <w:rFonts w:ascii="仿宋_GB2312" w:hAnsi="宋体" w:eastAsia="仿宋_GB2312" w:cs="宋体"/>
                <w:b/>
                <w:bCs/>
                <w:color w:val="000000"/>
                <w:szCs w:val="21"/>
              </w:rPr>
            </w:pPr>
          </w:p>
        </w:tc>
        <w:tc>
          <w:tcPr>
            <w:tcW w:w="1716" w:type="dxa"/>
            <w:shd w:val="clear" w:color="auto" w:fill="auto"/>
            <w:vAlign w:val="bottom"/>
          </w:tcPr>
          <w:p>
            <w:pPr>
              <w:jc w:val="right"/>
              <w:rPr>
                <w:rFonts w:ascii="仿宋_GB2312" w:hAnsi="宋体" w:eastAsia="仿宋_GB2312" w:cs="宋体"/>
                <w:b/>
                <w:bCs/>
                <w:color w:val="000000"/>
                <w:szCs w:val="21"/>
              </w:rPr>
            </w:pPr>
          </w:p>
        </w:tc>
        <w:tc>
          <w:tcPr>
            <w:tcW w:w="1068" w:type="dxa"/>
            <w:shd w:val="clear" w:color="auto" w:fill="auto"/>
            <w:vAlign w:val="bottom"/>
          </w:tcPr>
          <w:p>
            <w:pPr>
              <w:jc w:val="right"/>
              <w:rPr>
                <w:rFonts w:ascii="仿宋_GB2312" w:hAnsi="宋体" w:eastAsia="仿宋_GB2312" w:cs="宋体"/>
                <w:b/>
                <w:bCs/>
                <w:color w:val="000000"/>
                <w:szCs w:val="21"/>
              </w:rPr>
            </w:pPr>
            <w:r>
              <w:rPr>
                <w:rFonts w:hint="eastAsia" w:ascii="仿宋_GB2312" w:hAnsi="宋体" w:eastAsia="仿宋_GB2312"/>
                <w:b/>
                <w:bCs/>
                <w:color w:val="000000"/>
                <w:szCs w:val="21"/>
              </w:rPr>
              <w:t>12.50%</w:t>
            </w:r>
          </w:p>
        </w:tc>
        <w:tc>
          <w:tcPr>
            <w:tcW w:w="1161"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1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项目建设管理费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150.55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150.55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财建[2002]394号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2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工程设计费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494.00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494.00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计价格[2002]10号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2.1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建筑工程设计</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400.00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400.00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2.1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景观小品及亮化设计</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94.00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94.00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3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前期咨询费用</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36.00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36.00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3.1 </w:t>
            </w:r>
          </w:p>
        </w:tc>
        <w:tc>
          <w:tcPr>
            <w:tcW w:w="2441" w:type="dxa"/>
            <w:shd w:val="clear" w:color="auto" w:fill="auto"/>
            <w:vAlign w:val="center"/>
          </w:tcPr>
          <w:p>
            <w:pPr>
              <w:widowControl/>
              <w:spacing w:after="240"/>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可行性研究报告编制费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18.00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18.00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3.2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节能评估报告编制费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18.00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18.00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4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测量费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105.30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105.30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5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招标代理费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33.68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33.68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发改价格[2011]534号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5.1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勘察设计施工总承包招标代理费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31.08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31.08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5.2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监理招标代理费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2.60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2.60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6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工程监理费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237.04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237.04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发改价格[2007]670号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7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施工图审查费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38.95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38.95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8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施工图预算编制费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23.21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23.21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9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竣工图编制费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39.52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39.52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10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城市基础设施配套费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442.19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442.19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11 </w:t>
            </w:r>
          </w:p>
        </w:tc>
        <w:tc>
          <w:tcPr>
            <w:tcW w:w="2441" w:type="dxa"/>
            <w:shd w:val="clear" w:color="auto" w:fill="auto"/>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工程保险费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33.16 </w:t>
            </w:r>
          </w:p>
        </w:tc>
        <w:tc>
          <w:tcPr>
            <w:tcW w:w="123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color w:val="000000"/>
                <w:szCs w:val="21"/>
              </w:rPr>
            </w:pPr>
            <w:r>
              <w:rPr>
                <w:rFonts w:hint="eastAsia" w:ascii="仿宋_GB2312" w:hAnsi="宋体" w:eastAsia="仿宋_GB2312" w:cs="仿宋_GB2312"/>
                <w:i w:val="0"/>
                <w:color w:val="000000"/>
                <w:kern w:val="0"/>
                <w:sz w:val="21"/>
                <w:szCs w:val="21"/>
                <w:u w:val="none"/>
                <w:lang w:val="en-US" w:eastAsia="zh-CN" w:bidi="ar"/>
              </w:rPr>
              <w:t xml:space="preserve">33.16 </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center"/>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082"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三</w:t>
            </w:r>
          </w:p>
        </w:tc>
        <w:tc>
          <w:tcPr>
            <w:tcW w:w="2441" w:type="dxa"/>
            <w:shd w:val="clear" w:color="auto" w:fill="auto"/>
            <w:vAlign w:val="bottom"/>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预备费</w:t>
            </w:r>
          </w:p>
        </w:tc>
        <w:tc>
          <w:tcPr>
            <w:tcW w:w="1117" w:type="dxa"/>
            <w:shd w:val="clear" w:color="auto" w:fill="auto"/>
            <w:vAlign w:val="bottom"/>
          </w:tcPr>
          <w:p>
            <w:pPr>
              <w:jc w:val="right"/>
              <w:rPr>
                <w:rFonts w:ascii="仿宋_GB2312" w:hAnsi="宋体" w:eastAsia="仿宋_GB2312" w:cs="宋体"/>
                <w:b/>
                <w:bCs/>
                <w:color w:val="000000"/>
                <w:szCs w:val="21"/>
              </w:rPr>
            </w:pPr>
          </w:p>
        </w:tc>
        <w:tc>
          <w:tcPr>
            <w:tcW w:w="1117" w:type="dxa"/>
            <w:shd w:val="clear" w:color="auto" w:fill="auto"/>
            <w:vAlign w:val="bottom"/>
          </w:tcPr>
          <w:p>
            <w:pPr>
              <w:jc w:val="right"/>
              <w:rPr>
                <w:rFonts w:ascii="仿宋_GB2312" w:hAnsi="宋体" w:eastAsia="仿宋_GB2312" w:cs="宋体"/>
                <w:b/>
                <w:bCs/>
                <w:color w:val="000000"/>
                <w:szCs w:val="21"/>
              </w:rPr>
            </w:pPr>
          </w:p>
        </w:tc>
        <w:tc>
          <w:tcPr>
            <w:tcW w:w="1260" w:type="dxa"/>
            <w:shd w:val="clear" w:color="auto" w:fill="auto"/>
            <w:vAlign w:val="bottom"/>
          </w:tcPr>
          <w:p>
            <w:pPr>
              <w:jc w:val="right"/>
              <w:rPr>
                <w:rFonts w:ascii="仿宋_GB2312" w:hAnsi="宋体" w:eastAsia="仿宋_GB2312" w:cs="宋体"/>
                <w:b/>
                <w:bCs/>
                <w:color w:val="000000"/>
                <w:szCs w:val="21"/>
              </w:rPr>
            </w:pPr>
          </w:p>
        </w:tc>
        <w:tc>
          <w:tcPr>
            <w:tcW w:w="1039" w:type="dxa"/>
            <w:shd w:val="clear" w:color="auto" w:fill="auto"/>
            <w:vAlign w:val="bottom"/>
          </w:tcPr>
          <w:p>
            <w:pPr>
              <w:jc w:val="right"/>
              <w:rPr>
                <w:rFonts w:ascii="仿宋_GB2312" w:hAnsi="宋体" w:eastAsia="仿宋_GB2312" w:cs="宋体"/>
                <w:b/>
                <w:bCs/>
                <w:color w:val="000000"/>
                <w:szCs w:val="21"/>
              </w:rPr>
            </w:pPr>
          </w:p>
        </w:tc>
        <w:tc>
          <w:tcPr>
            <w:tcW w:w="1237" w:type="dxa"/>
            <w:shd w:val="clear" w:color="auto" w:fill="auto"/>
            <w:vAlign w:val="bottom"/>
          </w:tcPr>
          <w:p>
            <w:pPr>
              <w:jc w:val="right"/>
              <w:rPr>
                <w:rFonts w:ascii="仿宋_GB2312" w:hAnsi="宋体" w:eastAsia="仿宋_GB2312" w:cs="宋体"/>
                <w:b/>
                <w:bCs/>
                <w:color w:val="000000"/>
                <w:szCs w:val="21"/>
              </w:rPr>
            </w:pPr>
            <w:r>
              <w:rPr>
                <w:rFonts w:hint="eastAsia" w:ascii="仿宋_GB2312" w:hAnsi="宋体" w:eastAsia="仿宋_GB2312"/>
                <w:b/>
                <w:bCs/>
                <w:color w:val="000000"/>
                <w:szCs w:val="21"/>
              </w:rPr>
              <w:t>380.65</w:t>
            </w:r>
          </w:p>
        </w:tc>
        <w:tc>
          <w:tcPr>
            <w:tcW w:w="1120" w:type="dxa"/>
            <w:shd w:val="clear" w:color="auto" w:fill="auto"/>
            <w:vAlign w:val="bottom"/>
          </w:tcPr>
          <w:p>
            <w:pPr>
              <w:jc w:val="right"/>
              <w:rPr>
                <w:rFonts w:ascii="仿宋_GB2312" w:hAnsi="宋体" w:eastAsia="仿宋_GB2312" w:cs="宋体"/>
                <w:b/>
                <w:bCs/>
                <w:color w:val="000000"/>
                <w:szCs w:val="21"/>
              </w:rPr>
            </w:pPr>
          </w:p>
        </w:tc>
        <w:tc>
          <w:tcPr>
            <w:tcW w:w="1296" w:type="dxa"/>
            <w:shd w:val="clear" w:color="auto" w:fill="auto"/>
            <w:vAlign w:val="bottom"/>
          </w:tcPr>
          <w:p>
            <w:pPr>
              <w:jc w:val="right"/>
              <w:rPr>
                <w:rFonts w:ascii="仿宋_GB2312" w:hAnsi="宋体" w:eastAsia="仿宋_GB2312" w:cs="宋体"/>
                <w:b/>
                <w:bCs/>
                <w:color w:val="000000"/>
                <w:szCs w:val="21"/>
              </w:rPr>
            </w:pPr>
          </w:p>
        </w:tc>
        <w:tc>
          <w:tcPr>
            <w:tcW w:w="1716" w:type="dxa"/>
            <w:shd w:val="clear" w:color="auto" w:fill="auto"/>
            <w:vAlign w:val="bottom"/>
          </w:tcPr>
          <w:p>
            <w:pPr>
              <w:jc w:val="right"/>
              <w:rPr>
                <w:rFonts w:ascii="仿宋_GB2312" w:hAnsi="宋体" w:eastAsia="仿宋_GB2312" w:cs="宋体"/>
                <w:b/>
                <w:bCs/>
                <w:color w:val="000000"/>
                <w:szCs w:val="21"/>
              </w:rPr>
            </w:pPr>
          </w:p>
        </w:tc>
        <w:tc>
          <w:tcPr>
            <w:tcW w:w="1068" w:type="dxa"/>
            <w:shd w:val="clear" w:color="auto" w:fill="auto"/>
            <w:vAlign w:val="bottom"/>
          </w:tcPr>
          <w:p>
            <w:pPr>
              <w:jc w:val="right"/>
              <w:rPr>
                <w:rFonts w:ascii="仿宋_GB2312" w:hAnsi="宋体" w:eastAsia="仿宋_GB2312" w:cs="宋体"/>
                <w:b/>
                <w:bCs/>
                <w:color w:val="000000"/>
                <w:szCs w:val="21"/>
              </w:rPr>
            </w:pPr>
            <w:r>
              <w:rPr>
                <w:rFonts w:hint="eastAsia" w:ascii="仿宋_GB2312" w:hAnsi="宋体" w:eastAsia="仿宋_GB2312"/>
                <w:b/>
                <w:bCs/>
                <w:color w:val="000000"/>
                <w:szCs w:val="21"/>
              </w:rPr>
              <w:t>2.91%</w:t>
            </w:r>
          </w:p>
        </w:tc>
        <w:tc>
          <w:tcPr>
            <w:tcW w:w="1161"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w:t>
            </w:r>
          </w:p>
        </w:tc>
        <w:tc>
          <w:tcPr>
            <w:tcW w:w="244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基本预备费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vAlign w:val="bottom"/>
          </w:tcPr>
          <w:p>
            <w:pPr>
              <w:jc w:val="right"/>
              <w:rPr>
                <w:rFonts w:ascii="仿宋_GB2312" w:hAnsi="宋体" w:eastAsia="仿宋_GB2312" w:cs="宋体"/>
                <w:color w:val="000000"/>
                <w:szCs w:val="21"/>
              </w:rPr>
            </w:pPr>
          </w:p>
        </w:tc>
        <w:tc>
          <w:tcPr>
            <w:tcW w:w="1237"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380.65</w:t>
            </w: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bottom"/>
          </w:tcPr>
          <w:p>
            <w:pPr>
              <w:jc w:val="right"/>
              <w:rPr>
                <w:rFonts w:ascii="仿宋_GB2312" w:hAnsi="宋体" w:eastAsia="仿宋_GB2312" w:cs="宋体"/>
                <w:color w:val="000000"/>
                <w:szCs w:val="21"/>
              </w:rPr>
            </w:pPr>
            <w:r>
              <w:rPr>
                <w:rFonts w:hint="eastAsia" w:ascii="仿宋_GB2312" w:hAnsi="宋体" w:eastAsia="仿宋_GB2312"/>
                <w:color w:val="000000"/>
                <w:szCs w:val="21"/>
              </w:rPr>
              <w:t>[（一）+（二）]*</w:t>
            </w:r>
            <w:r>
              <w:rPr>
                <w:rFonts w:hint="eastAsia" w:ascii="仿宋_GB2312" w:hAnsi="宋体" w:eastAsia="仿宋_GB2312"/>
                <w:color w:val="000000"/>
                <w:szCs w:val="21"/>
                <w:lang w:val="en-US" w:eastAsia="zh-CN"/>
              </w:rPr>
              <w:t>3</w:t>
            </w:r>
            <w:r>
              <w:rPr>
                <w:rFonts w:hint="eastAsia" w:ascii="仿宋_GB2312" w:hAnsi="宋体" w:eastAsia="仿宋_GB2312"/>
                <w:color w:val="000000"/>
                <w:szCs w:val="21"/>
              </w:rPr>
              <w:t>%</w:t>
            </w: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2" w:type="dxa"/>
            <w:shd w:val="clear" w:color="auto" w:fill="auto"/>
            <w:vAlign w:val="bottom"/>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p>
        </w:tc>
        <w:tc>
          <w:tcPr>
            <w:tcW w:w="244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涨价预备费</w:t>
            </w:r>
          </w:p>
        </w:tc>
        <w:tc>
          <w:tcPr>
            <w:tcW w:w="1117" w:type="dxa"/>
            <w:shd w:val="clear" w:color="auto" w:fill="auto"/>
            <w:vAlign w:val="bottom"/>
          </w:tcPr>
          <w:p>
            <w:pPr>
              <w:jc w:val="right"/>
              <w:rPr>
                <w:rFonts w:ascii="仿宋_GB2312" w:hAnsi="宋体" w:eastAsia="仿宋_GB2312" w:cs="宋体"/>
                <w:color w:val="000000"/>
                <w:szCs w:val="21"/>
              </w:rPr>
            </w:pPr>
          </w:p>
        </w:tc>
        <w:tc>
          <w:tcPr>
            <w:tcW w:w="1117" w:type="dxa"/>
            <w:shd w:val="clear" w:color="auto" w:fill="auto"/>
            <w:vAlign w:val="bottom"/>
          </w:tcPr>
          <w:p>
            <w:pPr>
              <w:jc w:val="right"/>
              <w:rPr>
                <w:rFonts w:ascii="仿宋_GB2312" w:hAnsi="宋体" w:eastAsia="仿宋_GB2312" w:cs="宋体"/>
                <w:color w:val="000000"/>
                <w:szCs w:val="21"/>
              </w:rPr>
            </w:pPr>
          </w:p>
        </w:tc>
        <w:tc>
          <w:tcPr>
            <w:tcW w:w="1260" w:type="dxa"/>
            <w:shd w:val="clear" w:color="auto" w:fill="auto"/>
            <w:vAlign w:val="bottom"/>
          </w:tcPr>
          <w:p>
            <w:pPr>
              <w:jc w:val="right"/>
              <w:rPr>
                <w:rFonts w:ascii="仿宋_GB2312" w:hAnsi="宋体" w:eastAsia="仿宋_GB2312" w:cs="宋体"/>
                <w:color w:val="000000"/>
                <w:szCs w:val="21"/>
              </w:rPr>
            </w:pPr>
          </w:p>
        </w:tc>
        <w:tc>
          <w:tcPr>
            <w:tcW w:w="1039" w:type="dxa"/>
            <w:shd w:val="clear" w:color="auto" w:fill="auto"/>
            <w:vAlign w:val="bottom"/>
          </w:tcPr>
          <w:p>
            <w:pPr>
              <w:jc w:val="right"/>
              <w:rPr>
                <w:rFonts w:ascii="仿宋_GB2312" w:hAnsi="宋体" w:eastAsia="仿宋_GB2312" w:cs="宋体"/>
                <w:color w:val="000000"/>
                <w:szCs w:val="21"/>
              </w:rPr>
            </w:pPr>
          </w:p>
        </w:tc>
        <w:tc>
          <w:tcPr>
            <w:tcW w:w="1237" w:type="dxa"/>
            <w:shd w:val="clear" w:color="auto" w:fill="auto"/>
            <w:vAlign w:val="bottom"/>
          </w:tcPr>
          <w:p>
            <w:pPr>
              <w:jc w:val="right"/>
              <w:rPr>
                <w:rFonts w:ascii="仿宋_GB2312" w:hAnsi="宋体" w:eastAsia="仿宋_GB2312" w:cs="宋体"/>
                <w:color w:val="000000"/>
                <w:szCs w:val="21"/>
              </w:rPr>
            </w:pPr>
          </w:p>
        </w:tc>
        <w:tc>
          <w:tcPr>
            <w:tcW w:w="1120" w:type="dxa"/>
            <w:shd w:val="clear" w:color="auto" w:fill="auto"/>
            <w:vAlign w:val="bottom"/>
          </w:tcPr>
          <w:p>
            <w:pPr>
              <w:jc w:val="right"/>
              <w:rPr>
                <w:rFonts w:ascii="仿宋_GB2312" w:hAnsi="宋体" w:eastAsia="仿宋_GB2312" w:cs="宋体"/>
                <w:color w:val="000000"/>
                <w:szCs w:val="21"/>
              </w:rPr>
            </w:pPr>
          </w:p>
        </w:tc>
        <w:tc>
          <w:tcPr>
            <w:tcW w:w="1296" w:type="dxa"/>
            <w:shd w:val="clear" w:color="auto" w:fill="auto"/>
            <w:vAlign w:val="bottom"/>
          </w:tcPr>
          <w:p>
            <w:pPr>
              <w:jc w:val="right"/>
              <w:rPr>
                <w:rFonts w:ascii="仿宋_GB2312" w:hAnsi="宋体" w:eastAsia="仿宋_GB2312" w:cs="宋体"/>
                <w:color w:val="000000"/>
                <w:szCs w:val="21"/>
              </w:rPr>
            </w:pPr>
          </w:p>
        </w:tc>
        <w:tc>
          <w:tcPr>
            <w:tcW w:w="1716" w:type="dxa"/>
            <w:shd w:val="clear" w:color="auto" w:fill="auto"/>
            <w:vAlign w:val="bottom"/>
          </w:tcPr>
          <w:p>
            <w:pPr>
              <w:jc w:val="right"/>
              <w:rPr>
                <w:rFonts w:ascii="仿宋_GB2312" w:hAnsi="宋体" w:eastAsia="仿宋_GB2312" w:cs="宋体"/>
                <w:color w:val="000000"/>
                <w:szCs w:val="21"/>
              </w:rPr>
            </w:pPr>
          </w:p>
        </w:tc>
        <w:tc>
          <w:tcPr>
            <w:tcW w:w="1068" w:type="dxa"/>
            <w:shd w:val="clear" w:color="auto" w:fill="auto"/>
            <w:vAlign w:val="bottom"/>
          </w:tcPr>
          <w:p>
            <w:pPr>
              <w:jc w:val="right"/>
              <w:rPr>
                <w:rFonts w:ascii="仿宋_GB2312" w:hAnsi="宋体" w:eastAsia="仿宋_GB2312" w:cs="宋体"/>
                <w:color w:val="000000"/>
                <w:szCs w:val="21"/>
              </w:rPr>
            </w:pPr>
          </w:p>
        </w:tc>
        <w:tc>
          <w:tcPr>
            <w:tcW w:w="1161" w:type="dxa"/>
            <w:shd w:val="clear" w:color="auto" w:fill="auto"/>
            <w:vAlign w:val="bottom"/>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082"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四</w:t>
            </w:r>
          </w:p>
        </w:tc>
        <w:tc>
          <w:tcPr>
            <w:tcW w:w="2441" w:type="dxa"/>
            <w:shd w:val="clear" w:color="auto" w:fill="auto"/>
            <w:vAlign w:val="bottom"/>
          </w:tcPr>
          <w:p>
            <w:pPr>
              <w:widowControl/>
              <w:jc w:val="left"/>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总投资（一+二+三）</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2856.11 </w:t>
            </w:r>
          </w:p>
        </w:tc>
        <w:tc>
          <w:tcPr>
            <w:tcW w:w="1117"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6538.62 </w:t>
            </w:r>
          </w:p>
        </w:tc>
        <w:tc>
          <w:tcPr>
            <w:tcW w:w="1260"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1550.61 </w:t>
            </w:r>
          </w:p>
        </w:tc>
        <w:tc>
          <w:tcPr>
            <w:tcW w:w="1039" w:type="dxa"/>
            <w:shd w:val="clear" w:color="auto" w:fill="auto"/>
            <w:textDirection w:val="lrTb"/>
            <w:vAlign w:val="bottom"/>
          </w:tcPr>
          <w:p>
            <w:pPr>
              <w:keepNext w:val="0"/>
              <w:keepLines w:val="0"/>
              <w:widowControl/>
              <w:suppressLineNumbers w:val="0"/>
              <w:jc w:val="right"/>
              <w:textAlignment w:val="bottom"/>
              <w:rPr>
                <w:rFonts w:ascii="仿宋_GB2312" w:hAnsi="宋体" w:eastAsia="仿宋_GB2312" w:cs="宋体"/>
                <w:b/>
                <w:bCs/>
                <w:color w:val="000000"/>
                <w:szCs w:val="21"/>
              </w:rPr>
            </w:pPr>
            <w:r>
              <w:rPr>
                <w:rFonts w:hint="eastAsia" w:ascii="仿宋_GB2312" w:hAnsi="宋体" w:eastAsia="仿宋_GB2312" w:cs="仿宋_GB2312"/>
                <w:b/>
                <w:i w:val="0"/>
                <w:color w:val="000000"/>
                <w:kern w:val="0"/>
                <w:sz w:val="21"/>
                <w:szCs w:val="21"/>
                <w:u w:val="none"/>
                <w:lang w:val="en-US" w:eastAsia="zh-CN" w:bidi="ar"/>
              </w:rPr>
              <w:t xml:space="preserve">2123.71 </w:t>
            </w:r>
          </w:p>
        </w:tc>
        <w:tc>
          <w:tcPr>
            <w:tcW w:w="1237" w:type="dxa"/>
            <w:shd w:val="clear" w:color="auto" w:fill="auto"/>
            <w:vAlign w:val="bottom"/>
          </w:tcPr>
          <w:p>
            <w:pPr>
              <w:jc w:val="right"/>
              <w:rPr>
                <w:rFonts w:ascii="仿宋_GB2312" w:hAnsi="宋体" w:eastAsia="仿宋_GB2312" w:cs="宋体"/>
                <w:b/>
                <w:bCs/>
                <w:color w:val="000000"/>
                <w:szCs w:val="21"/>
              </w:rPr>
            </w:pPr>
            <w:r>
              <w:rPr>
                <w:rFonts w:hint="eastAsia" w:ascii="仿宋_GB2312" w:hAnsi="宋体" w:eastAsia="仿宋_GB2312"/>
                <w:b/>
                <w:bCs/>
                <w:color w:val="000000"/>
                <w:szCs w:val="21"/>
              </w:rPr>
              <w:t>13069.06</w:t>
            </w:r>
          </w:p>
        </w:tc>
        <w:tc>
          <w:tcPr>
            <w:tcW w:w="1120" w:type="dxa"/>
            <w:shd w:val="clear" w:color="auto" w:fill="auto"/>
            <w:vAlign w:val="bottom"/>
          </w:tcPr>
          <w:p>
            <w:pPr>
              <w:jc w:val="right"/>
              <w:rPr>
                <w:rFonts w:ascii="仿宋_GB2312" w:hAnsi="宋体" w:eastAsia="仿宋_GB2312" w:cs="宋体"/>
                <w:b/>
                <w:bCs/>
                <w:color w:val="000000"/>
                <w:szCs w:val="21"/>
              </w:rPr>
            </w:pPr>
          </w:p>
        </w:tc>
        <w:tc>
          <w:tcPr>
            <w:tcW w:w="1296" w:type="dxa"/>
            <w:shd w:val="clear" w:color="auto" w:fill="auto"/>
            <w:vAlign w:val="bottom"/>
          </w:tcPr>
          <w:p>
            <w:pPr>
              <w:jc w:val="right"/>
              <w:rPr>
                <w:rFonts w:ascii="仿宋_GB2312" w:hAnsi="宋体" w:eastAsia="仿宋_GB2312" w:cs="宋体"/>
                <w:b/>
                <w:bCs/>
                <w:color w:val="000000"/>
                <w:szCs w:val="21"/>
              </w:rPr>
            </w:pPr>
          </w:p>
        </w:tc>
        <w:tc>
          <w:tcPr>
            <w:tcW w:w="1716" w:type="dxa"/>
            <w:shd w:val="clear" w:color="auto" w:fill="auto"/>
            <w:vAlign w:val="bottom"/>
          </w:tcPr>
          <w:p>
            <w:pPr>
              <w:jc w:val="right"/>
              <w:rPr>
                <w:rFonts w:ascii="仿宋_GB2312" w:hAnsi="宋体" w:eastAsia="仿宋_GB2312" w:cs="宋体"/>
                <w:b/>
                <w:bCs/>
                <w:color w:val="000000"/>
                <w:szCs w:val="21"/>
              </w:rPr>
            </w:pPr>
          </w:p>
        </w:tc>
        <w:tc>
          <w:tcPr>
            <w:tcW w:w="1068" w:type="dxa"/>
            <w:shd w:val="clear" w:color="auto" w:fill="auto"/>
            <w:vAlign w:val="bottom"/>
          </w:tcPr>
          <w:p>
            <w:pPr>
              <w:jc w:val="right"/>
              <w:rPr>
                <w:rFonts w:hint="eastAsia" w:ascii="仿宋_GB2312" w:hAnsi="宋体" w:eastAsia="仿宋_GB2312" w:cs="宋体"/>
                <w:b/>
                <w:bCs/>
                <w:color w:val="000000"/>
                <w:szCs w:val="21"/>
                <w:lang w:val="en-US" w:eastAsia="zh-CN"/>
              </w:rPr>
            </w:pPr>
            <w:r>
              <w:rPr>
                <w:rFonts w:hint="eastAsia" w:ascii="仿宋_GB2312" w:hAnsi="宋体" w:eastAsia="仿宋_GB2312" w:cs="宋体"/>
                <w:b/>
                <w:bCs/>
                <w:color w:val="000000"/>
                <w:szCs w:val="21"/>
                <w:lang w:val="en-US" w:eastAsia="zh-CN"/>
              </w:rPr>
              <w:t>100%</w:t>
            </w:r>
          </w:p>
        </w:tc>
        <w:tc>
          <w:tcPr>
            <w:tcW w:w="1161" w:type="dxa"/>
            <w:shd w:val="clear" w:color="auto" w:fill="auto"/>
            <w:vAlign w:val="bottom"/>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　</w:t>
            </w:r>
          </w:p>
        </w:tc>
      </w:tr>
    </w:tbl>
    <w:p>
      <w:pPr>
        <w:spacing w:beforeLines="50" w:afterLines="50" w:line="540" w:lineRule="exact"/>
        <w:ind w:firstLine="480" w:firstLineChars="200"/>
        <w:rPr>
          <w:rFonts w:ascii="Arial" w:hAnsi="Arial"/>
          <w:color w:val="000000"/>
          <w:sz w:val="24"/>
        </w:rPr>
        <w:sectPr>
          <w:pgSz w:w="16838" w:h="11906" w:orient="landscape"/>
          <w:pgMar w:top="1797" w:right="1440" w:bottom="1797" w:left="1440" w:header="851" w:footer="992" w:gutter="0"/>
          <w:cols w:space="425" w:num="1"/>
          <w:docGrid w:type="linesAndChars" w:linePitch="312" w:charSpace="0"/>
        </w:sectPr>
      </w:pPr>
    </w:p>
    <w:p>
      <w:pPr>
        <w:pStyle w:val="3"/>
        <w:spacing w:line="520" w:lineRule="exact"/>
        <w:rPr>
          <w:rFonts w:ascii="黑体" w:cs="Arial"/>
          <w:color w:val="000000"/>
        </w:rPr>
      </w:pPr>
      <w:bookmarkStart w:id="89" w:name="_Toc483131256"/>
      <w:r>
        <w:rPr>
          <w:rFonts w:hint="eastAsia" w:ascii="黑体" w:cs="Arial"/>
          <w:color w:val="000000"/>
        </w:rPr>
        <w:t>10.5 资金使用计划与筹措</w:t>
      </w:r>
      <w:bookmarkEnd w:id="89"/>
      <w:bookmarkStart w:id="119" w:name="_GoBack"/>
      <w:bookmarkEnd w:id="119"/>
    </w:p>
    <w:p>
      <w:pPr>
        <w:spacing w:beforeLines="50" w:afterLines="50" w:line="360" w:lineRule="auto"/>
        <w:ind w:firstLine="640" w:firstLineChars="200"/>
        <w:rPr>
          <w:rFonts w:ascii="仿宋_GB2312" w:hAnsi="Arial" w:eastAsia="仿宋_GB2312"/>
          <w:color w:val="000000"/>
          <w:sz w:val="32"/>
          <w:szCs w:val="32"/>
        </w:rPr>
      </w:pPr>
      <w:r>
        <w:rPr>
          <w:rFonts w:hint="eastAsia" w:ascii="仿宋_GB2312" w:hAnsi="Arial" w:eastAsia="仿宋_GB2312"/>
          <w:color w:val="000000"/>
          <w:sz w:val="32"/>
          <w:szCs w:val="32"/>
        </w:rPr>
        <w:t>项目总投资</w:t>
      </w:r>
      <w:r>
        <w:rPr>
          <w:rFonts w:ascii="仿宋_GB2312" w:hAnsi="Arial" w:eastAsia="仿宋_GB2312"/>
          <w:color w:val="000000"/>
          <w:sz w:val="32"/>
          <w:szCs w:val="32"/>
        </w:rPr>
        <w:t>13069.06</w:t>
      </w:r>
      <w:r>
        <w:rPr>
          <w:rFonts w:hint="eastAsia" w:ascii="仿宋_GB2312" w:hAnsi="Arial" w:eastAsia="仿宋_GB2312"/>
          <w:color w:val="000000"/>
          <w:sz w:val="32"/>
          <w:szCs w:val="32"/>
        </w:rPr>
        <w:t>万元，资金来源为财政资金。</w:t>
      </w:r>
    </w:p>
    <w:p>
      <w:pPr>
        <w:spacing w:beforeLines="50" w:afterLines="50" w:line="360" w:lineRule="auto"/>
        <w:ind w:firstLine="640" w:firstLineChars="200"/>
        <w:rPr>
          <w:rFonts w:ascii="仿宋_GB2312" w:hAnsi="Arial" w:eastAsia="仿宋_GB2312"/>
          <w:color w:val="000000"/>
          <w:sz w:val="32"/>
          <w:szCs w:val="32"/>
        </w:rPr>
        <w:sectPr>
          <w:pgSz w:w="11906" w:h="16838"/>
          <w:pgMar w:top="1440" w:right="1800" w:bottom="1440" w:left="1800" w:header="851" w:footer="840" w:gutter="0"/>
          <w:cols w:space="425" w:num="1"/>
          <w:docGrid w:type="lines" w:linePitch="312" w:charSpace="0"/>
        </w:sectPr>
      </w:pPr>
      <w:r>
        <w:rPr>
          <w:rFonts w:hint="eastAsia" w:ascii="仿宋_GB2312" w:hAnsi="Arial" w:eastAsia="仿宋_GB2312"/>
          <w:color w:val="000000"/>
          <w:sz w:val="32"/>
          <w:szCs w:val="32"/>
        </w:rPr>
        <w:t>建设资金在建设期内按进度计划分年投入。</w:t>
      </w:r>
    </w:p>
    <w:p>
      <w:pPr>
        <w:pStyle w:val="2"/>
        <w:jc w:val="center"/>
        <w:rPr>
          <w:rFonts w:ascii="黑体" w:eastAsia="黑体"/>
          <w:color w:val="000000"/>
          <w:sz w:val="32"/>
          <w:szCs w:val="32"/>
        </w:rPr>
      </w:pPr>
      <w:bookmarkStart w:id="90" w:name="_Toc483131257"/>
      <w:r>
        <w:rPr>
          <w:rFonts w:hint="eastAsia" w:ascii="黑体" w:eastAsia="黑体"/>
          <w:color w:val="000000"/>
          <w:sz w:val="32"/>
          <w:szCs w:val="32"/>
        </w:rPr>
        <w:t>第十一章  社会评价</w:t>
      </w:r>
      <w:bookmarkEnd w:id="90"/>
    </w:p>
    <w:p>
      <w:pPr>
        <w:pStyle w:val="3"/>
        <w:rPr>
          <w:rFonts w:cs="Arial"/>
          <w:color w:val="000000"/>
        </w:rPr>
      </w:pPr>
      <w:bookmarkStart w:id="91" w:name="_Toc483131258"/>
      <w:r>
        <w:rPr>
          <w:rFonts w:hint="eastAsia" w:cs="Arial"/>
          <w:color w:val="000000"/>
        </w:rPr>
        <w:t>11.1 社会效益影响分析</w:t>
      </w:r>
      <w:bookmarkEnd w:id="91"/>
    </w:p>
    <w:p>
      <w:pPr>
        <w:spacing w:beforeLines="50" w:afterLines="50" w:line="540" w:lineRule="exact"/>
        <w:outlineLvl w:val="2"/>
        <w:rPr>
          <w:rFonts w:ascii="黑体" w:hAnsi="Arial" w:eastAsia="黑体" w:cs="Arial"/>
          <w:b/>
          <w:color w:val="000000"/>
          <w:sz w:val="32"/>
          <w:szCs w:val="32"/>
        </w:rPr>
      </w:pPr>
      <w:bookmarkStart w:id="92" w:name="_Toc439166604"/>
      <w:r>
        <w:rPr>
          <w:rFonts w:hint="eastAsia" w:ascii="黑体" w:hAnsi="Arial" w:eastAsia="黑体" w:cs="Arial"/>
          <w:b/>
          <w:color w:val="000000"/>
          <w:sz w:val="32"/>
          <w:szCs w:val="32"/>
        </w:rPr>
        <w:t>11.1.1 项目的社会效益</w:t>
      </w:r>
      <w:bookmarkEnd w:id="92"/>
    </w:p>
    <w:p>
      <w:pPr>
        <w:spacing w:beforeLines="50" w:afterLines="50" w:line="360" w:lineRule="auto"/>
        <w:ind w:firstLine="640" w:firstLineChars="200"/>
        <w:rPr>
          <w:rFonts w:ascii="仿宋_GB2312" w:hAnsi="宋体" w:eastAsia="仿宋_GB2312"/>
          <w:color w:val="000000"/>
          <w:sz w:val="32"/>
          <w:szCs w:val="32"/>
        </w:rPr>
      </w:pPr>
      <w:bookmarkStart w:id="93" w:name="_Toc439166605"/>
      <w:r>
        <w:rPr>
          <w:rFonts w:hint="eastAsia" w:ascii="仿宋_GB2312" w:hAnsi="宋体" w:eastAsia="仿宋_GB2312"/>
          <w:color w:val="000000"/>
          <w:sz w:val="32"/>
          <w:szCs w:val="32"/>
        </w:rPr>
        <w:t>1、对汕头市居民收入的影响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项目的实施，增加了对地区建设材料和劳动力的需求，提高地区生产总值；项目建设使用后，将促进当地经济发展，增加就业机会，将间接增加居民收入而且不会扩大贫富的差距。</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2、对当地居民生活水平与生活质量的影响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建设提升了大华路的整体形象，提高了商业住宅的价值，能有效提高居民生活水平和生活质量。但应指出的是项目施工期间由于施工人员、材料、机械等会对施工周围环境造成一定的负面影响，如噪音、灰尘等；应注意施工管理和运营管理，加强环境保护的监督和管理，将负面影响减至最低。</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3、对当地就业的影响。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项目的实施会造成就业机会的增加；能够很大程度扩大当地的就业人数。</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4、对不同利益群体的影响。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项目的建设会提高从事该项目建设的有关材料供应商、施工方、运输行业及建设区域周围商家等的收入。</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5、对当地弱势群体利益的影响。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项目的建设对汕头市的老人、妇女、儿童、残疾人员等群体的利益不会造成负面影响。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6、对当地的文化、教育、卫生的影响。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的建设，对提高地区居民的居住水平，促进地区经济的建设发挥积极作用。另外，该项目无大的污染源，卫生方面无大的负面影响。因此，建设该项目，对于汕头市文化教育、卫生健康和人文环境没有负面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7、对当地基础设施、服务容量和城市化进程的影响。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项目建设完成后，会增加对基础设施例如供水、供电、电信等的需求，但就总体规划来看，不会产生较大的影响。该项目的建设符合汕头市的总体规划，加快创建现代化城市的步伐。</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8、对少数民族风俗习惯和宗教的影响。</w:t>
      </w:r>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本项目的建设将严格执行民族、宗教政策，尊重民族习惯。项目的建设将促进各民族文化、民俗交流，利于经济发展和民族团结，促进社会安定。</w:t>
      </w:r>
    </w:p>
    <w:p>
      <w:pPr>
        <w:spacing w:beforeLines="50" w:afterLines="50" w:line="540" w:lineRule="exact"/>
        <w:outlineLvl w:val="2"/>
        <w:rPr>
          <w:rFonts w:ascii="黑体" w:hAnsi="Arial" w:eastAsia="黑体" w:cs="Arial"/>
          <w:b/>
          <w:color w:val="000000"/>
          <w:sz w:val="32"/>
          <w:szCs w:val="32"/>
        </w:rPr>
      </w:pPr>
      <w:r>
        <w:rPr>
          <w:rFonts w:hint="eastAsia" w:ascii="黑体" w:hAnsi="Arial" w:eastAsia="黑体" w:cs="Arial"/>
          <w:b/>
          <w:color w:val="000000"/>
          <w:sz w:val="32"/>
          <w:szCs w:val="32"/>
        </w:rPr>
        <w:t>11.1.2 项目的负面影响</w:t>
      </w:r>
      <w:bookmarkEnd w:id="93"/>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本项目建设过程中产生的废气、废水、固体废弃物等可能对周边环境造成影响，因此，应采取相关措施及时防护和处理。</w:t>
      </w:r>
    </w:p>
    <w:p>
      <w:pPr>
        <w:spacing w:beforeLines="50" w:afterLines="50" w:line="360" w:lineRule="auto"/>
        <w:outlineLvl w:val="2"/>
        <w:rPr>
          <w:rFonts w:ascii="黑体" w:hAnsi="Arial" w:eastAsia="黑体" w:cs="Arial"/>
          <w:b/>
          <w:color w:val="000000"/>
          <w:sz w:val="32"/>
          <w:szCs w:val="32"/>
        </w:rPr>
      </w:pPr>
      <w:bookmarkStart w:id="94" w:name="_Toc439166606"/>
      <w:r>
        <w:rPr>
          <w:rFonts w:hint="eastAsia" w:ascii="黑体" w:hAnsi="Arial" w:eastAsia="黑体" w:cs="Arial"/>
          <w:b/>
          <w:color w:val="000000"/>
          <w:sz w:val="32"/>
          <w:szCs w:val="32"/>
        </w:rPr>
        <w:t>11.1.3 综合影响</w:t>
      </w:r>
      <w:bookmarkEnd w:id="94"/>
    </w:p>
    <w:p>
      <w:pPr>
        <w:spacing w:beforeLines="50" w:afterLines="50" w:line="360" w:lineRule="auto"/>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通过以上的分析，对项目的社会影响做出评价，得出项目社会影响分析表，如下表10-1。</w:t>
      </w:r>
    </w:p>
    <w:p/>
    <w:p>
      <w:pPr>
        <w:spacing w:line="360" w:lineRule="auto"/>
        <w:rPr>
          <w:rFonts w:ascii="黑体" w:hAnsi="宋体" w:eastAsia="黑体"/>
          <w:b/>
          <w:color w:val="000000"/>
          <w:sz w:val="28"/>
          <w:szCs w:val="28"/>
        </w:rPr>
      </w:pPr>
      <w:r>
        <w:rPr>
          <w:rFonts w:hint="eastAsia" w:ascii="仿宋_GB2312" w:hAnsi="Arial" w:eastAsia="仿宋_GB2312"/>
          <w:color w:val="000000"/>
          <w:sz w:val="24"/>
        </w:rPr>
        <w:t xml:space="preserve">表11-1  </w:t>
      </w:r>
      <w:r>
        <w:rPr>
          <w:rFonts w:hint="eastAsia" w:ascii="黑体" w:hAnsi="宋体" w:eastAsia="黑体"/>
          <w:b/>
          <w:color w:val="000000"/>
          <w:sz w:val="28"/>
          <w:szCs w:val="28"/>
        </w:rPr>
        <w:t xml:space="preserve">           项目社会影响分析表</w:t>
      </w:r>
    </w:p>
    <w:tbl>
      <w:tblPr>
        <w:tblStyle w:val="31"/>
        <w:tblW w:w="852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15"/>
        <w:gridCol w:w="2424"/>
        <w:gridCol w:w="1507"/>
        <w:gridCol w:w="2199"/>
        <w:gridCol w:w="157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46" w:hRule="atLeast"/>
          <w:tblHeader/>
          <w:jc w:val="center"/>
        </w:trPr>
        <w:tc>
          <w:tcPr>
            <w:tcW w:w="815" w:type="dxa"/>
            <w:tcBorders>
              <w:top w:val="double" w:color="auto" w:sz="4" w:space="0"/>
              <w:left w:val="double" w:color="auto" w:sz="4"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序号</w:t>
            </w:r>
          </w:p>
        </w:tc>
        <w:tc>
          <w:tcPr>
            <w:tcW w:w="2424" w:type="dxa"/>
            <w:tcBorders>
              <w:top w:val="double" w:color="auto" w:sz="4" w:space="0"/>
              <w:left w:val="single" w:color="auto" w:sz="6"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社会因素</w:t>
            </w:r>
          </w:p>
        </w:tc>
        <w:tc>
          <w:tcPr>
            <w:tcW w:w="1507" w:type="dxa"/>
            <w:tcBorders>
              <w:top w:val="double" w:color="auto" w:sz="4" w:space="0"/>
              <w:left w:val="single" w:color="auto" w:sz="6"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影响的范围、程度</w:t>
            </w:r>
          </w:p>
        </w:tc>
        <w:tc>
          <w:tcPr>
            <w:tcW w:w="2199" w:type="dxa"/>
            <w:tcBorders>
              <w:top w:val="double" w:color="auto" w:sz="4" w:space="0"/>
              <w:left w:val="single" w:color="auto" w:sz="6"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可能出现的结果</w:t>
            </w:r>
          </w:p>
        </w:tc>
        <w:tc>
          <w:tcPr>
            <w:tcW w:w="1577" w:type="dxa"/>
            <w:tcBorders>
              <w:top w:val="double" w:color="auto" w:sz="4" w:space="0"/>
              <w:left w:val="single" w:color="auto" w:sz="6" w:space="0"/>
              <w:bottom w:val="single" w:color="auto" w:sz="6" w:space="0"/>
              <w:right w:val="double" w:color="auto" w:sz="4"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措施建议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1</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对居民收入的影响</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26" w:hanging="26" w:hangingChars="11"/>
              <w:rPr>
                <w:rFonts w:ascii="仿宋_GB2312" w:eastAsia="仿宋_GB2312"/>
                <w:color w:val="000000"/>
                <w:sz w:val="24"/>
              </w:rPr>
            </w:pPr>
            <w:r>
              <w:rPr>
                <w:rFonts w:hint="eastAsia" w:ascii="仿宋_GB2312" w:eastAsia="仿宋_GB2312"/>
                <w:color w:val="000000"/>
                <w:sz w:val="24"/>
              </w:rPr>
              <w:t>直接影响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26" w:hanging="26" w:hangingChars="11"/>
              <w:rPr>
                <w:rFonts w:ascii="仿宋_GB2312" w:eastAsia="仿宋_GB2312"/>
                <w:color w:val="000000"/>
                <w:sz w:val="24"/>
              </w:rPr>
            </w:pPr>
            <w:r>
              <w:rPr>
                <w:rFonts w:hint="eastAsia" w:ascii="仿宋_GB2312" w:eastAsia="仿宋_GB2312"/>
                <w:color w:val="000000"/>
                <w:sz w:val="24"/>
              </w:rPr>
              <w:t>增加部分居民收入</w:t>
            </w: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26" w:hanging="26" w:hangingChars="11"/>
              <w:rPr>
                <w:rFonts w:ascii="仿宋_GB2312" w:eastAsia="仿宋_GB2312"/>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2</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对居民生活水平与生活质量的影响</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有一定影响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施工期噪声、废气、固体废弃物等影响</w:t>
            </w: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应采取相关措施及时防护和处理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3</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对就业的影响</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有一定影响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增加就业机会</w:t>
            </w: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提升劳动者素质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14"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4</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对不同利益群体的影响</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有一定影响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施工期对周边环境影响</w:t>
            </w: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确保文明施工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PrEx>
        <w:trPr>
          <w:trHeight w:val="47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5</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对弱势群体的影响（妇女、儿童、残疾人员）</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无直接影响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6</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对地区文化、教育、卫生的影响</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有一定影响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促进当地体育、文化、教育事业发展</w:t>
            </w: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有关部门应注意引导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7</w:t>
            </w:r>
          </w:p>
        </w:tc>
        <w:tc>
          <w:tcPr>
            <w:tcW w:w="242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对地区基础设施、社会服务容量和城市化进程的影响</w:t>
            </w:r>
          </w:p>
        </w:tc>
        <w:tc>
          <w:tcPr>
            <w:tcW w:w="1507"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有一定影响</w:t>
            </w:r>
          </w:p>
        </w:tc>
        <w:tc>
          <w:tcPr>
            <w:tcW w:w="2199"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促进基础设施建设，提升城市整体形象</w:t>
            </w:r>
          </w:p>
        </w:tc>
        <w:tc>
          <w:tcPr>
            <w:tcW w:w="1577"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有关部门应注意发展的规划、管理和指导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24" w:hRule="atLeast"/>
          <w:jc w:val="center"/>
        </w:trPr>
        <w:tc>
          <w:tcPr>
            <w:tcW w:w="815" w:type="dxa"/>
            <w:tcBorders>
              <w:top w:val="single" w:color="auto" w:sz="6" w:space="0"/>
              <w:left w:val="double" w:color="auto" w:sz="4" w:space="0"/>
              <w:bottom w:val="double" w:color="auto" w:sz="4" w:space="0"/>
              <w:right w:val="single" w:color="auto" w:sz="6" w:space="0"/>
            </w:tcBorders>
            <w:vAlign w:val="center"/>
          </w:tcPr>
          <w:p>
            <w:pPr>
              <w:pStyle w:val="12"/>
              <w:tabs>
                <w:tab w:val="left" w:pos="-3"/>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8</w:t>
            </w:r>
          </w:p>
        </w:tc>
        <w:tc>
          <w:tcPr>
            <w:tcW w:w="2424" w:type="dxa"/>
            <w:tcBorders>
              <w:top w:val="single" w:color="auto" w:sz="6" w:space="0"/>
              <w:left w:val="single" w:color="auto" w:sz="6" w:space="0"/>
              <w:bottom w:val="double" w:color="auto" w:sz="4"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对少数民族风俗习惯和宗教的影响</w:t>
            </w:r>
          </w:p>
        </w:tc>
        <w:tc>
          <w:tcPr>
            <w:tcW w:w="1507" w:type="dxa"/>
            <w:tcBorders>
              <w:top w:val="single" w:color="auto" w:sz="6" w:space="0"/>
              <w:left w:val="single" w:color="auto" w:sz="6" w:space="0"/>
              <w:bottom w:val="double" w:color="auto" w:sz="4"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无直接影响</w:t>
            </w:r>
          </w:p>
        </w:tc>
        <w:tc>
          <w:tcPr>
            <w:tcW w:w="2199" w:type="dxa"/>
            <w:tcBorders>
              <w:top w:val="single" w:color="auto" w:sz="6" w:space="0"/>
              <w:left w:val="single" w:color="auto" w:sz="6" w:space="0"/>
              <w:bottom w:val="double" w:color="auto" w:sz="4"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p>
        </w:tc>
        <w:tc>
          <w:tcPr>
            <w:tcW w:w="1577" w:type="dxa"/>
            <w:tcBorders>
              <w:top w:val="single" w:color="auto" w:sz="6" w:space="0"/>
              <w:left w:val="single" w:color="auto" w:sz="6" w:space="0"/>
              <w:bottom w:val="double" w:color="auto" w:sz="4"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p>
        </w:tc>
      </w:tr>
    </w:tbl>
    <w:p>
      <w:pPr>
        <w:pStyle w:val="3"/>
        <w:rPr>
          <w:rFonts w:cs="Arial"/>
          <w:color w:val="000000"/>
        </w:rPr>
      </w:pPr>
      <w:bookmarkStart w:id="95" w:name="_Toc93398868"/>
      <w:bookmarkStart w:id="96" w:name="_Toc89584659"/>
      <w:bookmarkStart w:id="97" w:name="_Toc109209616"/>
      <w:bookmarkStart w:id="98" w:name="_Toc483131259"/>
      <w:bookmarkStart w:id="99" w:name="_Toc101151375"/>
      <w:bookmarkStart w:id="100" w:name="_Toc88875850"/>
      <w:bookmarkStart w:id="101" w:name="_Toc89082316"/>
      <w:bookmarkStart w:id="102" w:name="_Toc89071369"/>
      <w:r>
        <w:rPr>
          <w:rFonts w:hint="eastAsia" w:cs="Arial"/>
          <w:color w:val="000000"/>
        </w:rPr>
        <w:t>11.2 项目互适性分析</w:t>
      </w:r>
      <w:bookmarkEnd w:id="95"/>
      <w:bookmarkEnd w:id="96"/>
      <w:bookmarkEnd w:id="97"/>
      <w:bookmarkEnd w:id="98"/>
      <w:bookmarkEnd w:id="99"/>
    </w:p>
    <w:bookmarkEnd w:id="100"/>
    <w:bookmarkEnd w:id="101"/>
    <w:bookmarkEnd w:id="102"/>
    <w:p>
      <w:pPr>
        <w:spacing w:beforeLines="50" w:afterLines="50" w:line="360" w:lineRule="auto"/>
        <w:ind w:firstLine="640" w:firstLineChars="200"/>
        <w:rPr>
          <w:rFonts w:ascii="仿宋_GB2312" w:hAnsi="宋体"/>
          <w:color w:val="000000"/>
          <w:sz w:val="32"/>
          <w:szCs w:val="32"/>
        </w:rPr>
      </w:pPr>
      <w:bookmarkStart w:id="103" w:name="_Toc481512965"/>
      <w:r>
        <w:rPr>
          <w:rFonts w:hint="eastAsia" w:ascii="仿宋_GB2312" w:eastAsia="仿宋_GB2312" w:cs="宋体-18030"/>
          <w:color w:val="000000"/>
          <w:sz w:val="32"/>
          <w:szCs w:val="32"/>
        </w:rPr>
        <w:t>本项目大华路景观美化工程，项目的建设内容包括建筑物立面、阳台罩、窗罩、原有立面的广告牌等，是惠及民生的工程。对各方面都有很好的适应性。</w:t>
      </w:r>
    </w:p>
    <w:p>
      <w:pPr>
        <w:spacing w:beforeLines="50" w:afterLines="50" w:line="360" w:lineRule="auto"/>
        <w:ind w:firstLine="640" w:firstLineChars="200"/>
        <w:rPr>
          <w:rFonts w:ascii="仿宋_GB2312" w:eastAsia="仿宋_GB2312" w:cs="宋体-18030"/>
          <w:color w:val="000000"/>
          <w:sz w:val="32"/>
          <w:szCs w:val="32"/>
        </w:rPr>
      </w:pPr>
      <w:r>
        <w:rPr>
          <w:rFonts w:hint="eastAsia" w:ascii="仿宋_GB2312" w:eastAsia="仿宋_GB2312" w:cs="宋体-18030"/>
          <w:color w:val="000000"/>
          <w:sz w:val="32"/>
          <w:szCs w:val="32"/>
        </w:rPr>
        <w:t>社会对项目的适应性和可接受程度分析见表11-2。</w:t>
      </w:r>
    </w:p>
    <w:p>
      <w:pPr>
        <w:spacing w:line="360" w:lineRule="auto"/>
        <w:rPr>
          <w:rFonts w:ascii="黑体" w:hAnsi="宋体" w:eastAsia="黑体"/>
          <w:color w:val="000000"/>
          <w:sz w:val="28"/>
          <w:szCs w:val="28"/>
        </w:rPr>
      </w:pPr>
      <w:r>
        <w:rPr>
          <w:rFonts w:hint="eastAsia" w:ascii="仿宋_GB2312" w:hAnsi="Arial" w:eastAsia="仿宋_GB2312"/>
          <w:color w:val="000000"/>
          <w:sz w:val="24"/>
        </w:rPr>
        <w:t xml:space="preserve">表11-2  </w:t>
      </w:r>
      <w:r>
        <w:rPr>
          <w:rFonts w:hint="eastAsia" w:ascii="黑体" w:hAnsi="宋体" w:eastAsia="黑体"/>
          <w:color w:val="000000"/>
          <w:sz w:val="28"/>
          <w:szCs w:val="28"/>
        </w:rPr>
        <w:t xml:space="preserve">     社会对项目的适应性和可接受程度分析表</w:t>
      </w:r>
    </w:p>
    <w:tbl>
      <w:tblPr>
        <w:tblStyle w:val="31"/>
        <w:tblW w:w="8460"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542"/>
        <w:gridCol w:w="1645"/>
        <w:gridCol w:w="1954"/>
        <w:gridCol w:w="259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0" w:hRule="atLeast"/>
          <w:tblHeader/>
          <w:jc w:val="center"/>
        </w:trPr>
        <w:tc>
          <w:tcPr>
            <w:tcW w:w="720" w:type="dxa"/>
            <w:tcBorders>
              <w:top w:val="double" w:color="auto" w:sz="4" w:space="0"/>
              <w:left w:val="double" w:color="auto" w:sz="4"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序号</w:t>
            </w:r>
          </w:p>
        </w:tc>
        <w:tc>
          <w:tcPr>
            <w:tcW w:w="1542" w:type="dxa"/>
            <w:tcBorders>
              <w:top w:val="double" w:color="auto" w:sz="4" w:space="0"/>
              <w:left w:val="single" w:color="auto" w:sz="6"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社会因素</w:t>
            </w:r>
          </w:p>
        </w:tc>
        <w:tc>
          <w:tcPr>
            <w:tcW w:w="1645" w:type="dxa"/>
            <w:tcBorders>
              <w:top w:val="double" w:color="auto" w:sz="4" w:space="0"/>
              <w:left w:val="single" w:color="auto" w:sz="6"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适应程度</w:t>
            </w:r>
          </w:p>
        </w:tc>
        <w:tc>
          <w:tcPr>
            <w:tcW w:w="1954" w:type="dxa"/>
            <w:tcBorders>
              <w:top w:val="double" w:color="auto" w:sz="4" w:space="0"/>
              <w:left w:val="single" w:color="auto" w:sz="6" w:space="0"/>
              <w:bottom w:val="single" w:color="auto" w:sz="6" w:space="0"/>
              <w:right w:val="single" w:color="auto" w:sz="6"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可能出现的问题</w:t>
            </w:r>
          </w:p>
        </w:tc>
        <w:tc>
          <w:tcPr>
            <w:tcW w:w="2599" w:type="dxa"/>
            <w:tcBorders>
              <w:top w:val="double" w:color="auto" w:sz="4" w:space="0"/>
              <w:left w:val="single" w:color="auto" w:sz="6" w:space="0"/>
              <w:bottom w:val="single" w:color="auto" w:sz="6" w:space="0"/>
              <w:right w:val="double" w:color="auto" w:sz="4" w:space="0"/>
            </w:tcBorders>
            <w:shd w:val="pct10" w:color="auto" w:fill="auto"/>
            <w:vAlign w:val="center"/>
          </w:tcPr>
          <w:p>
            <w:pPr>
              <w:pStyle w:val="12"/>
              <w:tabs>
                <w:tab w:val="left" w:pos="0"/>
                <w:tab w:val="left" w:pos="945"/>
                <w:tab w:val="left" w:pos="7920"/>
                <w:tab w:val="left" w:pos="8100"/>
              </w:tabs>
              <w:ind w:left="1" w:leftChars="-12" w:hanging="26" w:hangingChars="11"/>
              <w:jc w:val="center"/>
              <w:rPr>
                <w:rFonts w:ascii="仿宋_GB2312" w:eastAsia="仿宋_GB2312"/>
                <w:b/>
                <w:color w:val="000000"/>
                <w:sz w:val="24"/>
              </w:rPr>
            </w:pPr>
            <w:r>
              <w:rPr>
                <w:rFonts w:hint="eastAsia" w:ascii="仿宋_GB2312" w:eastAsia="仿宋_GB2312"/>
                <w:b/>
                <w:color w:val="000000"/>
                <w:sz w:val="24"/>
              </w:rPr>
              <w:t>措施建议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42" w:hRule="atLeast"/>
          <w:jc w:val="center"/>
        </w:trPr>
        <w:tc>
          <w:tcPr>
            <w:tcW w:w="720" w:type="dxa"/>
            <w:tcBorders>
              <w:top w:val="single" w:color="auto" w:sz="6" w:space="0"/>
              <w:left w:val="double" w:color="auto" w:sz="4" w:space="0"/>
              <w:bottom w:val="single" w:color="auto" w:sz="6" w:space="0"/>
              <w:right w:val="single" w:color="auto" w:sz="6" w:space="0"/>
            </w:tcBorders>
            <w:vAlign w:val="center"/>
          </w:tcPr>
          <w:p>
            <w:pPr>
              <w:pStyle w:val="12"/>
              <w:tabs>
                <w:tab w:val="left" w:pos="0"/>
                <w:tab w:val="left" w:pos="945"/>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1</w:t>
            </w:r>
          </w:p>
        </w:tc>
        <w:tc>
          <w:tcPr>
            <w:tcW w:w="1542"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不同利益的群体</w:t>
            </w:r>
          </w:p>
        </w:tc>
        <w:tc>
          <w:tcPr>
            <w:tcW w:w="1645"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适应并不同程度支持</w:t>
            </w:r>
          </w:p>
        </w:tc>
        <w:tc>
          <w:tcPr>
            <w:tcW w:w="195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建设时期引起附近居民生活和出行的不便</w:t>
            </w:r>
          </w:p>
        </w:tc>
        <w:tc>
          <w:tcPr>
            <w:tcW w:w="2599"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有关部门应注意引导和加强现场管理，尽快按质按量完全工程</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42" w:hRule="atLeast"/>
          <w:jc w:val="center"/>
        </w:trPr>
        <w:tc>
          <w:tcPr>
            <w:tcW w:w="720" w:type="dxa"/>
            <w:tcBorders>
              <w:top w:val="single" w:color="auto" w:sz="6" w:space="0"/>
              <w:left w:val="double" w:color="auto" w:sz="4" w:space="0"/>
              <w:bottom w:val="single" w:color="auto" w:sz="6" w:space="0"/>
              <w:right w:val="single" w:color="auto" w:sz="6" w:space="0"/>
            </w:tcBorders>
            <w:vAlign w:val="center"/>
          </w:tcPr>
          <w:p>
            <w:pPr>
              <w:pStyle w:val="12"/>
              <w:tabs>
                <w:tab w:val="left" w:pos="0"/>
                <w:tab w:val="left" w:pos="945"/>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2</w:t>
            </w:r>
          </w:p>
        </w:tc>
        <w:tc>
          <w:tcPr>
            <w:tcW w:w="1542"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当地组织机构</w:t>
            </w:r>
          </w:p>
        </w:tc>
        <w:tc>
          <w:tcPr>
            <w:tcW w:w="1645"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全力支持</w:t>
            </w:r>
          </w:p>
        </w:tc>
        <w:tc>
          <w:tcPr>
            <w:tcW w:w="1954" w:type="dxa"/>
            <w:tcBorders>
              <w:top w:val="single" w:color="auto" w:sz="6" w:space="0"/>
              <w:left w:val="single" w:color="auto" w:sz="6" w:space="0"/>
              <w:bottom w:val="single" w:color="auto" w:sz="6"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交通、电力、通信、供水等基础设施条件的配合</w:t>
            </w:r>
          </w:p>
        </w:tc>
        <w:tc>
          <w:tcPr>
            <w:tcW w:w="2599" w:type="dxa"/>
            <w:tcBorders>
              <w:top w:val="single" w:color="auto" w:sz="6" w:space="0"/>
              <w:left w:val="single" w:color="auto" w:sz="6" w:space="0"/>
              <w:bottom w:val="single" w:color="auto" w:sz="6"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有关管理部门应协调配合及大力支持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9" w:hRule="atLeast"/>
          <w:jc w:val="center"/>
        </w:trPr>
        <w:tc>
          <w:tcPr>
            <w:tcW w:w="720" w:type="dxa"/>
            <w:tcBorders>
              <w:top w:val="single" w:color="auto" w:sz="6" w:space="0"/>
              <w:left w:val="double" w:color="auto" w:sz="4" w:space="0"/>
              <w:bottom w:val="double" w:color="auto" w:sz="4" w:space="0"/>
              <w:right w:val="single" w:color="auto" w:sz="6" w:space="0"/>
            </w:tcBorders>
            <w:vAlign w:val="center"/>
          </w:tcPr>
          <w:p>
            <w:pPr>
              <w:pStyle w:val="12"/>
              <w:tabs>
                <w:tab w:val="left" w:pos="0"/>
                <w:tab w:val="left" w:pos="945"/>
                <w:tab w:val="left" w:pos="7920"/>
                <w:tab w:val="left" w:pos="8100"/>
              </w:tabs>
              <w:ind w:firstLine="0" w:firstLineChars="0"/>
              <w:jc w:val="center"/>
              <w:rPr>
                <w:rFonts w:ascii="仿宋_GB2312" w:eastAsia="仿宋_GB2312"/>
                <w:color w:val="000000"/>
                <w:sz w:val="24"/>
              </w:rPr>
            </w:pPr>
            <w:r>
              <w:rPr>
                <w:rFonts w:hint="eastAsia" w:ascii="仿宋_GB2312" w:eastAsia="仿宋_GB2312"/>
                <w:color w:val="000000"/>
                <w:sz w:val="24"/>
              </w:rPr>
              <w:t>3</w:t>
            </w:r>
          </w:p>
        </w:tc>
        <w:tc>
          <w:tcPr>
            <w:tcW w:w="1542" w:type="dxa"/>
            <w:tcBorders>
              <w:top w:val="single" w:color="auto" w:sz="6" w:space="0"/>
              <w:left w:val="single" w:color="auto" w:sz="6" w:space="0"/>
              <w:bottom w:val="double" w:color="auto" w:sz="4"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当地技术文化条件</w:t>
            </w:r>
          </w:p>
        </w:tc>
        <w:tc>
          <w:tcPr>
            <w:tcW w:w="1645" w:type="dxa"/>
            <w:tcBorders>
              <w:top w:val="single" w:color="auto" w:sz="6" w:space="0"/>
              <w:left w:val="single" w:color="auto" w:sz="6" w:space="0"/>
              <w:bottom w:val="double" w:color="auto" w:sz="4"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适应并支持</w:t>
            </w:r>
          </w:p>
        </w:tc>
        <w:tc>
          <w:tcPr>
            <w:tcW w:w="1954" w:type="dxa"/>
            <w:tcBorders>
              <w:top w:val="single" w:color="auto" w:sz="6" w:space="0"/>
              <w:left w:val="single" w:color="auto" w:sz="6" w:space="0"/>
              <w:bottom w:val="double" w:color="auto" w:sz="4" w:space="0"/>
              <w:right w:val="single" w:color="auto" w:sz="6"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项目实施过程中各个阶段的交接管理</w:t>
            </w:r>
          </w:p>
        </w:tc>
        <w:tc>
          <w:tcPr>
            <w:tcW w:w="2599" w:type="dxa"/>
            <w:tcBorders>
              <w:top w:val="single" w:color="auto" w:sz="6" w:space="0"/>
              <w:left w:val="single" w:color="auto" w:sz="6" w:space="0"/>
              <w:bottom w:val="double" w:color="auto" w:sz="4" w:space="0"/>
              <w:right w:val="double" w:color="auto" w:sz="4" w:space="0"/>
            </w:tcBorders>
            <w:vAlign w:val="center"/>
          </w:tcPr>
          <w:p>
            <w:pPr>
              <w:pStyle w:val="12"/>
              <w:tabs>
                <w:tab w:val="left" w:pos="0"/>
                <w:tab w:val="left" w:pos="945"/>
                <w:tab w:val="left" w:pos="7920"/>
                <w:tab w:val="left" w:pos="8100"/>
              </w:tabs>
              <w:ind w:left="1" w:leftChars="-12" w:hanging="26" w:hangingChars="11"/>
              <w:rPr>
                <w:rFonts w:ascii="仿宋_GB2312" w:eastAsia="仿宋_GB2312"/>
                <w:color w:val="000000"/>
                <w:sz w:val="24"/>
              </w:rPr>
            </w:pPr>
            <w:r>
              <w:rPr>
                <w:rFonts w:hint="eastAsia" w:ascii="仿宋_GB2312" w:eastAsia="仿宋_GB2312"/>
                <w:color w:val="000000"/>
                <w:sz w:val="24"/>
              </w:rPr>
              <w:t>建议聘请高水平的专业项目顾问公司进行项目全过程管理以提高项目管理水平，保证投资效率和工程质量、进度的控制</w:t>
            </w:r>
          </w:p>
        </w:tc>
      </w:tr>
    </w:tbl>
    <w:p>
      <w:pPr>
        <w:pStyle w:val="3"/>
        <w:rPr>
          <w:rFonts w:cs="Arial"/>
          <w:color w:val="000000"/>
        </w:rPr>
      </w:pPr>
      <w:bookmarkStart w:id="104" w:name="_Toc483131260"/>
      <w:r>
        <w:rPr>
          <w:rFonts w:hint="eastAsia" w:cs="Arial"/>
          <w:color w:val="000000"/>
        </w:rPr>
        <w:t>11.3社会评价结论</w:t>
      </w:r>
      <w:bookmarkEnd w:id="103"/>
      <w:bookmarkEnd w:id="104"/>
    </w:p>
    <w:p>
      <w:pPr>
        <w:spacing w:before="50" w:after="50" w:line="360" w:lineRule="auto"/>
        <w:ind w:firstLine="640" w:firstLineChars="200"/>
        <w:rPr>
          <w:rFonts w:ascii="仿宋_GB2312" w:eastAsia="仿宋_GB2312" w:cs="宋体-18030"/>
          <w:color w:val="000000"/>
          <w:sz w:val="32"/>
          <w:szCs w:val="32"/>
        </w:rPr>
      </w:pPr>
      <w:r>
        <w:rPr>
          <w:rFonts w:hint="eastAsia" w:ascii="仿宋_GB2312" w:eastAsia="仿宋_GB2312" w:cs="宋体-18030"/>
          <w:color w:val="000000"/>
          <w:sz w:val="32"/>
          <w:szCs w:val="32"/>
        </w:rPr>
        <w:t>经过社会影响分析和互适性分析，项目具有良好的社会效益，与社会因素的适应性较高，项目的建设对社会产生积极的影响，项目的建设是可行的。</w:t>
      </w:r>
    </w:p>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sectPr>
          <w:pgSz w:w="11906" w:h="16838"/>
          <w:pgMar w:top="1440" w:right="1800" w:bottom="1440" w:left="1800" w:header="851" w:footer="840" w:gutter="0"/>
          <w:cols w:space="425" w:num="1"/>
          <w:docGrid w:type="lines" w:linePitch="312" w:charSpace="0"/>
        </w:sectPr>
      </w:pPr>
    </w:p>
    <w:p>
      <w:pPr>
        <w:pStyle w:val="2"/>
        <w:jc w:val="center"/>
        <w:rPr>
          <w:rFonts w:ascii="黑体" w:eastAsia="黑体"/>
          <w:color w:val="000000"/>
          <w:sz w:val="32"/>
          <w:szCs w:val="32"/>
        </w:rPr>
      </w:pPr>
      <w:bookmarkStart w:id="105" w:name="_Toc483131261"/>
      <w:bookmarkStart w:id="106" w:name="_Toc464510852"/>
      <w:r>
        <w:rPr>
          <w:rFonts w:hint="eastAsia" w:ascii="黑体" w:eastAsia="黑体"/>
          <w:color w:val="000000"/>
          <w:sz w:val="32"/>
          <w:szCs w:val="32"/>
        </w:rPr>
        <w:t>第十二章  结论与建议</w:t>
      </w:r>
      <w:bookmarkEnd w:id="105"/>
      <w:bookmarkEnd w:id="106"/>
    </w:p>
    <w:p>
      <w:pPr>
        <w:pStyle w:val="3"/>
        <w:rPr>
          <w:rFonts w:cs="Arial"/>
          <w:color w:val="000000"/>
        </w:rPr>
      </w:pPr>
      <w:bookmarkStart w:id="107" w:name="_Toc347320849"/>
      <w:bookmarkStart w:id="108" w:name="_Toc415647907"/>
      <w:bookmarkStart w:id="109" w:name="_Toc464510853"/>
      <w:bookmarkStart w:id="110" w:name="_Toc483131262"/>
      <w:r>
        <w:rPr>
          <w:rFonts w:hint="eastAsia" w:cs="Arial"/>
          <w:color w:val="000000"/>
        </w:rPr>
        <w:t>12.1 结论</w:t>
      </w:r>
      <w:bookmarkEnd w:id="107"/>
      <w:bookmarkEnd w:id="108"/>
      <w:bookmarkEnd w:id="109"/>
      <w:bookmarkEnd w:id="110"/>
    </w:p>
    <w:p>
      <w:pPr>
        <w:widowControl/>
        <w:spacing w:beforeLines="50" w:afterLines="50" w:line="360" w:lineRule="auto"/>
        <w:ind w:firstLine="640" w:firstLineChars="200"/>
        <w:jc w:val="left"/>
        <w:rPr>
          <w:rFonts w:ascii="仿宋_GB2312" w:hAnsi="宋体" w:eastAsia="仿宋_GB2312"/>
          <w:color w:val="000000"/>
          <w:sz w:val="32"/>
          <w:szCs w:val="32"/>
        </w:rPr>
      </w:pPr>
      <w:r>
        <w:rPr>
          <w:rFonts w:hint="eastAsia" w:ascii="仿宋_GB2312" w:hAnsi="宋体" w:eastAsia="仿宋_GB2312"/>
          <w:color w:val="000000"/>
          <w:sz w:val="32"/>
          <w:szCs w:val="32"/>
        </w:rPr>
        <w:t>1、项目建设符合汕头市金平区“十三五”规划要求，完善市政设施配套，提高居民生活品质，改善城乡人居环境，促进城乡、区域协调互动发展，有助于汕头市打造生活美好的现代化新城区。</w:t>
      </w:r>
    </w:p>
    <w:p>
      <w:pPr>
        <w:widowControl/>
        <w:spacing w:beforeLines="50" w:afterLines="50" w:line="360" w:lineRule="auto"/>
        <w:ind w:firstLine="640" w:firstLineChars="200"/>
        <w:jc w:val="left"/>
        <w:rPr>
          <w:rFonts w:ascii="仿宋_GB2312" w:hAnsi="宋体" w:eastAsia="仿宋_GB2312"/>
          <w:color w:val="000000"/>
          <w:sz w:val="32"/>
          <w:szCs w:val="32"/>
        </w:rPr>
      </w:pPr>
      <w:r>
        <w:rPr>
          <w:rFonts w:hint="eastAsia" w:ascii="仿宋_GB2312" w:hAnsi="宋体" w:eastAsia="仿宋_GB2312"/>
          <w:color w:val="000000"/>
          <w:sz w:val="32"/>
          <w:szCs w:val="32"/>
        </w:rPr>
        <w:t>2、本项目位于汕头市中心城区内，交通便利，施工填料、用水、用电等条件可满足施工需要，可保证项目工程顺利开工建设；</w:t>
      </w:r>
    </w:p>
    <w:p>
      <w:pPr>
        <w:widowControl/>
        <w:spacing w:beforeLines="50" w:afterLines="50" w:line="360" w:lineRule="auto"/>
        <w:ind w:firstLine="640" w:firstLineChars="200"/>
        <w:jc w:val="left"/>
        <w:rPr>
          <w:rFonts w:ascii="仿宋_GB2312" w:hAnsi="宋体" w:eastAsia="仿宋_GB2312"/>
          <w:color w:val="000000"/>
          <w:sz w:val="32"/>
          <w:szCs w:val="32"/>
        </w:rPr>
      </w:pPr>
      <w:r>
        <w:rPr>
          <w:rFonts w:hint="eastAsia" w:ascii="仿宋_GB2312" w:hAnsi="宋体" w:eastAsia="仿宋_GB2312"/>
          <w:color w:val="000000"/>
          <w:sz w:val="32"/>
          <w:szCs w:val="32"/>
        </w:rPr>
        <w:t>3、</w:t>
      </w:r>
      <w:r>
        <w:rPr>
          <w:rFonts w:hint="eastAsia" w:ascii="仿宋_GB2312" w:hAnsi="宋体" w:eastAsia="仿宋_GB2312"/>
          <w:color w:val="000000" w:themeColor="text1"/>
          <w:sz w:val="32"/>
          <w:szCs w:val="32"/>
          <w14:textFill>
            <w14:solidFill>
              <w14:schemeClr w14:val="tx1"/>
            </w14:solidFill>
          </w14:textFill>
        </w:rPr>
        <w:t>项目道路长约1.8公里，建筑总面积：226207.95㎡，立面改造长度：31297.80米，立面改造面积：92893.39㎡（层高按3m计）。建设内容包括外墙立面美化改造、拆除老旧附着物、灯光亮化工程、沿街招牌美化、安装交叉</w:t>
      </w:r>
      <w:r>
        <w:rPr>
          <w:rFonts w:hint="eastAsia" w:ascii="仿宋_GB2312" w:hAnsi="宋体" w:eastAsia="仿宋_GB2312"/>
          <w:color w:val="000000"/>
          <w:sz w:val="32"/>
          <w:szCs w:val="32"/>
        </w:rPr>
        <w:t>路口监控设备等。工程规模合理，工程方案切实可行；</w:t>
      </w:r>
    </w:p>
    <w:p>
      <w:pPr>
        <w:widowControl/>
        <w:spacing w:beforeLines="50" w:afterLines="50" w:line="360" w:lineRule="auto"/>
        <w:ind w:firstLine="640" w:firstLineChars="200"/>
        <w:jc w:val="left"/>
        <w:rPr>
          <w:rFonts w:ascii="仿宋_GB2312" w:hAnsi="Verdana" w:eastAsia="仿宋_GB2312"/>
          <w:color w:val="000000"/>
          <w:sz w:val="32"/>
          <w:szCs w:val="32"/>
        </w:rPr>
      </w:pPr>
      <w:r>
        <w:rPr>
          <w:rFonts w:hint="eastAsia" w:ascii="仿宋_GB2312" w:hAnsi="宋体" w:eastAsia="仿宋_GB2312"/>
          <w:color w:val="000000"/>
          <w:sz w:val="32"/>
          <w:szCs w:val="32"/>
        </w:rPr>
        <w:t>4、</w:t>
      </w:r>
      <w:r>
        <w:rPr>
          <w:rFonts w:hint="eastAsia" w:ascii="仿宋_GB2312" w:hAnsi="Verdana" w:eastAsia="仿宋_GB2312"/>
          <w:color w:val="000000"/>
          <w:sz w:val="32"/>
          <w:szCs w:val="32"/>
        </w:rPr>
        <w:t>本项目建设投资13069.06万元，其中工程费用11054.80万元、其它费用1633.61万元、预备费380.65万元。</w:t>
      </w:r>
      <w:r>
        <w:rPr>
          <w:rFonts w:hint="eastAsia" w:ascii="仿宋_GB2312" w:hAnsi="宋体" w:eastAsia="仿宋_GB2312"/>
          <w:color w:val="000000"/>
          <w:sz w:val="32"/>
          <w:szCs w:val="32"/>
        </w:rPr>
        <w:t>投资规模合理。资金来源为汕头市财政资金，资金落实有保证。</w:t>
      </w:r>
    </w:p>
    <w:p>
      <w:pPr>
        <w:pStyle w:val="3"/>
        <w:rPr>
          <w:rFonts w:cs="Arial"/>
          <w:color w:val="000000"/>
        </w:rPr>
      </w:pPr>
      <w:bookmarkStart w:id="111" w:name="_Toc415647908"/>
      <w:bookmarkStart w:id="112" w:name="_Toc347320850"/>
      <w:bookmarkStart w:id="113" w:name="_Toc464510854"/>
      <w:bookmarkStart w:id="114" w:name="_Toc483131263"/>
      <w:r>
        <w:rPr>
          <w:rFonts w:hint="eastAsia" w:cs="Arial"/>
          <w:color w:val="000000"/>
        </w:rPr>
        <w:t>12.2 建议</w:t>
      </w:r>
      <w:bookmarkEnd w:id="111"/>
      <w:bookmarkEnd w:id="112"/>
      <w:bookmarkEnd w:id="113"/>
      <w:bookmarkEnd w:id="114"/>
    </w:p>
    <w:p>
      <w:pPr>
        <w:widowControl/>
        <w:spacing w:beforeLines="50" w:afterLines="50" w:line="360" w:lineRule="auto"/>
        <w:ind w:firstLine="640" w:firstLineChars="200"/>
        <w:jc w:val="left"/>
        <w:rPr>
          <w:rFonts w:ascii="仿宋_GB2312" w:hAnsi="宋体" w:eastAsia="仿宋_GB2312"/>
          <w:color w:val="000000"/>
          <w:sz w:val="32"/>
          <w:szCs w:val="32"/>
        </w:rPr>
      </w:pPr>
      <w:r>
        <w:rPr>
          <w:rFonts w:hint="eastAsia" w:ascii="仿宋_GB2312" w:hAnsi="宋体" w:eastAsia="仿宋_GB2312"/>
          <w:color w:val="000000"/>
          <w:sz w:val="32"/>
          <w:szCs w:val="32"/>
        </w:rPr>
        <w:t>1、项目建设实施应做好相关措施，以免影响周边治安、交通及城市环境卫生；</w:t>
      </w:r>
    </w:p>
    <w:p>
      <w:pPr>
        <w:widowControl/>
        <w:spacing w:beforeLines="50" w:afterLines="50" w:line="360" w:lineRule="auto"/>
        <w:ind w:firstLine="640" w:firstLineChars="200"/>
        <w:jc w:val="left"/>
        <w:rPr>
          <w:rFonts w:ascii="仿宋_GB2312" w:hAnsi="宋体" w:eastAsia="仿宋_GB2312"/>
          <w:color w:val="000000"/>
          <w:sz w:val="32"/>
          <w:szCs w:val="32"/>
        </w:rPr>
      </w:pPr>
      <w:r>
        <w:rPr>
          <w:rFonts w:hint="eastAsia" w:ascii="仿宋_GB2312" w:hAnsi="宋体" w:eastAsia="仿宋_GB2312"/>
          <w:color w:val="000000"/>
          <w:sz w:val="32"/>
          <w:szCs w:val="32"/>
        </w:rPr>
        <w:t>2、项目的建设涉及多部门，包括发改、国土、规划、建设、环保、供水、供电等，应加强各部门之间的沟通与协调，保证项目顺利实施；</w:t>
      </w:r>
    </w:p>
    <w:p>
      <w:pPr>
        <w:widowControl/>
        <w:spacing w:beforeLines="50" w:afterLines="50" w:line="360" w:lineRule="auto"/>
        <w:ind w:firstLine="640" w:firstLineChars="200"/>
        <w:jc w:val="left"/>
        <w:rPr>
          <w:rFonts w:ascii="仿宋_GB2312" w:hAnsi="宋体" w:eastAsia="仿宋_GB2312"/>
          <w:color w:val="000000"/>
          <w:sz w:val="32"/>
          <w:szCs w:val="32"/>
        </w:rPr>
      </w:pPr>
      <w:r>
        <w:rPr>
          <w:rFonts w:hint="eastAsia" w:ascii="仿宋_GB2312" w:hAnsi="宋体" w:eastAsia="仿宋_GB2312"/>
          <w:color w:val="000000"/>
          <w:sz w:val="32"/>
          <w:szCs w:val="32"/>
        </w:rPr>
        <w:t>3、本项目是道路景观美化设施建设，工程质量关系到广大群的切身利益，关系到社会的安定，也是公众关注的一个焦点，建议建设单位，从项目前期开始，进行科学严格的项目管理，控制工程质量、进度和造价的全面达标。</w:t>
      </w:r>
    </w:p>
    <w:p>
      <w:pPr>
        <w:spacing w:beforeLines="50" w:afterLines="50" w:line="360" w:lineRule="auto"/>
        <w:rPr>
          <w:rFonts w:ascii="仿宋_GB2312" w:hAnsi="宋体" w:eastAsia="仿宋_GB2312"/>
          <w:color w:val="000000"/>
          <w:sz w:val="28"/>
          <w:szCs w:val="28"/>
        </w:rPr>
        <w:sectPr>
          <w:pgSz w:w="11906" w:h="16838"/>
          <w:pgMar w:top="1440" w:right="1800" w:bottom="1440" w:left="1800" w:header="851" w:footer="840" w:gutter="0"/>
          <w:cols w:space="425" w:num="1"/>
          <w:docGrid w:type="lines" w:linePitch="312" w:charSpace="0"/>
        </w:sectPr>
      </w:pPr>
    </w:p>
    <w:p>
      <w:pPr>
        <w:spacing w:beforeLines="50" w:afterLines="50" w:line="540" w:lineRule="exact"/>
        <w:outlineLvl w:val="1"/>
        <w:rPr>
          <w:rFonts w:ascii="仿宋_GB2312" w:hAnsi="宋体" w:eastAsia="仿宋_GB2312"/>
          <w:b/>
          <w:color w:val="000000"/>
          <w:sz w:val="28"/>
          <w:szCs w:val="28"/>
        </w:rPr>
      </w:pPr>
      <w:r>
        <w:rPr>
          <w:rFonts w:ascii="仿宋_GB2312" w:hAnsi="宋体" w:eastAsia="仿宋_GB2312"/>
          <w:b/>
          <w:color w:val="000000"/>
          <w:sz w:val="28"/>
          <w:szCs w:val="28"/>
        </w:rPr>
        <w:drawing>
          <wp:anchor distT="0" distB="0" distL="114300" distR="114300" simplePos="0" relativeHeight="251666432" behindDoc="0" locked="0" layoutInCell="1" allowOverlap="1">
            <wp:simplePos x="0" y="0"/>
            <wp:positionH relativeFrom="column">
              <wp:posOffset>-165735</wp:posOffset>
            </wp:positionH>
            <wp:positionV relativeFrom="paragraph">
              <wp:posOffset>603250</wp:posOffset>
            </wp:positionV>
            <wp:extent cx="8738870" cy="4084320"/>
            <wp:effectExtent l="19050" t="0" r="5080" b="0"/>
            <wp:wrapSquare wrapText="bothSides"/>
            <wp:docPr id="195" name="图片 195" descr="03大华路平面-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5" descr="03大华路平面-Model"/>
                    <pic:cNvPicPr>
                      <a:picLocks noChangeAspect="1" noChangeArrowheads="1"/>
                    </pic:cNvPicPr>
                  </pic:nvPicPr>
                  <pic:blipFill>
                    <a:blip r:embed="rId28"/>
                    <a:srcRect t="22054" b="21404"/>
                    <a:stretch>
                      <a:fillRect/>
                    </a:stretch>
                  </pic:blipFill>
                  <pic:spPr>
                    <a:xfrm>
                      <a:off x="0" y="0"/>
                      <a:ext cx="8738870" cy="4084320"/>
                    </a:xfrm>
                    <a:prstGeom prst="rect">
                      <a:avLst/>
                    </a:prstGeom>
                    <a:noFill/>
                    <a:ln w="9525">
                      <a:noFill/>
                      <a:miter lim="800000"/>
                      <a:headEnd/>
                      <a:tailEnd/>
                    </a:ln>
                  </pic:spPr>
                </pic:pic>
              </a:graphicData>
            </a:graphic>
          </wp:anchor>
        </w:drawing>
      </w:r>
      <w:bookmarkStart w:id="115" w:name="_Toc483131264"/>
      <w:r>
        <w:rPr>
          <w:rFonts w:hint="eastAsia" w:ascii="仿宋_GB2312" w:hAnsi="宋体" w:eastAsia="仿宋_GB2312"/>
          <w:b/>
          <w:color w:val="000000"/>
          <w:sz w:val="28"/>
          <w:szCs w:val="28"/>
        </w:rPr>
        <w:t>附件1大华路平面图</w:t>
      </w:r>
      <w:bookmarkEnd w:id="115"/>
    </w:p>
    <w:p>
      <w:pPr>
        <w:spacing w:beforeLines="50" w:afterLines="50" w:line="540" w:lineRule="exact"/>
        <w:rPr>
          <w:rFonts w:ascii="仿宋_GB2312" w:hAnsi="宋体" w:eastAsia="仿宋_GB2312"/>
          <w:b/>
          <w:color w:val="000000"/>
          <w:sz w:val="28"/>
          <w:szCs w:val="28"/>
        </w:rPr>
      </w:pPr>
    </w:p>
    <w:p>
      <w:pPr>
        <w:spacing w:beforeLines="50" w:afterLines="50" w:line="540" w:lineRule="exact"/>
        <w:outlineLvl w:val="1"/>
        <w:rPr>
          <w:rFonts w:ascii="仿宋_GB2312" w:hAnsi="宋体" w:eastAsia="仿宋_GB2312"/>
          <w:b/>
          <w:color w:val="000000"/>
          <w:sz w:val="28"/>
          <w:szCs w:val="28"/>
        </w:rPr>
      </w:pPr>
      <w:r>
        <w:rPr>
          <w:rFonts w:ascii="仿宋_GB2312" w:hAnsi="宋体" w:eastAsia="仿宋_GB2312"/>
          <w:b/>
          <w:color w:val="000000"/>
          <w:sz w:val="28"/>
          <w:szCs w:val="28"/>
        </w:rPr>
        <w:drawing>
          <wp:anchor distT="0" distB="0" distL="114300" distR="114300" simplePos="0" relativeHeight="251667456" behindDoc="1" locked="0" layoutInCell="1" allowOverlap="1">
            <wp:simplePos x="0" y="0"/>
            <wp:positionH relativeFrom="column">
              <wp:posOffset>-35560</wp:posOffset>
            </wp:positionH>
            <wp:positionV relativeFrom="paragraph">
              <wp:posOffset>697230</wp:posOffset>
            </wp:positionV>
            <wp:extent cx="9018270" cy="3705225"/>
            <wp:effectExtent l="19050" t="0" r="0" b="0"/>
            <wp:wrapTight wrapText="bothSides">
              <wp:wrapPolygon>
                <wp:start x="-46" y="0"/>
                <wp:lineTo x="-46" y="21544"/>
                <wp:lineTo x="21582" y="21544"/>
                <wp:lineTo x="21582" y="0"/>
                <wp:lineTo x="-46" y="0"/>
              </wp:wrapPolygon>
            </wp:wrapTight>
            <wp:docPr id="198" name="图片 198" descr="0512大华路平面指标-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8" descr="0512大华路平面指标-Model"/>
                    <pic:cNvPicPr>
                      <a:picLocks noChangeAspect="1" noChangeArrowheads="1"/>
                    </pic:cNvPicPr>
                  </pic:nvPicPr>
                  <pic:blipFill>
                    <a:blip r:embed="rId29"/>
                    <a:srcRect t="22360" b="19492"/>
                    <a:stretch>
                      <a:fillRect/>
                    </a:stretch>
                  </pic:blipFill>
                  <pic:spPr>
                    <a:xfrm>
                      <a:off x="0" y="0"/>
                      <a:ext cx="9018270" cy="3705225"/>
                    </a:xfrm>
                    <a:prstGeom prst="rect">
                      <a:avLst/>
                    </a:prstGeom>
                    <a:noFill/>
                    <a:ln w="9525">
                      <a:noFill/>
                      <a:miter lim="800000"/>
                      <a:headEnd/>
                      <a:tailEnd/>
                    </a:ln>
                  </pic:spPr>
                </pic:pic>
              </a:graphicData>
            </a:graphic>
          </wp:anchor>
        </w:drawing>
      </w:r>
      <w:bookmarkStart w:id="116" w:name="_Toc483131265"/>
      <w:r>
        <w:rPr>
          <w:rFonts w:hint="eastAsia" w:ascii="仿宋_GB2312" w:hAnsi="宋体" w:eastAsia="仿宋_GB2312"/>
          <w:b/>
          <w:color w:val="000000"/>
          <w:sz w:val="28"/>
          <w:szCs w:val="28"/>
        </w:rPr>
        <w:t>附件2大华路平面指标</w:t>
      </w:r>
      <w:bookmarkEnd w:id="116"/>
    </w:p>
    <w:p>
      <w:pPr>
        <w:spacing w:beforeLines="50" w:afterLines="50" w:line="540" w:lineRule="exact"/>
        <w:rPr>
          <w:rFonts w:ascii="仿宋_GB2312" w:hAnsi="宋体" w:eastAsia="仿宋_GB2312"/>
          <w:b/>
          <w:color w:val="000000"/>
          <w:sz w:val="28"/>
          <w:szCs w:val="28"/>
        </w:rPr>
      </w:pPr>
    </w:p>
    <w:p>
      <w:pPr>
        <w:spacing w:beforeLines="50" w:afterLines="50" w:line="540" w:lineRule="exact"/>
        <w:outlineLvl w:val="1"/>
        <w:rPr>
          <w:rFonts w:ascii="仿宋_GB2312" w:hAnsi="宋体" w:eastAsia="仿宋_GB2312"/>
          <w:b/>
          <w:color w:val="000000"/>
          <w:sz w:val="28"/>
          <w:szCs w:val="28"/>
        </w:rPr>
      </w:pPr>
      <w:r>
        <w:rPr>
          <w:rFonts w:ascii="仿宋_GB2312" w:hAnsi="宋体" w:eastAsia="仿宋_GB2312"/>
          <w:b/>
          <w:color w:val="000000"/>
          <w:sz w:val="28"/>
          <w:szCs w:val="28"/>
        </w:rPr>
        <w:drawing>
          <wp:anchor distT="0" distB="0" distL="114300" distR="114300" simplePos="0" relativeHeight="251659264" behindDoc="0" locked="0" layoutInCell="1" allowOverlap="1">
            <wp:simplePos x="0" y="0"/>
            <wp:positionH relativeFrom="column">
              <wp:posOffset>97155</wp:posOffset>
            </wp:positionH>
            <wp:positionV relativeFrom="paragraph">
              <wp:posOffset>531495</wp:posOffset>
            </wp:positionV>
            <wp:extent cx="8458200" cy="5036820"/>
            <wp:effectExtent l="19050" t="0" r="0" b="0"/>
            <wp:wrapSquare wrapText="bothSides"/>
            <wp:docPr id="187" name="图片 5" descr="C:\Users\Administrator\Desktop\FAFCCFFD70EC84048EBB274BAB10EF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5" descr="C:\Users\Administrator\Desktop\FAFCCFFD70EC84048EBB274BAB10EFB6.png"/>
                    <pic:cNvPicPr>
                      <a:picLocks noChangeAspect="1" noChangeArrowheads="1"/>
                    </pic:cNvPicPr>
                  </pic:nvPicPr>
                  <pic:blipFill>
                    <a:blip r:embed="rId30" cstate="print"/>
                    <a:srcRect/>
                    <a:stretch>
                      <a:fillRect/>
                    </a:stretch>
                  </pic:blipFill>
                  <pic:spPr>
                    <a:xfrm>
                      <a:off x="0" y="0"/>
                      <a:ext cx="8458200" cy="5036820"/>
                    </a:xfrm>
                    <a:prstGeom prst="rect">
                      <a:avLst/>
                    </a:prstGeom>
                    <a:noFill/>
                    <a:ln w="9525">
                      <a:noFill/>
                      <a:miter lim="800000"/>
                      <a:headEnd/>
                      <a:tailEnd/>
                    </a:ln>
                  </pic:spPr>
                </pic:pic>
              </a:graphicData>
            </a:graphic>
          </wp:anchor>
        </w:drawing>
      </w:r>
      <w:bookmarkStart w:id="117" w:name="_Toc483131266"/>
      <w:r>
        <w:rPr>
          <w:rFonts w:hint="eastAsia" w:ascii="仿宋_GB2312" w:hAnsi="宋体" w:eastAsia="仿宋_GB2312"/>
          <w:b/>
          <w:color w:val="000000"/>
          <w:sz w:val="28"/>
          <w:szCs w:val="28"/>
        </w:rPr>
        <w:t>附件3效果图</w:t>
      </w:r>
      <w:bookmarkEnd w:id="117"/>
    </w:p>
    <w:p>
      <w:pPr>
        <w:spacing w:beforeLines="50" w:afterLines="50" w:line="540" w:lineRule="exact"/>
        <w:outlineLvl w:val="1"/>
        <w:rPr>
          <w:rFonts w:ascii="仿宋_GB2312" w:hAnsi="宋体" w:eastAsia="仿宋_GB2312"/>
          <w:b/>
          <w:color w:val="000000"/>
          <w:sz w:val="28"/>
          <w:szCs w:val="28"/>
        </w:rPr>
      </w:pPr>
      <w:bookmarkStart w:id="118" w:name="_Toc483131267"/>
      <w:r>
        <w:rPr>
          <w:rFonts w:hint="eastAsia" w:ascii="仿宋_GB2312" w:hAnsi="宋体" w:eastAsia="仿宋_GB2312"/>
          <w:b/>
          <w:color w:val="000000"/>
          <w:sz w:val="28"/>
          <w:szCs w:val="28"/>
        </w:rPr>
        <w:t>附件4效果图</w:t>
      </w:r>
      <w:bookmarkEnd w:id="118"/>
    </w:p>
    <w:p>
      <w:pPr>
        <w:spacing w:beforeLines="50" w:afterLines="50" w:line="540" w:lineRule="exact"/>
        <w:rPr>
          <w:rFonts w:ascii="仿宋_GB2312" w:hAnsi="宋体" w:eastAsia="仿宋_GB2312"/>
          <w:b/>
          <w:color w:val="000000"/>
          <w:sz w:val="28"/>
          <w:szCs w:val="28"/>
        </w:rPr>
      </w:pPr>
      <w:r>
        <w:rPr>
          <w:color w:val="000000"/>
        </w:rPr>
        <w:drawing>
          <wp:anchor distT="0" distB="0" distL="114300" distR="114300" simplePos="0" relativeHeight="251660288" behindDoc="0" locked="0" layoutInCell="1" allowOverlap="1">
            <wp:simplePos x="0" y="0"/>
            <wp:positionH relativeFrom="column">
              <wp:posOffset>291465</wp:posOffset>
            </wp:positionH>
            <wp:positionV relativeFrom="paragraph">
              <wp:posOffset>25400</wp:posOffset>
            </wp:positionV>
            <wp:extent cx="8183245" cy="5062855"/>
            <wp:effectExtent l="19050" t="0" r="8255" b="0"/>
            <wp:wrapSquare wrapText="bothSides"/>
            <wp:docPr id="188" name="图片 6" descr="C:\Users\Administrator\Desktop\744A7353F4253A751AC649CC25071F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6" descr="C:\Users\Administrator\Desktop\744A7353F4253A751AC649CC25071F2D.png"/>
                    <pic:cNvPicPr>
                      <a:picLocks noChangeAspect="1" noChangeArrowheads="1"/>
                    </pic:cNvPicPr>
                  </pic:nvPicPr>
                  <pic:blipFill>
                    <a:blip r:embed="rId31" cstate="print"/>
                    <a:srcRect/>
                    <a:stretch>
                      <a:fillRect/>
                    </a:stretch>
                  </pic:blipFill>
                  <pic:spPr>
                    <a:xfrm>
                      <a:off x="0" y="0"/>
                      <a:ext cx="8183245" cy="5062855"/>
                    </a:xfrm>
                    <a:prstGeom prst="rect">
                      <a:avLst/>
                    </a:prstGeom>
                    <a:noFill/>
                    <a:ln w="9525">
                      <a:noFill/>
                      <a:miter lim="800000"/>
                      <a:headEnd/>
                      <a:tailEnd/>
                    </a:ln>
                  </pic:spPr>
                </pic:pic>
              </a:graphicData>
            </a:graphic>
          </wp:anchor>
        </w:drawing>
      </w:r>
    </w:p>
    <w:sectPr>
      <w:pgSz w:w="16838" w:h="11906" w:orient="landscape"/>
      <w:pgMar w:top="1800" w:right="1440" w:bottom="1800" w:left="1440" w:header="851" w:footer="84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00007A87" w:usb1="80000000" w:usb2="00000008" w:usb3="00000000" w:csb0="400001FF" w:csb1="FFFF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ì.">
    <w:altName w:val="Arial Unicode MS"/>
    <w:panose1 w:val="00000000000000000000"/>
    <w:charset w:val="86"/>
    <w:family w:val="swiss"/>
    <w:pitch w:val="default"/>
    <w:sig w:usb0="00000000" w:usb1="00000000" w:usb2="00000010" w:usb3="00000000" w:csb0="00040000" w:csb1="00000000"/>
  </w:font>
  <w:font w:name="Tahoma">
    <w:panose1 w:val="020B0604030504040204"/>
    <w:charset w:val="00"/>
    <w:family w:val="swiss"/>
    <w:pitch w:val="default"/>
    <w:sig w:usb0="61007A87" w:usb1="80000000" w:usb2="00000008" w:usb3="00000000" w:csb0="200101FF" w:csb1="2028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宋体-18030">
    <w:altName w:val="宋体"/>
    <w:panose1 w:val="00000000000000000000"/>
    <w:charset w:val="86"/>
    <w:family w:val="auto"/>
    <w:pitch w:val="default"/>
    <w:sig w:usb0="00000000" w:usb1="00000000" w:usb2="000A005E" w:usb3="00000000" w:csb0="00040001" w:csb1="00000000"/>
  </w:font>
  <w:font w:name="Verdana">
    <w:panose1 w:val="020B0604030504040204"/>
    <w:charset w:val="00"/>
    <w:family w:val="swiss"/>
    <w:pitch w:val="default"/>
    <w:sig w:usb0="00000287" w:usb1="00000000" w:usb2="00000000" w:usb3="00000000" w:csb0="2000019F" w:csb1="00000000"/>
  </w:font>
  <w:font w:name="Calibri">
    <w:panose1 w:val="020F0502020204030204"/>
    <w:charset w:val="01"/>
    <w:family w:val="auto"/>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8"/>
      </w:rPr>
    </w:pPr>
    <w:r>
      <w:rPr>
        <w:rStyle w:val="28"/>
      </w:rPr>
      <w:fldChar w:fldCharType="begin"/>
    </w:r>
    <w:r>
      <w:rPr>
        <w:rStyle w:val="28"/>
      </w:rPr>
      <w:instrText xml:space="preserve">PAGE  </w:instrText>
    </w:r>
    <w:r>
      <w:rPr>
        <w:rStyle w:val="28"/>
      </w:rPr>
      <w:fldChar w:fldCharType="separate"/>
    </w:r>
    <w:r>
      <w:rPr>
        <w:rStyle w:val="28"/>
      </w:rPr>
      <w:t>3</w:t>
    </w:r>
    <w:r>
      <w:rPr>
        <w:rStyle w:val="28"/>
      </w:rPr>
      <w:fldChar w:fldCharType="end"/>
    </w:r>
  </w:p>
  <w:p>
    <w:pPr>
      <w:pStyle w:val="18"/>
      <w:pBdr>
        <w:top w:val="single" w:color="auto" w:sz="4" w:space="1"/>
      </w:pBdr>
      <w:ind w:right="26"/>
      <w:rPr>
        <w:rFonts w:hint="eastAsia" w:eastAsia="宋体"/>
        <w:lang w:eastAsia="zh-CN"/>
      </w:rPr>
    </w:pPr>
    <w:r>
      <w:rPr>
        <w:rFonts w:hint="eastAsia"/>
        <w:lang w:eastAsia="zh-CN"/>
      </w:rPr>
      <w:t>广东国建工程项目管理有限公司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8"/>
      </w:rPr>
    </w:pPr>
    <w:r>
      <w:rPr>
        <w:rStyle w:val="28"/>
      </w:rPr>
      <w:fldChar w:fldCharType="begin"/>
    </w:r>
    <w:r>
      <w:rPr>
        <w:rStyle w:val="28"/>
      </w:rPr>
      <w:instrText xml:space="preserve">PAGE  </w:instrText>
    </w:r>
    <w:r>
      <w:rPr>
        <w:rStyle w:val="28"/>
      </w:rP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8"/>
      </w:rPr>
    </w:pPr>
    <w:r>
      <w:rPr>
        <w:rStyle w:val="28"/>
      </w:rPr>
      <w:fldChar w:fldCharType="begin"/>
    </w:r>
    <w:r>
      <w:rPr>
        <w:rStyle w:val="28"/>
      </w:rPr>
      <w:instrText xml:space="preserve">PAGE  </w:instrText>
    </w:r>
    <w:r>
      <w:rPr>
        <w:rStyle w:val="28"/>
      </w:rPr>
      <w:fldChar w:fldCharType="end"/>
    </w:r>
  </w:p>
  <w:p>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8"/>
      </w:rPr>
    </w:pPr>
    <w:r>
      <w:rPr>
        <w:rStyle w:val="28"/>
      </w:rPr>
      <w:fldChar w:fldCharType="begin"/>
    </w:r>
    <w:r>
      <w:rPr>
        <w:rStyle w:val="28"/>
      </w:rPr>
      <w:instrText xml:space="preserve">PAGE  </w:instrText>
    </w:r>
    <w:r>
      <w:rPr>
        <w:rStyle w:val="28"/>
      </w:rP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right"/>
      <w:rPr>
        <w:color w:val="000000"/>
      </w:rPr>
    </w:pPr>
    <w:r>
      <w:rPr>
        <w:rFonts w:hint="eastAsia" w:ascii="宋体" w:hAnsi="宋体"/>
        <w:color w:val="000000"/>
      </w:rPr>
      <w:t>大华路景观美化（海滨路—金砂路）工程项目可行性研究报</w:t>
    </w:r>
    <w:r>
      <w:rPr>
        <w:rFonts w:hint="eastAsia"/>
        <w:color w:val="000000"/>
      </w:rPr>
      <w:t>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53A"/>
    <w:rsid w:val="000003A6"/>
    <w:rsid w:val="00000E75"/>
    <w:rsid w:val="000074D8"/>
    <w:rsid w:val="000077F6"/>
    <w:rsid w:val="00012C10"/>
    <w:rsid w:val="00014B57"/>
    <w:rsid w:val="00023859"/>
    <w:rsid w:val="00025243"/>
    <w:rsid w:val="000253CE"/>
    <w:rsid w:val="00025DF6"/>
    <w:rsid w:val="00027C95"/>
    <w:rsid w:val="000306CF"/>
    <w:rsid w:val="000311E6"/>
    <w:rsid w:val="00035B2C"/>
    <w:rsid w:val="000368AE"/>
    <w:rsid w:val="00037947"/>
    <w:rsid w:val="000412B7"/>
    <w:rsid w:val="00043356"/>
    <w:rsid w:val="000446BA"/>
    <w:rsid w:val="00045FE2"/>
    <w:rsid w:val="0004683C"/>
    <w:rsid w:val="0005627D"/>
    <w:rsid w:val="000608B1"/>
    <w:rsid w:val="0006099F"/>
    <w:rsid w:val="000620DB"/>
    <w:rsid w:val="0006293F"/>
    <w:rsid w:val="00065BF8"/>
    <w:rsid w:val="000707B8"/>
    <w:rsid w:val="00070920"/>
    <w:rsid w:val="0007445E"/>
    <w:rsid w:val="00076AA3"/>
    <w:rsid w:val="00080280"/>
    <w:rsid w:val="00080501"/>
    <w:rsid w:val="000817BF"/>
    <w:rsid w:val="0008233D"/>
    <w:rsid w:val="000918B5"/>
    <w:rsid w:val="000927C8"/>
    <w:rsid w:val="00093963"/>
    <w:rsid w:val="00097546"/>
    <w:rsid w:val="00097B0C"/>
    <w:rsid w:val="000A11EE"/>
    <w:rsid w:val="000A1C87"/>
    <w:rsid w:val="000A51CB"/>
    <w:rsid w:val="000A7841"/>
    <w:rsid w:val="000B281C"/>
    <w:rsid w:val="000B635E"/>
    <w:rsid w:val="000B676A"/>
    <w:rsid w:val="000C3CE6"/>
    <w:rsid w:val="000C4CBD"/>
    <w:rsid w:val="000C783C"/>
    <w:rsid w:val="000D3B59"/>
    <w:rsid w:val="000D5827"/>
    <w:rsid w:val="000D5DEA"/>
    <w:rsid w:val="000D6D3E"/>
    <w:rsid w:val="000E2061"/>
    <w:rsid w:val="000E3E80"/>
    <w:rsid w:val="000E682E"/>
    <w:rsid w:val="000F0308"/>
    <w:rsid w:val="000F154C"/>
    <w:rsid w:val="000F232B"/>
    <w:rsid w:val="000F5F67"/>
    <w:rsid w:val="000F6811"/>
    <w:rsid w:val="00101494"/>
    <w:rsid w:val="001121DE"/>
    <w:rsid w:val="00114055"/>
    <w:rsid w:val="0011515E"/>
    <w:rsid w:val="00116D43"/>
    <w:rsid w:val="00121833"/>
    <w:rsid w:val="001231A0"/>
    <w:rsid w:val="00124F10"/>
    <w:rsid w:val="0013063F"/>
    <w:rsid w:val="001365EE"/>
    <w:rsid w:val="001369C2"/>
    <w:rsid w:val="001412AF"/>
    <w:rsid w:val="001429A6"/>
    <w:rsid w:val="00143105"/>
    <w:rsid w:val="00144E2C"/>
    <w:rsid w:val="001458F9"/>
    <w:rsid w:val="0015089A"/>
    <w:rsid w:val="00156C28"/>
    <w:rsid w:val="001606E8"/>
    <w:rsid w:val="00161FF3"/>
    <w:rsid w:val="0016605F"/>
    <w:rsid w:val="00171B5A"/>
    <w:rsid w:val="00172AF2"/>
    <w:rsid w:val="00174717"/>
    <w:rsid w:val="00184222"/>
    <w:rsid w:val="00185B9A"/>
    <w:rsid w:val="00186825"/>
    <w:rsid w:val="00192A31"/>
    <w:rsid w:val="00196946"/>
    <w:rsid w:val="001A208A"/>
    <w:rsid w:val="001A3A4A"/>
    <w:rsid w:val="001A464E"/>
    <w:rsid w:val="001A4726"/>
    <w:rsid w:val="001A550E"/>
    <w:rsid w:val="001A71EB"/>
    <w:rsid w:val="001B29C4"/>
    <w:rsid w:val="001B3806"/>
    <w:rsid w:val="001B3ECE"/>
    <w:rsid w:val="001C00A9"/>
    <w:rsid w:val="001C3778"/>
    <w:rsid w:val="001C42B9"/>
    <w:rsid w:val="001D1970"/>
    <w:rsid w:val="001D3071"/>
    <w:rsid w:val="001E0C6E"/>
    <w:rsid w:val="001E1DB3"/>
    <w:rsid w:val="001E367D"/>
    <w:rsid w:val="001E435F"/>
    <w:rsid w:val="001E603A"/>
    <w:rsid w:val="001E61B6"/>
    <w:rsid w:val="001F4595"/>
    <w:rsid w:val="001F5067"/>
    <w:rsid w:val="0020308F"/>
    <w:rsid w:val="002041E6"/>
    <w:rsid w:val="0020586B"/>
    <w:rsid w:val="00205BC6"/>
    <w:rsid w:val="002061FE"/>
    <w:rsid w:val="00206FE5"/>
    <w:rsid w:val="0020740C"/>
    <w:rsid w:val="00207E2C"/>
    <w:rsid w:val="00207F0C"/>
    <w:rsid w:val="00210187"/>
    <w:rsid w:val="00210F4A"/>
    <w:rsid w:val="00210F5B"/>
    <w:rsid w:val="002154A9"/>
    <w:rsid w:val="002209B4"/>
    <w:rsid w:val="00220FC0"/>
    <w:rsid w:val="00223EA6"/>
    <w:rsid w:val="00225BC7"/>
    <w:rsid w:val="00226E35"/>
    <w:rsid w:val="002320C7"/>
    <w:rsid w:val="002326F2"/>
    <w:rsid w:val="002330F6"/>
    <w:rsid w:val="002357D6"/>
    <w:rsid w:val="002438B4"/>
    <w:rsid w:val="00244117"/>
    <w:rsid w:val="002447CC"/>
    <w:rsid w:val="0024582E"/>
    <w:rsid w:val="00245BAF"/>
    <w:rsid w:val="002519CA"/>
    <w:rsid w:val="002541FE"/>
    <w:rsid w:val="00254F77"/>
    <w:rsid w:val="0025791B"/>
    <w:rsid w:val="0026121F"/>
    <w:rsid w:val="002638E3"/>
    <w:rsid w:val="00264E3D"/>
    <w:rsid w:val="00265780"/>
    <w:rsid w:val="00265EA1"/>
    <w:rsid w:val="00266C30"/>
    <w:rsid w:val="00267256"/>
    <w:rsid w:val="00270293"/>
    <w:rsid w:val="00270E6B"/>
    <w:rsid w:val="0027288D"/>
    <w:rsid w:val="00273DA5"/>
    <w:rsid w:val="0027553A"/>
    <w:rsid w:val="00280AF7"/>
    <w:rsid w:val="00283D70"/>
    <w:rsid w:val="00286CEF"/>
    <w:rsid w:val="00293137"/>
    <w:rsid w:val="00295F24"/>
    <w:rsid w:val="002968ED"/>
    <w:rsid w:val="00296A99"/>
    <w:rsid w:val="00297FDE"/>
    <w:rsid w:val="002A607B"/>
    <w:rsid w:val="002A6A5B"/>
    <w:rsid w:val="002A706D"/>
    <w:rsid w:val="002A74A9"/>
    <w:rsid w:val="002B02CA"/>
    <w:rsid w:val="002B11A9"/>
    <w:rsid w:val="002B5302"/>
    <w:rsid w:val="002C0BF1"/>
    <w:rsid w:val="002C71A4"/>
    <w:rsid w:val="002C7716"/>
    <w:rsid w:val="002D12E4"/>
    <w:rsid w:val="002D20C2"/>
    <w:rsid w:val="002D2FFA"/>
    <w:rsid w:val="002E204A"/>
    <w:rsid w:val="002E20F5"/>
    <w:rsid w:val="002E2646"/>
    <w:rsid w:val="002E33BE"/>
    <w:rsid w:val="002E4DF1"/>
    <w:rsid w:val="002E6911"/>
    <w:rsid w:val="002F3D33"/>
    <w:rsid w:val="002F7D03"/>
    <w:rsid w:val="0031144D"/>
    <w:rsid w:val="00312D01"/>
    <w:rsid w:val="0031316A"/>
    <w:rsid w:val="003214DC"/>
    <w:rsid w:val="00323224"/>
    <w:rsid w:val="00323C53"/>
    <w:rsid w:val="00326526"/>
    <w:rsid w:val="003265CF"/>
    <w:rsid w:val="00331971"/>
    <w:rsid w:val="00343EA2"/>
    <w:rsid w:val="0034551C"/>
    <w:rsid w:val="003456E9"/>
    <w:rsid w:val="00346DE1"/>
    <w:rsid w:val="00347B77"/>
    <w:rsid w:val="003503EA"/>
    <w:rsid w:val="003578AF"/>
    <w:rsid w:val="00360201"/>
    <w:rsid w:val="00361E42"/>
    <w:rsid w:val="00362868"/>
    <w:rsid w:val="0036299E"/>
    <w:rsid w:val="00367F4D"/>
    <w:rsid w:val="00367FBB"/>
    <w:rsid w:val="00370FA8"/>
    <w:rsid w:val="00373240"/>
    <w:rsid w:val="00373497"/>
    <w:rsid w:val="0037416D"/>
    <w:rsid w:val="00374FD3"/>
    <w:rsid w:val="00381A0E"/>
    <w:rsid w:val="003833D5"/>
    <w:rsid w:val="003876B6"/>
    <w:rsid w:val="00387C64"/>
    <w:rsid w:val="003914C5"/>
    <w:rsid w:val="003968AE"/>
    <w:rsid w:val="003A1144"/>
    <w:rsid w:val="003A34E8"/>
    <w:rsid w:val="003B04DA"/>
    <w:rsid w:val="003B25A2"/>
    <w:rsid w:val="003B2C64"/>
    <w:rsid w:val="003B3401"/>
    <w:rsid w:val="003B47CC"/>
    <w:rsid w:val="003B5045"/>
    <w:rsid w:val="003B5574"/>
    <w:rsid w:val="003C15BA"/>
    <w:rsid w:val="003C1B25"/>
    <w:rsid w:val="003C4363"/>
    <w:rsid w:val="003C5261"/>
    <w:rsid w:val="003C66EC"/>
    <w:rsid w:val="003D4311"/>
    <w:rsid w:val="003D6B35"/>
    <w:rsid w:val="003E07E2"/>
    <w:rsid w:val="003E5029"/>
    <w:rsid w:val="003E586F"/>
    <w:rsid w:val="003E5F3A"/>
    <w:rsid w:val="003E6085"/>
    <w:rsid w:val="003E6742"/>
    <w:rsid w:val="003E78EB"/>
    <w:rsid w:val="003E7C2D"/>
    <w:rsid w:val="003F0D37"/>
    <w:rsid w:val="003F1399"/>
    <w:rsid w:val="0040027B"/>
    <w:rsid w:val="004030A2"/>
    <w:rsid w:val="004041D4"/>
    <w:rsid w:val="00404295"/>
    <w:rsid w:val="004105C5"/>
    <w:rsid w:val="0041441F"/>
    <w:rsid w:val="004218D6"/>
    <w:rsid w:val="00421B6F"/>
    <w:rsid w:val="0042755D"/>
    <w:rsid w:val="00431756"/>
    <w:rsid w:val="00440D7B"/>
    <w:rsid w:val="0044150F"/>
    <w:rsid w:val="0044229D"/>
    <w:rsid w:val="00445137"/>
    <w:rsid w:val="004453FE"/>
    <w:rsid w:val="00445B7F"/>
    <w:rsid w:val="00447927"/>
    <w:rsid w:val="00454600"/>
    <w:rsid w:val="00454708"/>
    <w:rsid w:val="004552CD"/>
    <w:rsid w:val="00455EB9"/>
    <w:rsid w:val="004565EC"/>
    <w:rsid w:val="00457079"/>
    <w:rsid w:val="004637D3"/>
    <w:rsid w:val="004651AF"/>
    <w:rsid w:val="00466770"/>
    <w:rsid w:val="00466827"/>
    <w:rsid w:val="00471938"/>
    <w:rsid w:val="00473BB5"/>
    <w:rsid w:val="00475792"/>
    <w:rsid w:val="00476967"/>
    <w:rsid w:val="004769C3"/>
    <w:rsid w:val="00477D30"/>
    <w:rsid w:val="00480C47"/>
    <w:rsid w:val="00483B85"/>
    <w:rsid w:val="0048661C"/>
    <w:rsid w:val="00495BE2"/>
    <w:rsid w:val="004A4CC9"/>
    <w:rsid w:val="004A537A"/>
    <w:rsid w:val="004B39F3"/>
    <w:rsid w:val="004B3F66"/>
    <w:rsid w:val="004B5815"/>
    <w:rsid w:val="004B6479"/>
    <w:rsid w:val="004B6A5C"/>
    <w:rsid w:val="004B7A14"/>
    <w:rsid w:val="004B7F78"/>
    <w:rsid w:val="004C1D5C"/>
    <w:rsid w:val="004C6335"/>
    <w:rsid w:val="004C6EAD"/>
    <w:rsid w:val="004D10E1"/>
    <w:rsid w:val="004D3B38"/>
    <w:rsid w:val="004D4545"/>
    <w:rsid w:val="004D5A80"/>
    <w:rsid w:val="004D6F7E"/>
    <w:rsid w:val="004E09BC"/>
    <w:rsid w:val="004E1C01"/>
    <w:rsid w:val="004E2FFC"/>
    <w:rsid w:val="004E4A8E"/>
    <w:rsid w:val="004E5427"/>
    <w:rsid w:val="004F1558"/>
    <w:rsid w:val="004F38F0"/>
    <w:rsid w:val="004F394B"/>
    <w:rsid w:val="004F7841"/>
    <w:rsid w:val="005012B6"/>
    <w:rsid w:val="0051234B"/>
    <w:rsid w:val="005221F6"/>
    <w:rsid w:val="00523082"/>
    <w:rsid w:val="00525B2C"/>
    <w:rsid w:val="005268DB"/>
    <w:rsid w:val="005320BD"/>
    <w:rsid w:val="00533110"/>
    <w:rsid w:val="005362A6"/>
    <w:rsid w:val="00537022"/>
    <w:rsid w:val="00541243"/>
    <w:rsid w:val="005438FE"/>
    <w:rsid w:val="005445E4"/>
    <w:rsid w:val="00544C19"/>
    <w:rsid w:val="00545571"/>
    <w:rsid w:val="00546C6C"/>
    <w:rsid w:val="00547CD4"/>
    <w:rsid w:val="00550BD9"/>
    <w:rsid w:val="00550BFE"/>
    <w:rsid w:val="00561584"/>
    <w:rsid w:val="00561992"/>
    <w:rsid w:val="00561B92"/>
    <w:rsid w:val="00562058"/>
    <w:rsid w:val="0056226D"/>
    <w:rsid w:val="00563C65"/>
    <w:rsid w:val="005642EA"/>
    <w:rsid w:val="00574995"/>
    <w:rsid w:val="00576129"/>
    <w:rsid w:val="00576F79"/>
    <w:rsid w:val="00577220"/>
    <w:rsid w:val="005800DC"/>
    <w:rsid w:val="00581578"/>
    <w:rsid w:val="00582EEB"/>
    <w:rsid w:val="005953C4"/>
    <w:rsid w:val="005958A4"/>
    <w:rsid w:val="00596878"/>
    <w:rsid w:val="00597D68"/>
    <w:rsid w:val="005A091A"/>
    <w:rsid w:val="005A128C"/>
    <w:rsid w:val="005A426F"/>
    <w:rsid w:val="005A4737"/>
    <w:rsid w:val="005A50EC"/>
    <w:rsid w:val="005A7A10"/>
    <w:rsid w:val="005B3790"/>
    <w:rsid w:val="005B3E1C"/>
    <w:rsid w:val="005D0509"/>
    <w:rsid w:val="005D1566"/>
    <w:rsid w:val="005D216D"/>
    <w:rsid w:val="005D7C0A"/>
    <w:rsid w:val="005E103C"/>
    <w:rsid w:val="005E1DA3"/>
    <w:rsid w:val="005E34DA"/>
    <w:rsid w:val="005F11F0"/>
    <w:rsid w:val="005F2684"/>
    <w:rsid w:val="005F441E"/>
    <w:rsid w:val="005F4A8B"/>
    <w:rsid w:val="005F6535"/>
    <w:rsid w:val="005F6CFA"/>
    <w:rsid w:val="005F6FA2"/>
    <w:rsid w:val="006005CF"/>
    <w:rsid w:val="0060106B"/>
    <w:rsid w:val="006025A5"/>
    <w:rsid w:val="00604388"/>
    <w:rsid w:val="00606A7E"/>
    <w:rsid w:val="00607145"/>
    <w:rsid w:val="00610D77"/>
    <w:rsid w:val="00613634"/>
    <w:rsid w:val="00614E8E"/>
    <w:rsid w:val="00615F29"/>
    <w:rsid w:val="006220DA"/>
    <w:rsid w:val="00622B94"/>
    <w:rsid w:val="006235B5"/>
    <w:rsid w:val="00624C61"/>
    <w:rsid w:val="006256E7"/>
    <w:rsid w:val="006302E5"/>
    <w:rsid w:val="00630790"/>
    <w:rsid w:val="00636331"/>
    <w:rsid w:val="006373DD"/>
    <w:rsid w:val="00641947"/>
    <w:rsid w:val="00642643"/>
    <w:rsid w:val="00644327"/>
    <w:rsid w:val="006444E3"/>
    <w:rsid w:val="00645185"/>
    <w:rsid w:val="006466D9"/>
    <w:rsid w:val="00647D41"/>
    <w:rsid w:val="00654859"/>
    <w:rsid w:val="00655243"/>
    <w:rsid w:val="006562D8"/>
    <w:rsid w:val="0065642B"/>
    <w:rsid w:val="00661DBF"/>
    <w:rsid w:val="00664188"/>
    <w:rsid w:val="00682827"/>
    <w:rsid w:val="006835ED"/>
    <w:rsid w:val="00683992"/>
    <w:rsid w:val="006876D7"/>
    <w:rsid w:val="00693DD1"/>
    <w:rsid w:val="00695292"/>
    <w:rsid w:val="00697197"/>
    <w:rsid w:val="006A29EE"/>
    <w:rsid w:val="006A75A6"/>
    <w:rsid w:val="006B1E07"/>
    <w:rsid w:val="006C4271"/>
    <w:rsid w:val="006C636E"/>
    <w:rsid w:val="006C662A"/>
    <w:rsid w:val="006C6C47"/>
    <w:rsid w:val="006D1B8A"/>
    <w:rsid w:val="006D219C"/>
    <w:rsid w:val="006D47BC"/>
    <w:rsid w:val="006D5802"/>
    <w:rsid w:val="006D72A2"/>
    <w:rsid w:val="006E00D2"/>
    <w:rsid w:val="006E120A"/>
    <w:rsid w:val="006E38BA"/>
    <w:rsid w:val="006E5C99"/>
    <w:rsid w:val="006F14C8"/>
    <w:rsid w:val="006F574B"/>
    <w:rsid w:val="007012CE"/>
    <w:rsid w:val="00703AE1"/>
    <w:rsid w:val="0070470C"/>
    <w:rsid w:val="00705A8D"/>
    <w:rsid w:val="0070617F"/>
    <w:rsid w:val="00707017"/>
    <w:rsid w:val="00707B02"/>
    <w:rsid w:val="00710F2A"/>
    <w:rsid w:val="0071213D"/>
    <w:rsid w:val="00712F23"/>
    <w:rsid w:val="00713730"/>
    <w:rsid w:val="00713A70"/>
    <w:rsid w:val="00721C4C"/>
    <w:rsid w:val="00721FA6"/>
    <w:rsid w:val="00722707"/>
    <w:rsid w:val="0072598F"/>
    <w:rsid w:val="00726917"/>
    <w:rsid w:val="00726FC2"/>
    <w:rsid w:val="00732115"/>
    <w:rsid w:val="00735809"/>
    <w:rsid w:val="0075096E"/>
    <w:rsid w:val="00752B21"/>
    <w:rsid w:val="00753246"/>
    <w:rsid w:val="0075327D"/>
    <w:rsid w:val="00756FEC"/>
    <w:rsid w:val="0075715C"/>
    <w:rsid w:val="00760784"/>
    <w:rsid w:val="00761414"/>
    <w:rsid w:val="00761BA6"/>
    <w:rsid w:val="00763E99"/>
    <w:rsid w:val="00765C5F"/>
    <w:rsid w:val="00766E83"/>
    <w:rsid w:val="007709B3"/>
    <w:rsid w:val="00772C25"/>
    <w:rsid w:val="00774457"/>
    <w:rsid w:val="0077593E"/>
    <w:rsid w:val="00775A6B"/>
    <w:rsid w:val="00776111"/>
    <w:rsid w:val="007762B7"/>
    <w:rsid w:val="00776410"/>
    <w:rsid w:val="00777E23"/>
    <w:rsid w:val="00782850"/>
    <w:rsid w:val="00785F76"/>
    <w:rsid w:val="00792C7D"/>
    <w:rsid w:val="007958F6"/>
    <w:rsid w:val="00796843"/>
    <w:rsid w:val="00797576"/>
    <w:rsid w:val="007A0A40"/>
    <w:rsid w:val="007A3520"/>
    <w:rsid w:val="007A3576"/>
    <w:rsid w:val="007A68E5"/>
    <w:rsid w:val="007A7AF0"/>
    <w:rsid w:val="007B28A3"/>
    <w:rsid w:val="007C037A"/>
    <w:rsid w:val="007C04B3"/>
    <w:rsid w:val="007C1C01"/>
    <w:rsid w:val="007C4A5E"/>
    <w:rsid w:val="007D0FDF"/>
    <w:rsid w:val="007D352D"/>
    <w:rsid w:val="007D6A44"/>
    <w:rsid w:val="007E07BE"/>
    <w:rsid w:val="007E1855"/>
    <w:rsid w:val="007F1CE9"/>
    <w:rsid w:val="007F6B4E"/>
    <w:rsid w:val="007F75AB"/>
    <w:rsid w:val="00800944"/>
    <w:rsid w:val="00801E15"/>
    <w:rsid w:val="008023B2"/>
    <w:rsid w:val="00802A6B"/>
    <w:rsid w:val="00802F90"/>
    <w:rsid w:val="00812BD4"/>
    <w:rsid w:val="00813728"/>
    <w:rsid w:val="0081546E"/>
    <w:rsid w:val="008159FA"/>
    <w:rsid w:val="00817E98"/>
    <w:rsid w:val="008216C6"/>
    <w:rsid w:val="008238AE"/>
    <w:rsid w:val="008247A5"/>
    <w:rsid w:val="00826D8B"/>
    <w:rsid w:val="00826F35"/>
    <w:rsid w:val="0082748F"/>
    <w:rsid w:val="008274B7"/>
    <w:rsid w:val="00827CAB"/>
    <w:rsid w:val="00830227"/>
    <w:rsid w:val="00834987"/>
    <w:rsid w:val="00834FC1"/>
    <w:rsid w:val="008357C7"/>
    <w:rsid w:val="008375D1"/>
    <w:rsid w:val="0084151A"/>
    <w:rsid w:val="00841A6F"/>
    <w:rsid w:val="0084394E"/>
    <w:rsid w:val="00845C2C"/>
    <w:rsid w:val="00846991"/>
    <w:rsid w:val="00847466"/>
    <w:rsid w:val="0085735D"/>
    <w:rsid w:val="008615A4"/>
    <w:rsid w:val="00873588"/>
    <w:rsid w:val="00876F50"/>
    <w:rsid w:val="00881DE3"/>
    <w:rsid w:val="00890602"/>
    <w:rsid w:val="00890E11"/>
    <w:rsid w:val="00891B36"/>
    <w:rsid w:val="00895635"/>
    <w:rsid w:val="0089592F"/>
    <w:rsid w:val="00896624"/>
    <w:rsid w:val="008A0050"/>
    <w:rsid w:val="008B2571"/>
    <w:rsid w:val="008B26C5"/>
    <w:rsid w:val="008B2F4D"/>
    <w:rsid w:val="008B6DA1"/>
    <w:rsid w:val="008C0489"/>
    <w:rsid w:val="008C0D66"/>
    <w:rsid w:val="008C42C3"/>
    <w:rsid w:val="008C7719"/>
    <w:rsid w:val="008D095A"/>
    <w:rsid w:val="008D67D3"/>
    <w:rsid w:val="008E249B"/>
    <w:rsid w:val="008E5F2E"/>
    <w:rsid w:val="008E6111"/>
    <w:rsid w:val="008F1163"/>
    <w:rsid w:val="008F3A29"/>
    <w:rsid w:val="008F7CE8"/>
    <w:rsid w:val="00901296"/>
    <w:rsid w:val="00901621"/>
    <w:rsid w:val="00902DEE"/>
    <w:rsid w:val="0090561F"/>
    <w:rsid w:val="009072D4"/>
    <w:rsid w:val="00907494"/>
    <w:rsid w:val="009146B5"/>
    <w:rsid w:val="00915893"/>
    <w:rsid w:val="00917696"/>
    <w:rsid w:val="00920C64"/>
    <w:rsid w:val="00922F16"/>
    <w:rsid w:val="00926565"/>
    <w:rsid w:val="009336FC"/>
    <w:rsid w:val="00933735"/>
    <w:rsid w:val="00934070"/>
    <w:rsid w:val="009348A6"/>
    <w:rsid w:val="009358BB"/>
    <w:rsid w:val="00935A07"/>
    <w:rsid w:val="009375F4"/>
    <w:rsid w:val="009408F5"/>
    <w:rsid w:val="00943CCB"/>
    <w:rsid w:val="009448BE"/>
    <w:rsid w:val="0094544E"/>
    <w:rsid w:val="0094553E"/>
    <w:rsid w:val="009456D5"/>
    <w:rsid w:val="009459FD"/>
    <w:rsid w:val="00945D85"/>
    <w:rsid w:val="00946335"/>
    <w:rsid w:val="00947324"/>
    <w:rsid w:val="00950B66"/>
    <w:rsid w:val="00953207"/>
    <w:rsid w:val="00956060"/>
    <w:rsid w:val="009574B3"/>
    <w:rsid w:val="009579E1"/>
    <w:rsid w:val="00965619"/>
    <w:rsid w:val="00965AF8"/>
    <w:rsid w:val="00976DC8"/>
    <w:rsid w:val="00976F6F"/>
    <w:rsid w:val="00980BA0"/>
    <w:rsid w:val="00981598"/>
    <w:rsid w:val="009817A5"/>
    <w:rsid w:val="00982737"/>
    <w:rsid w:val="00984C10"/>
    <w:rsid w:val="00985125"/>
    <w:rsid w:val="00986353"/>
    <w:rsid w:val="00997ABC"/>
    <w:rsid w:val="009A409E"/>
    <w:rsid w:val="009A5683"/>
    <w:rsid w:val="009A5B60"/>
    <w:rsid w:val="009A7325"/>
    <w:rsid w:val="009A7FCB"/>
    <w:rsid w:val="009B02D7"/>
    <w:rsid w:val="009B56FA"/>
    <w:rsid w:val="009B59ED"/>
    <w:rsid w:val="009B7EBC"/>
    <w:rsid w:val="009C2DC3"/>
    <w:rsid w:val="009C2EA5"/>
    <w:rsid w:val="009C4443"/>
    <w:rsid w:val="009C4A9E"/>
    <w:rsid w:val="009D164B"/>
    <w:rsid w:val="009D170E"/>
    <w:rsid w:val="009D1A56"/>
    <w:rsid w:val="009D1F24"/>
    <w:rsid w:val="009D56AA"/>
    <w:rsid w:val="009D6203"/>
    <w:rsid w:val="009D750C"/>
    <w:rsid w:val="009E0496"/>
    <w:rsid w:val="009E217D"/>
    <w:rsid w:val="009E745C"/>
    <w:rsid w:val="009F0AD6"/>
    <w:rsid w:val="009F4409"/>
    <w:rsid w:val="009F4952"/>
    <w:rsid w:val="009F5C8B"/>
    <w:rsid w:val="009F6244"/>
    <w:rsid w:val="009F74E2"/>
    <w:rsid w:val="009F763E"/>
    <w:rsid w:val="00A04525"/>
    <w:rsid w:val="00A053B5"/>
    <w:rsid w:val="00A0705B"/>
    <w:rsid w:val="00A10AFE"/>
    <w:rsid w:val="00A11044"/>
    <w:rsid w:val="00A110AB"/>
    <w:rsid w:val="00A12EC3"/>
    <w:rsid w:val="00A14923"/>
    <w:rsid w:val="00A171BB"/>
    <w:rsid w:val="00A20D19"/>
    <w:rsid w:val="00A21A6C"/>
    <w:rsid w:val="00A23B40"/>
    <w:rsid w:val="00A23BD5"/>
    <w:rsid w:val="00A26F98"/>
    <w:rsid w:val="00A2784E"/>
    <w:rsid w:val="00A27FC6"/>
    <w:rsid w:val="00A31DD9"/>
    <w:rsid w:val="00A34B6D"/>
    <w:rsid w:val="00A34B74"/>
    <w:rsid w:val="00A35927"/>
    <w:rsid w:val="00A40A1E"/>
    <w:rsid w:val="00A41705"/>
    <w:rsid w:val="00A4267B"/>
    <w:rsid w:val="00A45909"/>
    <w:rsid w:val="00A50711"/>
    <w:rsid w:val="00A50B77"/>
    <w:rsid w:val="00A57210"/>
    <w:rsid w:val="00A64877"/>
    <w:rsid w:val="00A651A0"/>
    <w:rsid w:val="00A70508"/>
    <w:rsid w:val="00A758F5"/>
    <w:rsid w:val="00A75C53"/>
    <w:rsid w:val="00A76665"/>
    <w:rsid w:val="00A81A31"/>
    <w:rsid w:val="00A82C59"/>
    <w:rsid w:val="00A8394A"/>
    <w:rsid w:val="00A852EE"/>
    <w:rsid w:val="00A930BB"/>
    <w:rsid w:val="00A94EB8"/>
    <w:rsid w:val="00AA270D"/>
    <w:rsid w:val="00AA2AF0"/>
    <w:rsid w:val="00AA467C"/>
    <w:rsid w:val="00AA4A26"/>
    <w:rsid w:val="00AB0459"/>
    <w:rsid w:val="00AB0F5E"/>
    <w:rsid w:val="00AB18F7"/>
    <w:rsid w:val="00AB1D28"/>
    <w:rsid w:val="00AB222A"/>
    <w:rsid w:val="00AB4957"/>
    <w:rsid w:val="00AB61E1"/>
    <w:rsid w:val="00AC2CA0"/>
    <w:rsid w:val="00AC39E9"/>
    <w:rsid w:val="00AC42B2"/>
    <w:rsid w:val="00AC6734"/>
    <w:rsid w:val="00AD058F"/>
    <w:rsid w:val="00AD31F6"/>
    <w:rsid w:val="00AD4A6A"/>
    <w:rsid w:val="00AD566F"/>
    <w:rsid w:val="00AD584E"/>
    <w:rsid w:val="00AE2CA6"/>
    <w:rsid w:val="00AE372A"/>
    <w:rsid w:val="00AE386B"/>
    <w:rsid w:val="00AE4657"/>
    <w:rsid w:val="00AE633B"/>
    <w:rsid w:val="00AF1D0D"/>
    <w:rsid w:val="00AF2488"/>
    <w:rsid w:val="00AF5204"/>
    <w:rsid w:val="00AF60CE"/>
    <w:rsid w:val="00AF649D"/>
    <w:rsid w:val="00B02B42"/>
    <w:rsid w:val="00B05608"/>
    <w:rsid w:val="00B05E4F"/>
    <w:rsid w:val="00B070B1"/>
    <w:rsid w:val="00B12950"/>
    <w:rsid w:val="00B138A9"/>
    <w:rsid w:val="00B1429D"/>
    <w:rsid w:val="00B20DE5"/>
    <w:rsid w:val="00B23431"/>
    <w:rsid w:val="00B257BF"/>
    <w:rsid w:val="00B31944"/>
    <w:rsid w:val="00B36132"/>
    <w:rsid w:val="00B36B73"/>
    <w:rsid w:val="00B36E0B"/>
    <w:rsid w:val="00B40325"/>
    <w:rsid w:val="00B4153E"/>
    <w:rsid w:val="00B41C87"/>
    <w:rsid w:val="00B44512"/>
    <w:rsid w:val="00B44615"/>
    <w:rsid w:val="00B51663"/>
    <w:rsid w:val="00B5391D"/>
    <w:rsid w:val="00B54E12"/>
    <w:rsid w:val="00B55916"/>
    <w:rsid w:val="00B61FDC"/>
    <w:rsid w:val="00B62920"/>
    <w:rsid w:val="00B663FB"/>
    <w:rsid w:val="00B66865"/>
    <w:rsid w:val="00B67127"/>
    <w:rsid w:val="00B724A6"/>
    <w:rsid w:val="00B72580"/>
    <w:rsid w:val="00B75A5B"/>
    <w:rsid w:val="00B82EFF"/>
    <w:rsid w:val="00B85450"/>
    <w:rsid w:val="00B85BC3"/>
    <w:rsid w:val="00B94F88"/>
    <w:rsid w:val="00BA2DD3"/>
    <w:rsid w:val="00BA3230"/>
    <w:rsid w:val="00BA40ED"/>
    <w:rsid w:val="00BA5C23"/>
    <w:rsid w:val="00BA6239"/>
    <w:rsid w:val="00BB19A7"/>
    <w:rsid w:val="00BB419E"/>
    <w:rsid w:val="00BB541E"/>
    <w:rsid w:val="00BB5CCF"/>
    <w:rsid w:val="00BB7E28"/>
    <w:rsid w:val="00BC188A"/>
    <w:rsid w:val="00BC53D6"/>
    <w:rsid w:val="00BC5BB4"/>
    <w:rsid w:val="00BC6B78"/>
    <w:rsid w:val="00BC6BCE"/>
    <w:rsid w:val="00BC74E2"/>
    <w:rsid w:val="00BC7A1C"/>
    <w:rsid w:val="00BD0904"/>
    <w:rsid w:val="00BD1302"/>
    <w:rsid w:val="00BD155B"/>
    <w:rsid w:val="00BD1779"/>
    <w:rsid w:val="00BD29ED"/>
    <w:rsid w:val="00BD44D9"/>
    <w:rsid w:val="00BD490F"/>
    <w:rsid w:val="00BD4B64"/>
    <w:rsid w:val="00BE1F58"/>
    <w:rsid w:val="00BE2E03"/>
    <w:rsid w:val="00BE762C"/>
    <w:rsid w:val="00BF2619"/>
    <w:rsid w:val="00BF2B49"/>
    <w:rsid w:val="00BF6A22"/>
    <w:rsid w:val="00C056FA"/>
    <w:rsid w:val="00C05E67"/>
    <w:rsid w:val="00C0604C"/>
    <w:rsid w:val="00C066CF"/>
    <w:rsid w:val="00C0736B"/>
    <w:rsid w:val="00C1010B"/>
    <w:rsid w:val="00C13EA4"/>
    <w:rsid w:val="00C14684"/>
    <w:rsid w:val="00C21793"/>
    <w:rsid w:val="00C22ED4"/>
    <w:rsid w:val="00C23E4A"/>
    <w:rsid w:val="00C253A5"/>
    <w:rsid w:val="00C25972"/>
    <w:rsid w:val="00C26E4F"/>
    <w:rsid w:val="00C302FC"/>
    <w:rsid w:val="00C30515"/>
    <w:rsid w:val="00C310D1"/>
    <w:rsid w:val="00C31648"/>
    <w:rsid w:val="00C32D64"/>
    <w:rsid w:val="00C34997"/>
    <w:rsid w:val="00C36BAC"/>
    <w:rsid w:val="00C36BC6"/>
    <w:rsid w:val="00C36E80"/>
    <w:rsid w:val="00C37244"/>
    <w:rsid w:val="00C400F5"/>
    <w:rsid w:val="00C40BA9"/>
    <w:rsid w:val="00C43076"/>
    <w:rsid w:val="00C4438C"/>
    <w:rsid w:val="00C478AA"/>
    <w:rsid w:val="00C47EB2"/>
    <w:rsid w:val="00C524EE"/>
    <w:rsid w:val="00C55611"/>
    <w:rsid w:val="00C568C0"/>
    <w:rsid w:val="00C6564C"/>
    <w:rsid w:val="00C65A03"/>
    <w:rsid w:val="00C6686B"/>
    <w:rsid w:val="00C7180D"/>
    <w:rsid w:val="00C72220"/>
    <w:rsid w:val="00C751F3"/>
    <w:rsid w:val="00C82F4C"/>
    <w:rsid w:val="00C85AAA"/>
    <w:rsid w:val="00C93B0B"/>
    <w:rsid w:val="00C94158"/>
    <w:rsid w:val="00C9711D"/>
    <w:rsid w:val="00C97179"/>
    <w:rsid w:val="00CA0DBE"/>
    <w:rsid w:val="00CA23B3"/>
    <w:rsid w:val="00CA4D53"/>
    <w:rsid w:val="00CA5C1C"/>
    <w:rsid w:val="00CA6674"/>
    <w:rsid w:val="00CB353B"/>
    <w:rsid w:val="00CB3BE9"/>
    <w:rsid w:val="00CB5EA9"/>
    <w:rsid w:val="00CB6BBE"/>
    <w:rsid w:val="00CC16C1"/>
    <w:rsid w:val="00CC1B8A"/>
    <w:rsid w:val="00CC4855"/>
    <w:rsid w:val="00CC495A"/>
    <w:rsid w:val="00CC4D71"/>
    <w:rsid w:val="00CC63B9"/>
    <w:rsid w:val="00CD1B09"/>
    <w:rsid w:val="00CD5CA1"/>
    <w:rsid w:val="00CD67DE"/>
    <w:rsid w:val="00CE4A84"/>
    <w:rsid w:val="00CE504B"/>
    <w:rsid w:val="00CE6545"/>
    <w:rsid w:val="00CE7C52"/>
    <w:rsid w:val="00CF034A"/>
    <w:rsid w:val="00CF0411"/>
    <w:rsid w:val="00CF055D"/>
    <w:rsid w:val="00CF1260"/>
    <w:rsid w:val="00CF33AC"/>
    <w:rsid w:val="00CF46D5"/>
    <w:rsid w:val="00CF4F0F"/>
    <w:rsid w:val="00CF6DEA"/>
    <w:rsid w:val="00D02492"/>
    <w:rsid w:val="00D04DDF"/>
    <w:rsid w:val="00D0570A"/>
    <w:rsid w:val="00D065C3"/>
    <w:rsid w:val="00D1635C"/>
    <w:rsid w:val="00D172F1"/>
    <w:rsid w:val="00D2007D"/>
    <w:rsid w:val="00D21824"/>
    <w:rsid w:val="00D232ED"/>
    <w:rsid w:val="00D23C15"/>
    <w:rsid w:val="00D24B11"/>
    <w:rsid w:val="00D24BF4"/>
    <w:rsid w:val="00D24DDD"/>
    <w:rsid w:val="00D26EB3"/>
    <w:rsid w:val="00D27992"/>
    <w:rsid w:val="00D30A51"/>
    <w:rsid w:val="00D30F3E"/>
    <w:rsid w:val="00D3134B"/>
    <w:rsid w:val="00D32091"/>
    <w:rsid w:val="00D3587A"/>
    <w:rsid w:val="00D35CFB"/>
    <w:rsid w:val="00D36847"/>
    <w:rsid w:val="00D37A8A"/>
    <w:rsid w:val="00D37E33"/>
    <w:rsid w:val="00D40E97"/>
    <w:rsid w:val="00D41367"/>
    <w:rsid w:val="00D47738"/>
    <w:rsid w:val="00D47A04"/>
    <w:rsid w:val="00D51CA4"/>
    <w:rsid w:val="00D55B58"/>
    <w:rsid w:val="00D56DEE"/>
    <w:rsid w:val="00D57090"/>
    <w:rsid w:val="00D60411"/>
    <w:rsid w:val="00D61186"/>
    <w:rsid w:val="00D61F33"/>
    <w:rsid w:val="00D62B18"/>
    <w:rsid w:val="00D703C7"/>
    <w:rsid w:val="00D73073"/>
    <w:rsid w:val="00D77A5C"/>
    <w:rsid w:val="00D9692F"/>
    <w:rsid w:val="00D97C49"/>
    <w:rsid w:val="00DA0FA5"/>
    <w:rsid w:val="00DA22C7"/>
    <w:rsid w:val="00DA7A7B"/>
    <w:rsid w:val="00DA7C06"/>
    <w:rsid w:val="00DB3B55"/>
    <w:rsid w:val="00DB7904"/>
    <w:rsid w:val="00DC2B56"/>
    <w:rsid w:val="00DC45F2"/>
    <w:rsid w:val="00DC6838"/>
    <w:rsid w:val="00DD1101"/>
    <w:rsid w:val="00DD15B0"/>
    <w:rsid w:val="00DD4615"/>
    <w:rsid w:val="00DD54C1"/>
    <w:rsid w:val="00DD7AE6"/>
    <w:rsid w:val="00DD7DF4"/>
    <w:rsid w:val="00DE2365"/>
    <w:rsid w:val="00DE428B"/>
    <w:rsid w:val="00DE7512"/>
    <w:rsid w:val="00DE7BD8"/>
    <w:rsid w:val="00DF0CF6"/>
    <w:rsid w:val="00DF4412"/>
    <w:rsid w:val="00DF4981"/>
    <w:rsid w:val="00E0062B"/>
    <w:rsid w:val="00E047DB"/>
    <w:rsid w:val="00E07713"/>
    <w:rsid w:val="00E1092D"/>
    <w:rsid w:val="00E14B1F"/>
    <w:rsid w:val="00E17A58"/>
    <w:rsid w:val="00E2052C"/>
    <w:rsid w:val="00E23811"/>
    <w:rsid w:val="00E24C59"/>
    <w:rsid w:val="00E31F37"/>
    <w:rsid w:val="00E33CFC"/>
    <w:rsid w:val="00E34EA6"/>
    <w:rsid w:val="00E36FE3"/>
    <w:rsid w:val="00E408CE"/>
    <w:rsid w:val="00E40DC8"/>
    <w:rsid w:val="00E4142D"/>
    <w:rsid w:val="00E43EE9"/>
    <w:rsid w:val="00E44F4D"/>
    <w:rsid w:val="00E5253A"/>
    <w:rsid w:val="00E54518"/>
    <w:rsid w:val="00E54879"/>
    <w:rsid w:val="00E57173"/>
    <w:rsid w:val="00E60024"/>
    <w:rsid w:val="00E6228A"/>
    <w:rsid w:val="00E63349"/>
    <w:rsid w:val="00E657ED"/>
    <w:rsid w:val="00E6617E"/>
    <w:rsid w:val="00E677F1"/>
    <w:rsid w:val="00E75714"/>
    <w:rsid w:val="00E772DB"/>
    <w:rsid w:val="00E802B6"/>
    <w:rsid w:val="00E85EB5"/>
    <w:rsid w:val="00E93C51"/>
    <w:rsid w:val="00EA122A"/>
    <w:rsid w:val="00EA2381"/>
    <w:rsid w:val="00EA6B08"/>
    <w:rsid w:val="00EB2CEA"/>
    <w:rsid w:val="00EB2D74"/>
    <w:rsid w:val="00EB32C9"/>
    <w:rsid w:val="00EB3C26"/>
    <w:rsid w:val="00EB653D"/>
    <w:rsid w:val="00EB73CB"/>
    <w:rsid w:val="00EB7805"/>
    <w:rsid w:val="00EC0E6B"/>
    <w:rsid w:val="00EC129F"/>
    <w:rsid w:val="00EC1E75"/>
    <w:rsid w:val="00EC3D14"/>
    <w:rsid w:val="00EC579C"/>
    <w:rsid w:val="00EC5DCD"/>
    <w:rsid w:val="00EC7B8D"/>
    <w:rsid w:val="00ED6984"/>
    <w:rsid w:val="00EE09D9"/>
    <w:rsid w:val="00EE0E85"/>
    <w:rsid w:val="00EE7707"/>
    <w:rsid w:val="00EF27E6"/>
    <w:rsid w:val="00F012DF"/>
    <w:rsid w:val="00F01CFA"/>
    <w:rsid w:val="00F0356B"/>
    <w:rsid w:val="00F0667A"/>
    <w:rsid w:val="00F06E7C"/>
    <w:rsid w:val="00F1012B"/>
    <w:rsid w:val="00F11371"/>
    <w:rsid w:val="00F17959"/>
    <w:rsid w:val="00F17968"/>
    <w:rsid w:val="00F307F9"/>
    <w:rsid w:val="00F3168E"/>
    <w:rsid w:val="00F36B10"/>
    <w:rsid w:val="00F37C42"/>
    <w:rsid w:val="00F4122C"/>
    <w:rsid w:val="00F4168D"/>
    <w:rsid w:val="00F43258"/>
    <w:rsid w:val="00F43A15"/>
    <w:rsid w:val="00F4616F"/>
    <w:rsid w:val="00F47AA9"/>
    <w:rsid w:val="00F5140D"/>
    <w:rsid w:val="00F54BD2"/>
    <w:rsid w:val="00F577A1"/>
    <w:rsid w:val="00F57ABD"/>
    <w:rsid w:val="00F57E92"/>
    <w:rsid w:val="00F60A0F"/>
    <w:rsid w:val="00F60F0B"/>
    <w:rsid w:val="00F63FE4"/>
    <w:rsid w:val="00F64A7D"/>
    <w:rsid w:val="00F667A7"/>
    <w:rsid w:val="00F67C27"/>
    <w:rsid w:val="00F73BE1"/>
    <w:rsid w:val="00F74017"/>
    <w:rsid w:val="00F76B1D"/>
    <w:rsid w:val="00F82F98"/>
    <w:rsid w:val="00F83308"/>
    <w:rsid w:val="00F8714E"/>
    <w:rsid w:val="00F87CA7"/>
    <w:rsid w:val="00F9587B"/>
    <w:rsid w:val="00F97710"/>
    <w:rsid w:val="00FA13A0"/>
    <w:rsid w:val="00FA1EA9"/>
    <w:rsid w:val="00FA4457"/>
    <w:rsid w:val="00FA5B5D"/>
    <w:rsid w:val="00FA621D"/>
    <w:rsid w:val="00FA75EA"/>
    <w:rsid w:val="00FB03AF"/>
    <w:rsid w:val="00FB1884"/>
    <w:rsid w:val="00FB43A5"/>
    <w:rsid w:val="00FB451B"/>
    <w:rsid w:val="00FB65B9"/>
    <w:rsid w:val="00FB689F"/>
    <w:rsid w:val="00FC14DB"/>
    <w:rsid w:val="00FC3233"/>
    <w:rsid w:val="00FC4640"/>
    <w:rsid w:val="00FC6AEB"/>
    <w:rsid w:val="00FD1E04"/>
    <w:rsid w:val="00FD361B"/>
    <w:rsid w:val="00FD519C"/>
    <w:rsid w:val="00FD56C1"/>
    <w:rsid w:val="00FE01FE"/>
    <w:rsid w:val="00FE113F"/>
    <w:rsid w:val="00FE1534"/>
    <w:rsid w:val="00FE3515"/>
    <w:rsid w:val="00FE4F50"/>
    <w:rsid w:val="00FE5D4F"/>
    <w:rsid w:val="00FE667D"/>
    <w:rsid w:val="00FE73DB"/>
    <w:rsid w:val="00FF3FF5"/>
    <w:rsid w:val="00FF4CC0"/>
    <w:rsid w:val="00FF7396"/>
    <w:rsid w:val="00FF7CE0"/>
    <w:rsid w:val="087868F9"/>
    <w:rsid w:val="154C71B3"/>
    <w:rsid w:val="184F01D7"/>
    <w:rsid w:val="2A862EE7"/>
    <w:rsid w:val="3BF93294"/>
    <w:rsid w:val="45A47FF1"/>
    <w:rsid w:val="4813272A"/>
    <w:rsid w:val="4A115462"/>
    <w:rsid w:val="4A6E38BA"/>
    <w:rsid w:val="65456CAD"/>
    <w:rsid w:val="66B237C4"/>
    <w:rsid w:val="6C553C71"/>
    <w:rsid w:val="6DD545E6"/>
    <w:rsid w:val="733759DE"/>
    <w:rsid w:val="7734133E"/>
    <w:rsid w:val="78FA3F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5"/>
    <w:basedOn w:val="1"/>
    <w:next w:val="1"/>
    <w:qFormat/>
    <w:uiPriority w:val="0"/>
    <w:pPr>
      <w:keepNext/>
      <w:keepLines/>
      <w:spacing w:before="280" w:after="290" w:line="376" w:lineRule="auto"/>
      <w:outlineLvl w:val="4"/>
    </w:pPr>
    <w:rPr>
      <w:b/>
      <w:bCs/>
      <w:sz w:val="28"/>
      <w:szCs w:val="28"/>
    </w:rPr>
  </w:style>
  <w:style w:type="character" w:default="1" w:styleId="27">
    <w:name w:val="Default Paragraph Font"/>
    <w:unhideWhenUsed/>
    <w:uiPriority w:val="1"/>
  </w:style>
  <w:style w:type="table" w:default="1" w:styleId="31">
    <w:name w:val="Normal Table"/>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semiHidden/>
    <w:qFormat/>
    <w:uiPriority w:val="0"/>
    <w:rPr>
      <w:b/>
      <w:bCs/>
    </w:rPr>
  </w:style>
  <w:style w:type="paragraph" w:styleId="7">
    <w:name w:val="annotation text"/>
    <w:basedOn w:val="1"/>
    <w:semiHidden/>
    <w:qFormat/>
    <w:uiPriority w:val="0"/>
    <w:pPr>
      <w:jc w:val="left"/>
    </w:pPr>
  </w:style>
  <w:style w:type="paragraph" w:styleId="8">
    <w:name w:val="toc 7"/>
    <w:basedOn w:val="1"/>
    <w:next w:val="1"/>
    <w:semiHidden/>
    <w:qFormat/>
    <w:uiPriority w:val="0"/>
    <w:pPr>
      <w:ind w:left="2520" w:leftChars="1200"/>
    </w:pPr>
  </w:style>
  <w:style w:type="paragraph" w:styleId="9">
    <w:name w:val="Normal Indent"/>
    <w:basedOn w:val="1"/>
    <w:qFormat/>
    <w:uiPriority w:val="0"/>
    <w:pPr>
      <w:ind w:firstLine="420" w:firstLineChars="200"/>
    </w:pPr>
  </w:style>
  <w:style w:type="paragraph" w:styleId="10">
    <w:name w:val="Document Map"/>
    <w:basedOn w:val="1"/>
    <w:semiHidden/>
    <w:qFormat/>
    <w:uiPriority w:val="0"/>
    <w:pPr>
      <w:shd w:val="clear" w:color="auto" w:fill="000080"/>
    </w:pPr>
  </w:style>
  <w:style w:type="paragraph" w:styleId="11">
    <w:name w:val="Body Text"/>
    <w:basedOn w:val="1"/>
    <w:qFormat/>
    <w:uiPriority w:val="0"/>
    <w:pPr>
      <w:spacing w:after="120"/>
    </w:pPr>
  </w:style>
  <w:style w:type="paragraph" w:styleId="12">
    <w:name w:val="Body Text Indent"/>
    <w:basedOn w:val="1"/>
    <w:link w:val="52"/>
    <w:qFormat/>
    <w:uiPriority w:val="0"/>
    <w:pPr>
      <w:ind w:firstLine="538" w:firstLineChars="192"/>
    </w:pPr>
    <w:rPr>
      <w:sz w:val="28"/>
    </w:rPr>
  </w:style>
  <w:style w:type="paragraph" w:styleId="13">
    <w:name w:val="toc 5"/>
    <w:basedOn w:val="1"/>
    <w:next w:val="1"/>
    <w:semiHidden/>
    <w:qFormat/>
    <w:uiPriority w:val="0"/>
    <w:pPr>
      <w:ind w:left="1680" w:leftChars="800"/>
    </w:pPr>
  </w:style>
  <w:style w:type="paragraph" w:styleId="14">
    <w:name w:val="toc 3"/>
    <w:basedOn w:val="1"/>
    <w:next w:val="1"/>
    <w:semiHidden/>
    <w:qFormat/>
    <w:uiPriority w:val="0"/>
    <w:pPr>
      <w:tabs>
        <w:tab w:val="right" w:leader="dot" w:pos="8296"/>
      </w:tabs>
      <w:spacing w:beforeLines="50"/>
      <w:ind w:left="840" w:leftChars="400"/>
    </w:pPr>
    <w:rPr>
      <w:rFonts w:ascii="宋体" w:hAnsi="宋体" w:cs="Arial"/>
      <w:b/>
      <w:bCs/>
      <w:sz w:val="24"/>
    </w:rPr>
  </w:style>
  <w:style w:type="paragraph" w:styleId="15">
    <w:name w:val="toc 8"/>
    <w:basedOn w:val="1"/>
    <w:next w:val="1"/>
    <w:semiHidden/>
    <w:qFormat/>
    <w:uiPriority w:val="0"/>
    <w:pPr>
      <w:ind w:left="2940" w:leftChars="1400"/>
    </w:pPr>
  </w:style>
  <w:style w:type="paragraph" w:styleId="16">
    <w:name w:val="Date"/>
    <w:basedOn w:val="1"/>
    <w:next w:val="1"/>
    <w:qFormat/>
    <w:uiPriority w:val="0"/>
    <w:rPr>
      <w:rFonts w:eastAsia="仿宋_GB2312"/>
      <w:sz w:val="28"/>
      <w:szCs w:val="20"/>
    </w:rPr>
  </w:style>
  <w:style w:type="paragraph" w:styleId="17">
    <w:name w:val="Balloon Text"/>
    <w:basedOn w:val="1"/>
    <w:semiHidden/>
    <w:qFormat/>
    <w:uiPriority w:val="0"/>
    <w:rPr>
      <w:sz w:val="18"/>
      <w:szCs w:val="18"/>
    </w:rPr>
  </w:style>
  <w:style w:type="paragraph" w:styleId="18">
    <w:name w:val="footer"/>
    <w:basedOn w:val="1"/>
    <w:link w:val="45"/>
    <w:qFormat/>
    <w:uiPriority w:val="99"/>
    <w:pPr>
      <w:tabs>
        <w:tab w:val="center" w:pos="4153"/>
        <w:tab w:val="right" w:pos="8306"/>
      </w:tabs>
      <w:snapToGrid w:val="0"/>
      <w:jc w:val="left"/>
    </w:pPr>
    <w:rPr>
      <w:sz w:val="18"/>
      <w:szCs w:val="18"/>
    </w:rPr>
  </w:style>
  <w:style w:type="paragraph" w:styleId="19">
    <w:name w:val="header"/>
    <w:basedOn w:val="1"/>
    <w:link w:val="44"/>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right" w:leader="dot" w:pos="8296"/>
      </w:tabs>
    </w:pPr>
    <w:rPr>
      <w:rFonts w:ascii="黑体"/>
      <w:sz w:val="24"/>
    </w:rPr>
  </w:style>
  <w:style w:type="paragraph" w:styleId="21">
    <w:name w:val="toc 4"/>
    <w:basedOn w:val="1"/>
    <w:next w:val="1"/>
    <w:semiHidden/>
    <w:qFormat/>
    <w:uiPriority w:val="0"/>
    <w:pPr>
      <w:ind w:left="1260" w:leftChars="600"/>
    </w:pPr>
  </w:style>
  <w:style w:type="paragraph" w:styleId="22">
    <w:name w:val="toc 6"/>
    <w:basedOn w:val="1"/>
    <w:next w:val="1"/>
    <w:semiHidden/>
    <w:qFormat/>
    <w:uiPriority w:val="0"/>
    <w:pPr>
      <w:ind w:left="2100" w:leftChars="1000"/>
    </w:pPr>
  </w:style>
  <w:style w:type="paragraph" w:styleId="23">
    <w:name w:val="Body Text Indent 3"/>
    <w:basedOn w:val="1"/>
    <w:link w:val="40"/>
    <w:qFormat/>
    <w:uiPriority w:val="0"/>
    <w:pPr>
      <w:spacing w:after="120"/>
      <w:ind w:left="420" w:leftChars="200"/>
    </w:pPr>
    <w:rPr>
      <w:sz w:val="16"/>
      <w:szCs w:val="16"/>
    </w:rPr>
  </w:style>
  <w:style w:type="paragraph" w:styleId="24">
    <w:name w:val="toc 2"/>
    <w:basedOn w:val="1"/>
    <w:next w:val="1"/>
    <w:qFormat/>
    <w:uiPriority w:val="39"/>
    <w:pPr>
      <w:tabs>
        <w:tab w:val="right" w:leader="dot" w:pos="8296"/>
      </w:tabs>
      <w:spacing w:line="360" w:lineRule="auto"/>
      <w:ind w:left="420" w:leftChars="200"/>
    </w:pPr>
    <w:rPr>
      <w:rFonts w:cs="Arial"/>
      <w:sz w:val="24"/>
      <w:szCs w:val="28"/>
    </w:rPr>
  </w:style>
  <w:style w:type="paragraph" w:styleId="25">
    <w:name w:val="toc 9"/>
    <w:basedOn w:val="1"/>
    <w:next w:val="1"/>
    <w:semiHidden/>
    <w:qFormat/>
    <w:uiPriority w:val="0"/>
    <w:pPr>
      <w:ind w:left="3360" w:leftChars="1600"/>
    </w:pPr>
  </w:style>
  <w:style w:type="paragraph" w:styleId="2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28">
    <w:name w:val="page number"/>
    <w:basedOn w:val="27"/>
    <w:qFormat/>
    <w:uiPriority w:val="0"/>
  </w:style>
  <w:style w:type="character" w:styleId="29">
    <w:name w:val="Hyperlink"/>
    <w:basedOn w:val="27"/>
    <w:qFormat/>
    <w:uiPriority w:val="99"/>
    <w:rPr>
      <w:color w:val="0000FF"/>
      <w:u w:val="single"/>
    </w:rPr>
  </w:style>
  <w:style w:type="character" w:styleId="30">
    <w:name w:val="annotation reference"/>
    <w:basedOn w:val="27"/>
    <w:semiHidden/>
    <w:qFormat/>
    <w:uiPriority w:val="0"/>
    <w:rPr>
      <w:sz w:val="21"/>
      <w:szCs w:val="21"/>
    </w:rPr>
  </w:style>
  <w:style w:type="table" w:styleId="32">
    <w:name w:val="Table Grid"/>
    <w:basedOn w:val="31"/>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3">
    <w:name w:val="标题 1 Char"/>
    <w:basedOn w:val="27"/>
    <w:link w:val="2"/>
    <w:qFormat/>
    <w:uiPriority w:val="0"/>
    <w:rPr>
      <w:rFonts w:eastAsia="宋体"/>
      <w:b/>
      <w:bCs/>
      <w:kern w:val="44"/>
      <w:sz w:val="44"/>
      <w:szCs w:val="44"/>
      <w:lang w:val="en-US" w:eastAsia="zh-CN" w:bidi="ar-SA"/>
    </w:rPr>
  </w:style>
  <w:style w:type="paragraph" w:customStyle="1" w:styleId="34">
    <w:name w:val="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35">
    <w:name w:val="xl29"/>
    <w:basedOn w:val="1"/>
    <w:qFormat/>
    <w:uiPriority w:val="0"/>
    <w:pPr>
      <w:widowControl/>
      <w:spacing w:before="100" w:beforeAutospacing="1" w:after="100" w:afterAutospacing="1"/>
      <w:jc w:val="center"/>
      <w:textAlignment w:val="center"/>
    </w:pPr>
    <w:rPr>
      <w:rFonts w:ascii="Arial Unicode MS" w:hAnsi="Arial Unicode MS"/>
      <w:kern w:val="0"/>
      <w:sz w:val="24"/>
    </w:rPr>
  </w:style>
  <w:style w:type="paragraph" w:customStyle="1" w:styleId="36">
    <w:name w:val="Char"/>
    <w:basedOn w:val="1"/>
    <w:qFormat/>
    <w:uiPriority w:val="0"/>
    <w:rPr>
      <w:sz w:val="32"/>
      <w:szCs w:val="32"/>
    </w:rPr>
  </w:style>
  <w:style w:type="paragraph" w:customStyle="1" w:styleId="37">
    <w:name w:val="标题3"/>
    <w:basedOn w:val="4"/>
    <w:qFormat/>
    <w:uiPriority w:val="0"/>
    <w:pPr>
      <w:adjustRightInd w:val="0"/>
      <w:snapToGrid w:val="0"/>
      <w:spacing w:beforeLines="50" w:afterLines="50" w:line="540" w:lineRule="exact"/>
      <w:ind w:firstLine="482" w:firstLineChars="200"/>
    </w:pPr>
    <w:rPr>
      <w:rFonts w:eastAsia="黑体"/>
      <w:color w:val="000000"/>
      <w:sz w:val="24"/>
    </w:rPr>
  </w:style>
  <w:style w:type="paragraph" w:customStyle="1" w:styleId="38">
    <w:name w:val="样式 标题 5 + 首行缩进:  2 字符 段前: 0.5 行 段后: 0.5 行"/>
    <w:basedOn w:val="5"/>
    <w:qFormat/>
    <w:uiPriority w:val="0"/>
    <w:pPr>
      <w:spacing w:beforeLines="50" w:afterLines="50" w:line="374" w:lineRule="auto"/>
      <w:ind w:firstLine="482" w:firstLineChars="200"/>
    </w:pPr>
    <w:rPr>
      <w:rFonts w:ascii="Arial" w:hAnsi="Arial" w:cs="宋体"/>
      <w:sz w:val="24"/>
      <w:szCs w:val="20"/>
    </w:rPr>
  </w:style>
  <w:style w:type="paragraph" w:customStyle="1" w:styleId="39">
    <w:name w:val="列出段落1"/>
    <w:basedOn w:val="1"/>
    <w:qFormat/>
    <w:uiPriority w:val="0"/>
    <w:pPr>
      <w:ind w:firstLine="420" w:firstLineChars="200"/>
    </w:pPr>
    <w:rPr>
      <w:rFonts w:eastAsia="仿宋_GB2312"/>
      <w:sz w:val="32"/>
    </w:rPr>
  </w:style>
  <w:style w:type="character" w:customStyle="1" w:styleId="40">
    <w:name w:val="正文文本缩进 3 Char"/>
    <w:basedOn w:val="27"/>
    <w:link w:val="23"/>
    <w:qFormat/>
    <w:uiPriority w:val="0"/>
    <w:rPr>
      <w:kern w:val="2"/>
      <w:sz w:val="16"/>
      <w:szCs w:val="16"/>
    </w:rPr>
  </w:style>
  <w:style w:type="paragraph" w:customStyle="1" w:styleId="41">
    <w:name w:val="Char2 Char Char Char Char Char Char Char Char Char Char Char Char"/>
    <w:basedOn w:val="1"/>
    <w:qFormat/>
    <w:uiPriority w:val="0"/>
    <w:pPr>
      <w:autoSpaceDE w:val="0"/>
      <w:autoSpaceDN w:val="0"/>
      <w:adjustRightInd w:val="0"/>
      <w:snapToGrid w:val="0"/>
      <w:spacing w:before="50" w:after="50" w:line="360" w:lineRule="auto"/>
      <w:ind w:firstLine="560" w:firstLineChars="200"/>
    </w:pPr>
    <w:rPr>
      <w:rFonts w:eastAsia="仿宋_GB2312"/>
      <w:color w:val="000000"/>
      <w:sz w:val="24"/>
    </w:rPr>
  </w:style>
  <w:style w:type="paragraph" w:customStyle="1" w:styleId="42">
    <w:name w:val="HTML 预先格式化"/>
    <w:basedOn w:val="1"/>
    <w:next w:val="1"/>
    <w:qFormat/>
    <w:uiPriority w:val="99"/>
    <w:pPr>
      <w:autoSpaceDE w:val="0"/>
      <w:autoSpaceDN w:val="0"/>
      <w:adjustRightInd w:val="0"/>
      <w:jc w:val="left"/>
    </w:pPr>
    <w:rPr>
      <w:rFonts w:ascii="..ì." w:eastAsia="..ì."/>
      <w:kern w:val="0"/>
      <w:sz w:val="24"/>
    </w:rPr>
  </w:style>
  <w:style w:type="character" w:customStyle="1" w:styleId="43">
    <w:name w:val="标题 2 Char"/>
    <w:basedOn w:val="27"/>
    <w:link w:val="3"/>
    <w:qFormat/>
    <w:uiPriority w:val="0"/>
    <w:rPr>
      <w:rFonts w:ascii="Arial" w:hAnsi="Arial" w:eastAsia="黑体"/>
      <w:b/>
      <w:bCs/>
      <w:kern w:val="2"/>
      <w:sz w:val="32"/>
      <w:szCs w:val="32"/>
    </w:rPr>
  </w:style>
  <w:style w:type="character" w:customStyle="1" w:styleId="44">
    <w:name w:val="页眉 Char"/>
    <w:basedOn w:val="27"/>
    <w:link w:val="19"/>
    <w:qFormat/>
    <w:uiPriority w:val="0"/>
    <w:rPr>
      <w:kern w:val="2"/>
      <w:sz w:val="18"/>
      <w:szCs w:val="18"/>
    </w:rPr>
  </w:style>
  <w:style w:type="character" w:customStyle="1" w:styleId="45">
    <w:name w:val="页脚 Char"/>
    <w:basedOn w:val="27"/>
    <w:link w:val="18"/>
    <w:qFormat/>
    <w:uiPriority w:val="99"/>
    <w:rPr>
      <w:kern w:val="2"/>
      <w:sz w:val="18"/>
      <w:szCs w:val="18"/>
    </w:rPr>
  </w:style>
  <w:style w:type="paragraph" w:customStyle="1" w:styleId="46">
    <w:name w:val="Char Char Char1 Char Char Char Char"/>
    <w:basedOn w:val="1"/>
    <w:qFormat/>
    <w:uiPriority w:val="0"/>
    <w:pPr>
      <w:tabs>
        <w:tab w:val="left" w:pos="360"/>
      </w:tabs>
      <w:spacing w:line="360" w:lineRule="auto"/>
    </w:pPr>
    <w:rPr>
      <w:rFonts w:ascii="Tahoma" w:hAnsi="Tahoma" w:eastAsia="黑体"/>
      <w:sz w:val="24"/>
      <w:szCs w:val="21"/>
    </w:rPr>
  </w:style>
  <w:style w:type="character" w:customStyle="1" w:styleId="47">
    <w:name w:val="标题 2 Char1"/>
    <w:basedOn w:val="27"/>
    <w:qFormat/>
    <w:uiPriority w:val="0"/>
    <w:rPr>
      <w:rFonts w:ascii="Arial" w:hAnsi="Arial" w:eastAsia="黑体"/>
      <w:b/>
      <w:bCs/>
      <w:kern w:val="2"/>
      <w:sz w:val="32"/>
      <w:szCs w:val="32"/>
      <w:lang w:val="en-US" w:eastAsia="zh-CN" w:bidi="ar-SA"/>
    </w:rPr>
  </w:style>
  <w:style w:type="paragraph" w:customStyle="1" w:styleId="48">
    <w:name w:val="Text"/>
    <w:basedOn w:val="1"/>
    <w:link w:val="49"/>
    <w:qFormat/>
    <w:uiPriority w:val="0"/>
    <w:pPr>
      <w:spacing w:line="360" w:lineRule="auto"/>
      <w:ind w:firstLine="200" w:firstLineChars="200"/>
    </w:pPr>
    <w:rPr>
      <w:rFonts w:eastAsia="仿宋_GB2312"/>
      <w:sz w:val="28"/>
      <w:szCs w:val="28"/>
    </w:rPr>
  </w:style>
  <w:style w:type="character" w:customStyle="1" w:styleId="49">
    <w:name w:val="Text Char"/>
    <w:basedOn w:val="27"/>
    <w:link w:val="48"/>
    <w:qFormat/>
    <w:uiPriority w:val="0"/>
    <w:rPr>
      <w:rFonts w:eastAsia="仿宋_GB2312"/>
      <w:kern w:val="2"/>
      <w:sz w:val="28"/>
      <w:szCs w:val="28"/>
    </w:rPr>
  </w:style>
  <w:style w:type="paragraph" w:customStyle="1" w:styleId="50">
    <w:name w:val="样式4"/>
    <w:basedOn w:val="1"/>
    <w:link w:val="51"/>
    <w:qFormat/>
    <w:uiPriority w:val="0"/>
    <w:pPr>
      <w:ind w:firstLine="560" w:firstLineChars="200"/>
    </w:pPr>
    <w:rPr>
      <w:rFonts w:eastAsia="仿宋_GB2312"/>
      <w:sz w:val="28"/>
      <w:szCs w:val="28"/>
    </w:rPr>
  </w:style>
  <w:style w:type="character" w:customStyle="1" w:styleId="51">
    <w:name w:val="样式4 Char"/>
    <w:basedOn w:val="27"/>
    <w:link w:val="50"/>
    <w:qFormat/>
    <w:uiPriority w:val="0"/>
    <w:rPr>
      <w:rFonts w:eastAsia="仿宋_GB2312"/>
      <w:kern w:val="2"/>
      <w:sz w:val="28"/>
      <w:szCs w:val="28"/>
    </w:rPr>
  </w:style>
  <w:style w:type="character" w:customStyle="1" w:styleId="52">
    <w:name w:val="正文文本缩进 Char"/>
    <w:basedOn w:val="27"/>
    <w:link w:val="12"/>
    <w:qFormat/>
    <w:uiPriority w:val="0"/>
    <w:rPr>
      <w:kern w:val="2"/>
      <w:sz w:val="28"/>
      <w:szCs w:val="24"/>
    </w:rPr>
  </w:style>
  <w:style w:type="character" w:customStyle="1" w:styleId="53">
    <w:name w:val="样式 宋体 小四"/>
    <w:basedOn w:val="27"/>
    <w:qFormat/>
    <w:uiPriority w:val="0"/>
    <w:rPr>
      <w:rFonts w:ascii="宋体" w:hAnsi="宋体" w:eastAsia="宋体"/>
      <w:sz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1.xml"/><Relationship Id="rId31" Type="http://schemas.openxmlformats.org/officeDocument/2006/relationships/image" Target="media/image16.jpeg"/><Relationship Id="rId30" Type="http://schemas.openxmlformats.org/officeDocument/2006/relationships/image" Target="media/image15.jpeg"/><Relationship Id="rId3" Type="http://schemas.openxmlformats.org/officeDocument/2006/relationships/header" Target="header1.xml"/><Relationship Id="rId29" Type="http://schemas.openxmlformats.org/officeDocument/2006/relationships/image" Target="media/image14.jpeg"/><Relationship Id="rId28" Type="http://schemas.openxmlformats.org/officeDocument/2006/relationships/image" Target="media/image13.jpeg"/><Relationship Id="rId27" Type="http://schemas.openxmlformats.org/officeDocument/2006/relationships/diagramColors" Target="diagrams/colors1.xml"/><Relationship Id="rId26" Type="http://schemas.openxmlformats.org/officeDocument/2006/relationships/diagramQuickStyle" Target="diagrams/quickStyle1.xml"/><Relationship Id="rId25" Type="http://schemas.openxmlformats.org/officeDocument/2006/relationships/diagramLayout" Target="diagrams/layout1.xml"/><Relationship Id="rId24" Type="http://schemas.openxmlformats.org/officeDocument/2006/relationships/diagramData" Target="diagrams/data1.xml"/><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3EE97DF-7319-40E5-B97E-2A245C0AD2EB}" type="doc">
      <dgm:prSet loTypeId="urn:microsoft.com/office/officeart/2005/8/layout/orgChart1#1" loCatId="hierarchy" qsTypeId="urn:microsoft.com/office/officeart/2005/8/quickstyle/simple1#1" qsCatId="simple" csTypeId="urn:microsoft.com/office/officeart/2005/8/colors/accent1_2#1" csCatId="accent1"/>
      <dgm:spPr/>
    </dgm:pt>
    <dgm:pt modelId="{012A68F6-F5FA-4747-AD85-011292A858C6}">
      <dgm:prSet/>
      <dgm:spPr/>
      <dgm:t>
        <a:bodyPr/>
        <a:p>
          <a:pPr marR="0" algn="ctr" rtl="0"/>
          <a:r>
            <a:rPr lang="zh-CN" altLang="en-US" kern="100" baseline="0" smtClean="0">
              <a:latin typeface="Calibri" panose="020F0502020204030204"/>
              <a:ea typeface="宋体" panose="02010600030101010101" charset="-122"/>
            </a:rPr>
            <a:t>管理部门</a:t>
          </a:r>
          <a:endParaRPr lang="zh-CN" altLang="en-US" smtClean="0"/>
        </a:p>
      </dgm:t>
    </dgm:pt>
    <dgm:pt modelId="{53E169FE-410B-4536-9001-F7B211AFEEE8}" cxnId="{D7785437-FE25-4976-8523-B48870C1E5F7}" type="parTrans">
      <dgm:prSet/>
      <dgm:spPr/>
      <dgm:t>
        <a:bodyPr/>
        <a:p>
          <a:endParaRPr lang="zh-CN" altLang="en-US"/>
        </a:p>
      </dgm:t>
    </dgm:pt>
    <dgm:pt modelId="{3E1BA870-0C52-44D6-AA55-7A2379DC79A0}" cxnId="{D7785437-FE25-4976-8523-B48870C1E5F7}" type="sibTrans">
      <dgm:prSet/>
      <dgm:spPr/>
      <dgm:t>
        <a:bodyPr/>
        <a:p>
          <a:endParaRPr lang="zh-CN" altLang="en-US"/>
        </a:p>
      </dgm:t>
    </dgm:pt>
    <dgm:pt modelId="{3B138DCB-38A9-4338-A801-C9FCE2050360}">
      <dgm:prSet/>
      <dgm:spPr/>
      <dgm:t>
        <a:bodyPr/>
        <a:p>
          <a:pPr marR="0" algn="ctr" rtl="0"/>
          <a:r>
            <a:rPr lang="zh-CN" altLang="en-US" kern="100" baseline="0" smtClean="0">
              <a:latin typeface="Calibri" panose="020F0502020204030204"/>
              <a:ea typeface="宋体" panose="02010600030101010101" charset="-122"/>
            </a:rPr>
            <a:t>设计单位</a:t>
          </a:r>
          <a:endParaRPr lang="zh-CN" altLang="en-US" smtClean="0"/>
        </a:p>
      </dgm:t>
    </dgm:pt>
    <dgm:pt modelId="{5DF65F08-4356-49F8-AB55-00231FE83FBD}" cxnId="{4A0D2EB5-F188-41C3-9C80-C7486C160CBC}" type="parTrans">
      <dgm:prSet/>
      <dgm:spPr/>
      <dgm:t>
        <a:bodyPr/>
        <a:p>
          <a:endParaRPr lang="zh-CN" altLang="en-US"/>
        </a:p>
      </dgm:t>
    </dgm:pt>
    <dgm:pt modelId="{CBAE8CEF-A4F0-4384-9E18-7E8FEB288A07}" cxnId="{4A0D2EB5-F188-41C3-9C80-C7486C160CBC}" type="sibTrans">
      <dgm:prSet/>
      <dgm:spPr/>
      <dgm:t>
        <a:bodyPr/>
        <a:p>
          <a:endParaRPr lang="zh-CN" altLang="en-US"/>
        </a:p>
      </dgm:t>
    </dgm:pt>
    <dgm:pt modelId="{C9884AFF-C58E-4159-9E40-BE1BFEB6AB45}">
      <dgm:prSet/>
      <dgm:spPr/>
      <dgm:t>
        <a:bodyPr/>
        <a:p>
          <a:pPr marR="0" algn="ctr" rtl="0"/>
          <a:r>
            <a:rPr lang="zh-CN" altLang="en-US" kern="100" baseline="0" smtClean="0">
              <a:latin typeface="Calibri" panose="020F0502020204030204"/>
              <a:ea typeface="宋体" panose="02010600030101010101" charset="-122"/>
            </a:rPr>
            <a:t>监理单位</a:t>
          </a:r>
          <a:endParaRPr lang="zh-CN" altLang="en-US" smtClean="0"/>
        </a:p>
      </dgm:t>
    </dgm:pt>
    <dgm:pt modelId="{B686B1CB-7E48-49CF-B38F-62352BBCB147}" cxnId="{65FCFC3E-8FDB-48AD-84E3-093D2886B44E}" type="parTrans">
      <dgm:prSet/>
      <dgm:spPr/>
      <dgm:t>
        <a:bodyPr/>
        <a:p>
          <a:endParaRPr lang="zh-CN" altLang="en-US"/>
        </a:p>
      </dgm:t>
    </dgm:pt>
    <dgm:pt modelId="{495EAC1E-D2D3-4000-B6BA-04E6CD7FEC30}" cxnId="{65FCFC3E-8FDB-48AD-84E3-093D2886B44E}" type="sibTrans">
      <dgm:prSet/>
      <dgm:spPr/>
      <dgm:t>
        <a:bodyPr/>
        <a:p>
          <a:endParaRPr lang="zh-CN" altLang="en-US"/>
        </a:p>
      </dgm:t>
    </dgm:pt>
    <dgm:pt modelId="{6C253EF0-7112-4D83-9426-FCB4402D0AE6}">
      <dgm:prSet/>
      <dgm:spPr/>
      <dgm:t>
        <a:bodyPr/>
        <a:p>
          <a:pPr marR="0" algn="ctr" rtl="0"/>
          <a:r>
            <a:rPr lang="zh-CN" altLang="en-US" kern="100" baseline="0" smtClean="0">
              <a:latin typeface="Calibri" panose="020F0502020204030204"/>
              <a:ea typeface="宋体" panose="02010600030101010101" charset="-122"/>
            </a:rPr>
            <a:t>施工单位</a:t>
          </a:r>
          <a:endParaRPr lang="zh-CN" altLang="en-US" smtClean="0"/>
        </a:p>
      </dgm:t>
    </dgm:pt>
    <dgm:pt modelId="{0EF84A1D-58F3-4AB1-9CA3-3ED84690C919}" cxnId="{59C0A24B-B587-41C9-8C60-7A84AF0394BD}" type="parTrans">
      <dgm:prSet/>
      <dgm:spPr/>
      <dgm:t>
        <a:bodyPr/>
        <a:p>
          <a:endParaRPr lang="zh-CN" altLang="en-US"/>
        </a:p>
      </dgm:t>
    </dgm:pt>
    <dgm:pt modelId="{4F559427-535A-480D-AF2E-7354E9632AB3}" cxnId="{59C0A24B-B587-41C9-8C60-7A84AF0394BD}" type="sibTrans">
      <dgm:prSet/>
      <dgm:spPr/>
      <dgm:t>
        <a:bodyPr/>
        <a:p>
          <a:endParaRPr lang="zh-CN" altLang="en-US"/>
        </a:p>
      </dgm:t>
    </dgm:pt>
    <dgm:pt modelId="{1D573A03-E7B1-492A-8238-AC86FA32795F}">
      <dgm:prSet/>
      <dgm:spPr/>
      <dgm:t>
        <a:bodyPr/>
        <a:p>
          <a:pPr marR="0" algn="ctr" rtl="0"/>
          <a:r>
            <a:rPr lang="zh-CN" altLang="en-US" kern="100" baseline="0" smtClean="0">
              <a:latin typeface="Calibri" panose="020F0502020204030204"/>
              <a:ea typeface="宋体" panose="02010600030101010101" charset="-122"/>
            </a:rPr>
            <a:t>招标代理单位</a:t>
          </a:r>
          <a:endParaRPr lang="zh-CN" altLang="en-US" smtClean="0"/>
        </a:p>
      </dgm:t>
    </dgm:pt>
    <dgm:pt modelId="{466AB51C-4A1B-4663-BE7D-8D71EEA682DE}" cxnId="{F9E7B120-2050-4DB5-9EFF-E8E5F44A6403}" type="parTrans">
      <dgm:prSet/>
      <dgm:spPr/>
      <dgm:t>
        <a:bodyPr/>
        <a:p>
          <a:endParaRPr lang="zh-CN" altLang="en-US"/>
        </a:p>
      </dgm:t>
    </dgm:pt>
    <dgm:pt modelId="{47252271-C945-48D8-9556-FE8A62067C52}" cxnId="{F9E7B120-2050-4DB5-9EFF-E8E5F44A6403}" type="sibTrans">
      <dgm:prSet/>
      <dgm:spPr/>
      <dgm:t>
        <a:bodyPr/>
        <a:p>
          <a:endParaRPr lang="zh-CN" altLang="en-US"/>
        </a:p>
      </dgm:t>
    </dgm:pt>
    <dgm:pt modelId="{62613978-70E8-4C5F-B25F-338E1E224088}" type="pres">
      <dgm:prSet presAssocID="{63EE97DF-7319-40E5-B97E-2A245C0AD2EB}" presName="hierChild1" presStyleCnt="0">
        <dgm:presLayoutVars>
          <dgm:orgChart val="1"/>
          <dgm:chPref val="1"/>
          <dgm:dir/>
          <dgm:animOne val="branch"/>
          <dgm:animLvl val="lvl"/>
          <dgm:resizeHandles/>
        </dgm:presLayoutVars>
      </dgm:prSet>
      <dgm:spPr/>
    </dgm:pt>
    <dgm:pt modelId="{A905D8E7-1A94-4EB0-B09F-ABC8627115EA}" type="pres">
      <dgm:prSet presAssocID="{012A68F6-F5FA-4747-AD85-011292A858C6}" presName="hierRoot1" presStyleCnt="0">
        <dgm:presLayoutVars>
          <dgm:hierBranch/>
        </dgm:presLayoutVars>
      </dgm:prSet>
      <dgm:spPr/>
    </dgm:pt>
    <dgm:pt modelId="{74ED2784-C3EE-4BD1-8297-2241423BB0A9}" type="pres">
      <dgm:prSet presAssocID="{012A68F6-F5FA-4747-AD85-011292A858C6}" presName="rootComposite1" presStyleCnt="0"/>
      <dgm:spPr/>
    </dgm:pt>
    <dgm:pt modelId="{6DAD249D-A678-4347-A817-560AB81D4753}" type="pres">
      <dgm:prSet presAssocID="{012A68F6-F5FA-4747-AD85-011292A858C6}" presName="rootText1" presStyleLbl="node0" presStyleIdx="0" presStyleCnt="1">
        <dgm:presLayoutVars>
          <dgm:chPref val="3"/>
        </dgm:presLayoutVars>
      </dgm:prSet>
      <dgm:spPr/>
      <dgm:t>
        <a:bodyPr/>
        <a:p>
          <a:endParaRPr lang="zh-CN" altLang="en-US"/>
        </a:p>
      </dgm:t>
    </dgm:pt>
    <dgm:pt modelId="{30DF416C-1ED1-4F21-A7EC-069961B5684F}" type="pres">
      <dgm:prSet presAssocID="{012A68F6-F5FA-4747-AD85-011292A858C6}" presName="rootConnector1" presStyleLbl="node1" presStyleIdx="0" presStyleCnt="0"/>
      <dgm:spPr/>
      <dgm:t>
        <a:bodyPr/>
        <a:p>
          <a:endParaRPr lang="zh-CN" altLang="en-US"/>
        </a:p>
      </dgm:t>
    </dgm:pt>
    <dgm:pt modelId="{84A9DA24-3B13-44FF-8619-D4F7A8C3CC00}" type="pres">
      <dgm:prSet presAssocID="{012A68F6-F5FA-4747-AD85-011292A858C6}" presName="hierChild2" presStyleCnt="0"/>
      <dgm:spPr/>
    </dgm:pt>
    <dgm:pt modelId="{65A9D4FB-99D2-487C-BB37-2AA09D3742E6}" type="pres">
      <dgm:prSet presAssocID="{5DF65F08-4356-49F8-AB55-00231FE83FBD}" presName="Name35" presStyleLbl="parChTrans1D2" presStyleIdx="0" presStyleCnt="4"/>
      <dgm:spPr/>
      <dgm:t>
        <a:bodyPr/>
        <a:p>
          <a:endParaRPr lang="zh-CN" altLang="en-US"/>
        </a:p>
      </dgm:t>
    </dgm:pt>
    <dgm:pt modelId="{02E5ED32-77B7-42AE-9B7C-126F35B8B195}" type="pres">
      <dgm:prSet presAssocID="{3B138DCB-38A9-4338-A801-C9FCE2050360}" presName="hierRoot2" presStyleCnt="0">
        <dgm:presLayoutVars>
          <dgm:hierBranch/>
        </dgm:presLayoutVars>
      </dgm:prSet>
      <dgm:spPr/>
    </dgm:pt>
    <dgm:pt modelId="{CF61290E-0B5F-4BBC-8268-1DCC0C143BD5}" type="pres">
      <dgm:prSet presAssocID="{3B138DCB-38A9-4338-A801-C9FCE2050360}" presName="rootComposite" presStyleCnt="0"/>
      <dgm:spPr/>
    </dgm:pt>
    <dgm:pt modelId="{A5EC270C-D66E-4CF6-A8E7-10510768A649}" type="pres">
      <dgm:prSet presAssocID="{3B138DCB-38A9-4338-A801-C9FCE2050360}" presName="rootText" presStyleLbl="node2" presStyleIdx="0" presStyleCnt="4">
        <dgm:presLayoutVars>
          <dgm:chPref val="3"/>
        </dgm:presLayoutVars>
      </dgm:prSet>
      <dgm:spPr/>
      <dgm:t>
        <a:bodyPr/>
        <a:p>
          <a:endParaRPr lang="zh-CN" altLang="en-US"/>
        </a:p>
      </dgm:t>
    </dgm:pt>
    <dgm:pt modelId="{A9ACFC1B-CD79-4D2E-B73B-6C578A9F3902}" type="pres">
      <dgm:prSet presAssocID="{3B138DCB-38A9-4338-A801-C9FCE2050360}" presName="rootConnector" presStyleLbl="node2" presStyleIdx="0" presStyleCnt="4"/>
      <dgm:spPr/>
      <dgm:t>
        <a:bodyPr/>
        <a:p>
          <a:endParaRPr lang="zh-CN" altLang="en-US"/>
        </a:p>
      </dgm:t>
    </dgm:pt>
    <dgm:pt modelId="{E69DF78C-CF78-489D-99A3-928D1C3E9F1E}" type="pres">
      <dgm:prSet presAssocID="{3B138DCB-38A9-4338-A801-C9FCE2050360}" presName="hierChild4" presStyleCnt="0"/>
      <dgm:spPr/>
    </dgm:pt>
    <dgm:pt modelId="{C70DE88B-597D-4506-8980-A82EAEFF886A}" type="pres">
      <dgm:prSet presAssocID="{3B138DCB-38A9-4338-A801-C9FCE2050360}" presName="hierChild5" presStyleCnt="0"/>
      <dgm:spPr/>
    </dgm:pt>
    <dgm:pt modelId="{8C662CEB-EEE5-46C5-815B-890193C934F6}" type="pres">
      <dgm:prSet presAssocID="{B686B1CB-7E48-49CF-B38F-62352BBCB147}" presName="Name35" presStyleLbl="parChTrans1D2" presStyleIdx="1" presStyleCnt="4"/>
      <dgm:spPr/>
      <dgm:t>
        <a:bodyPr/>
        <a:p>
          <a:endParaRPr lang="zh-CN" altLang="en-US"/>
        </a:p>
      </dgm:t>
    </dgm:pt>
    <dgm:pt modelId="{EA94FCC4-B239-4271-86C0-D3A999306DDB}" type="pres">
      <dgm:prSet presAssocID="{C9884AFF-C58E-4159-9E40-BE1BFEB6AB45}" presName="hierRoot2" presStyleCnt="0">
        <dgm:presLayoutVars>
          <dgm:hierBranch/>
        </dgm:presLayoutVars>
      </dgm:prSet>
      <dgm:spPr/>
    </dgm:pt>
    <dgm:pt modelId="{F05341F9-D1B1-4050-8C62-85446E2BE494}" type="pres">
      <dgm:prSet presAssocID="{C9884AFF-C58E-4159-9E40-BE1BFEB6AB45}" presName="rootComposite" presStyleCnt="0"/>
      <dgm:spPr/>
    </dgm:pt>
    <dgm:pt modelId="{DC4BD176-85BA-46B1-9842-7CA4D2350406}" type="pres">
      <dgm:prSet presAssocID="{C9884AFF-C58E-4159-9E40-BE1BFEB6AB45}" presName="rootText" presStyleLbl="node2" presStyleIdx="1" presStyleCnt="4">
        <dgm:presLayoutVars>
          <dgm:chPref val="3"/>
        </dgm:presLayoutVars>
      </dgm:prSet>
      <dgm:spPr/>
      <dgm:t>
        <a:bodyPr/>
        <a:p>
          <a:endParaRPr lang="zh-CN" altLang="en-US"/>
        </a:p>
      </dgm:t>
    </dgm:pt>
    <dgm:pt modelId="{223F473F-2F4A-47B0-8D10-A09C21C075C6}" type="pres">
      <dgm:prSet presAssocID="{C9884AFF-C58E-4159-9E40-BE1BFEB6AB45}" presName="rootConnector" presStyleLbl="node2" presStyleIdx="1" presStyleCnt="4"/>
      <dgm:spPr/>
      <dgm:t>
        <a:bodyPr/>
        <a:p>
          <a:endParaRPr lang="zh-CN" altLang="en-US"/>
        </a:p>
      </dgm:t>
    </dgm:pt>
    <dgm:pt modelId="{00C0757C-A2F2-4EBB-A7E3-4658E6FBAF2A}" type="pres">
      <dgm:prSet presAssocID="{C9884AFF-C58E-4159-9E40-BE1BFEB6AB45}" presName="hierChild4" presStyleCnt="0"/>
      <dgm:spPr/>
    </dgm:pt>
    <dgm:pt modelId="{F42A9255-8461-465D-A9B2-8C18A5D4FB6A}" type="pres">
      <dgm:prSet presAssocID="{C9884AFF-C58E-4159-9E40-BE1BFEB6AB45}" presName="hierChild5" presStyleCnt="0"/>
      <dgm:spPr/>
    </dgm:pt>
    <dgm:pt modelId="{4CDD67EC-C38D-4F74-AF4B-357C027EFF2A}" type="pres">
      <dgm:prSet presAssocID="{0EF84A1D-58F3-4AB1-9CA3-3ED84690C919}" presName="Name35" presStyleLbl="parChTrans1D2" presStyleIdx="2" presStyleCnt="4"/>
      <dgm:spPr/>
      <dgm:t>
        <a:bodyPr/>
        <a:p>
          <a:endParaRPr lang="zh-CN" altLang="en-US"/>
        </a:p>
      </dgm:t>
    </dgm:pt>
    <dgm:pt modelId="{57A38CDE-638A-4411-B496-D3B00C0CD2AB}" type="pres">
      <dgm:prSet presAssocID="{6C253EF0-7112-4D83-9426-FCB4402D0AE6}" presName="hierRoot2" presStyleCnt="0">
        <dgm:presLayoutVars>
          <dgm:hierBranch/>
        </dgm:presLayoutVars>
      </dgm:prSet>
      <dgm:spPr/>
    </dgm:pt>
    <dgm:pt modelId="{76124C0C-6A99-4002-A4B6-CD02BD75C0BF}" type="pres">
      <dgm:prSet presAssocID="{6C253EF0-7112-4D83-9426-FCB4402D0AE6}" presName="rootComposite" presStyleCnt="0"/>
      <dgm:spPr/>
    </dgm:pt>
    <dgm:pt modelId="{AA05E79C-2242-4788-BB03-221EDB48B331}" type="pres">
      <dgm:prSet presAssocID="{6C253EF0-7112-4D83-9426-FCB4402D0AE6}" presName="rootText" presStyleLbl="node2" presStyleIdx="2" presStyleCnt="4">
        <dgm:presLayoutVars>
          <dgm:chPref val="3"/>
        </dgm:presLayoutVars>
      </dgm:prSet>
      <dgm:spPr/>
      <dgm:t>
        <a:bodyPr/>
        <a:p>
          <a:endParaRPr lang="zh-CN" altLang="en-US"/>
        </a:p>
      </dgm:t>
    </dgm:pt>
    <dgm:pt modelId="{2F4D8EB5-A730-47BA-BA42-F185A6439F13}" type="pres">
      <dgm:prSet presAssocID="{6C253EF0-7112-4D83-9426-FCB4402D0AE6}" presName="rootConnector" presStyleLbl="node2" presStyleIdx="2" presStyleCnt="4"/>
      <dgm:spPr/>
      <dgm:t>
        <a:bodyPr/>
        <a:p>
          <a:endParaRPr lang="zh-CN" altLang="en-US"/>
        </a:p>
      </dgm:t>
    </dgm:pt>
    <dgm:pt modelId="{47E8DD50-21B0-4225-B744-99888DB1E554}" type="pres">
      <dgm:prSet presAssocID="{6C253EF0-7112-4D83-9426-FCB4402D0AE6}" presName="hierChild4" presStyleCnt="0"/>
      <dgm:spPr/>
    </dgm:pt>
    <dgm:pt modelId="{6F9E1975-FDF7-4AAF-9A5C-26E5B639A594}" type="pres">
      <dgm:prSet presAssocID="{6C253EF0-7112-4D83-9426-FCB4402D0AE6}" presName="hierChild5" presStyleCnt="0"/>
      <dgm:spPr/>
    </dgm:pt>
    <dgm:pt modelId="{5DFD9AE0-1B24-44A9-943F-DE13E7444774}" type="pres">
      <dgm:prSet presAssocID="{466AB51C-4A1B-4663-BE7D-8D71EEA682DE}" presName="Name35" presStyleLbl="parChTrans1D2" presStyleIdx="3" presStyleCnt="4"/>
      <dgm:spPr/>
      <dgm:t>
        <a:bodyPr/>
        <a:p>
          <a:endParaRPr lang="zh-CN" altLang="en-US"/>
        </a:p>
      </dgm:t>
    </dgm:pt>
    <dgm:pt modelId="{6FD6DC7F-6201-4968-A676-2E8929F1261E}" type="pres">
      <dgm:prSet presAssocID="{1D573A03-E7B1-492A-8238-AC86FA32795F}" presName="hierRoot2" presStyleCnt="0">
        <dgm:presLayoutVars>
          <dgm:hierBranch/>
        </dgm:presLayoutVars>
      </dgm:prSet>
      <dgm:spPr/>
    </dgm:pt>
    <dgm:pt modelId="{C0B9857A-7611-4374-A4AC-2AEE45921DA1}" type="pres">
      <dgm:prSet presAssocID="{1D573A03-E7B1-492A-8238-AC86FA32795F}" presName="rootComposite" presStyleCnt="0"/>
      <dgm:spPr/>
    </dgm:pt>
    <dgm:pt modelId="{71F4ACF6-E720-4297-B9E8-CB027E415BEA}" type="pres">
      <dgm:prSet presAssocID="{1D573A03-E7B1-492A-8238-AC86FA32795F}" presName="rootText" presStyleLbl="node2" presStyleIdx="3" presStyleCnt="4">
        <dgm:presLayoutVars>
          <dgm:chPref val="3"/>
        </dgm:presLayoutVars>
      </dgm:prSet>
      <dgm:spPr/>
      <dgm:t>
        <a:bodyPr/>
        <a:p>
          <a:endParaRPr lang="zh-CN" altLang="en-US"/>
        </a:p>
      </dgm:t>
    </dgm:pt>
    <dgm:pt modelId="{C7312A97-09E9-420A-BF1B-811E0353EF13}" type="pres">
      <dgm:prSet presAssocID="{1D573A03-E7B1-492A-8238-AC86FA32795F}" presName="rootConnector" presStyleLbl="node2" presStyleIdx="3" presStyleCnt="4"/>
      <dgm:spPr/>
      <dgm:t>
        <a:bodyPr/>
        <a:p>
          <a:endParaRPr lang="zh-CN" altLang="en-US"/>
        </a:p>
      </dgm:t>
    </dgm:pt>
    <dgm:pt modelId="{663695B6-A0AE-4444-9FF3-6814F028D8C2}" type="pres">
      <dgm:prSet presAssocID="{1D573A03-E7B1-492A-8238-AC86FA32795F}" presName="hierChild4" presStyleCnt="0"/>
      <dgm:spPr/>
    </dgm:pt>
    <dgm:pt modelId="{B70C3904-6DB4-4BE2-B89A-65B275F059B6}" type="pres">
      <dgm:prSet presAssocID="{1D573A03-E7B1-492A-8238-AC86FA32795F}" presName="hierChild5" presStyleCnt="0"/>
      <dgm:spPr/>
    </dgm:pt>
    <dgm:pt modelId="{253E9281-06D1-4B29-AFE1-1CD0B82C1007}" type="pres">
      <dgm:prSet presAssocID="{012A68F6-F5FA-4747-AD85-011292A858C6}" presName="hierChild3" presStyleCnt="0"/>
      <dgm:spPr/>
    </dgm:pt>
  </dgm:ptLst>
  <dgm:cxnLst>
    <dgm:cxn modelId="{5696E72D-7F5E-40BF-BFE4-AB14091FBB63}" type="presOf" srcId="{5DF65F08-4356-49F8-AB55-00231FE83FBD}" destId="{65A9D4FB-99D2-487C-BB37-2AA09D3742E6}" srcOrd="0" destOrd="0" presId="urn:microsoft.com/office/officeart/2005/8/layout/orgChart1#1"/>
    <dgm:cxn modelId="{39A86577-7991-48CF-B5C5-D7069CA75E87}" type="presOf" srcId="{1D573A03-E7B1-492A-8238-AC86FA32795F}" destId="{71F4ACF6-E720-4297-B9E8-CB027E415BEA}" srcOrd="0" destOrd="0" presId="urn:microsoft.com/office/officeart/2005/8/layout/orgChart1#1"/>
    <dgm:cxn modelId="{8D4286D0-FF9F-4E19-8888-863FA8FDC60C}" type="presOf" srcId="{1D573A03-E7B1-492A-8238-AC86FA32795F}" destId="{C7312A97-09E9-420A-BF1B-811E0353EF13}" srcOrd="1" destOrd="0" presId="urn:microsoft.com/office/officeart/2005/8/layout/orgChart1#1"/>
    <dgm:cxn modelId="{95387FEF-FD24-4D19-BEF3-1A1E1CF75177}" type="presOf" srcId="{C9884AFF-C58E-4159-9E40-BE1BFEB6AB45}" destId="{DC4BD176-85BA-46B1-9842-7CA4D2350406}" srcOrd="0" destOrd="0" presId="urn:microsoft.com/office/officeart/2005/8/layout/orgChart1#1"/>
    <dgm:cxn modelId="{3433FAE5-85BA-447B-9A40-D14AF1DBFBA4}" type="presOf" srcId="{012A68F6-F5FA-4747-AD85-011292A858C6}" destId="{6DAD249D-A678-4347-A817-560AB81D4753}" srcOrd="0" destOrd="0" presId="urn:microsoft.com/office/officeart/2005/8/layout/orgChart1#1"/>
    <dgm:cxn modelId="{0627E08E-936C-43DC-B329-60C5AE724CDB}" type="presOf" srcId="{C9884AFF-C58E-4159-9E40-BE1BFEB6AB45}" destId="{223F473F-2F4A-47B0-8D10-A09C21C075C6}" srcOrd="1" destOrd="0" presId="urn:microsoft.com/office/officeart/2005/8/layout/orgChart1#1"/>
    <dgm:cxn modelId="{F9E7B120-2050-4DB5-9EFF-E8E5F44A6403}" srcId="{012A68F6-F5FA-4747-AD85-011292A858C6}" destId="{1D573A03-E7B1-492A-8238-AC86FA32795F}" srcOrd="3" destOrd="0" parTransId="{466AB51C-4A1B-4663-BE7D-8D71EEA682DE}" sibTransId="{47252271-C945-48D8-9556-FE8A62067C52}"/>
    <dgm:cxn modelId="{956E28D9-9798-45C8-97FF-A48DA1BA7AE1}" type="presOf" srcId="{63EE97DF-7319-40E5-B97E-2A245C0AD2EB}" destId="{62613978-70E8-4C5F-B25F-338E1E224088}" srcOrd="0" destOrd="0" presId="urn:microsoft.com/office/officeart/2005/8/layout/orgChart1#1"/>
    <dgm:cxn modelId="{D7785437-FE25-4976-8523-B48870C1E5F7}" srcId="{63EE97DF-7319-40E5-B97E-2A245C0AD2EB}" destId="{012A68F6-F5FA-4747-AD85-011292A858C6}" srcOrd="0" destOrd="0" parTransId="{53E169FE-410B-4536-9001-F7B211AFEEE8}" sibTransId="{3E1BA870-0C52-44D6-AA55-7A2379DC79A0}"/>
    <dgm:cxn modelId="{BC7841C8-9B08-49C6-A7FA-58D8DC589AE4}" type="presOf" srcId="{0EF84A1D-58F3-4AB1-9CA3-3ED84690C919}" destId="{4CDD67EC-C38D-4F74-AF4B-357C027EFF2A}" srcOrd="0" destOrd="0" presId="urn:microsoft.com/office/officeart/2005/8/layout/orgChart1#1"/>
    <dgm:cxn modelId="{74C71DA5-DCDA-4607-A4C5-3C805A3481BD}" type="presOf" srcId="{6C253EF0-7112-4D83-9426-FCB4402D0AE6}" destId="{AA05E79C-2242-4788-BB03-221EDB48B331}" srcOrd="0" destOrd="0" presId="urn:microsoft.com/office/officeart/2005/8/layout/orgChart1#1"/>
    <dgm:cxn modelId="{59C0A24B-B587-41C9-8C60-7A84AF0394BD}" srcId="{012A68F6-F5FA-4747-AD85-011292A858C6}" destId="{6C253EF0-7112-4D83-9426-FCB4402D0AE6}" srcOrd="2" destOrd="0" parTransId="{0EF84A1D-58F3-4AB1-9CA3-3ED84690C919}" sibTransId="{4F559427-535A-480D-AF2E-7354E9632AB3}"/>
    <dgm:cxn modelId="{4A0D2EB5-F188-41C3-9C80-C7486C160CBC}" srcId="{012A68F6-F5FA-4747-AD85-011292A858C6}" destId="{3B138DCB-38A9-4338-A801-C9FCE2050360}" srcOrd="0" destOrd="0" parTransId="{5DF65F08-4356-49F8-AB55-00231FE83FBD}" sibTransId="{CBAE8CEF-A4F0-4384-9E18-7E8FEB288A07}"/>
    <dgm:cxn modelId="{8B6FB676-8AC1-40FC-AA3E-788C77F46C43}" type="presOf" srcId="{6C253EF0-7112-4D83-9426-FCB4402D0AE6}" destId="{2F4D8EB5-A730-47BA-BA42-F185A6439F13}" srcOrd="1" destOrd="0" presId="urn:microsoft.com/office/officeart/2005/8/layout/orgChart1#1"/>
    <dgm:cxn modelId="{0926C661-1568-43A4-B264-887BFBD06C1A}" type="presOf" srcId="{3B138DCB-38A9-4338-A801-C9FCE2050360}" destId="{A5EC270C-D66E-4CF6-A8E7-10510768A649}" srcOrd="0" destOrd="0" presId="urn:microsoft.com/office/officeart/2005/8/layout/orgChart1#1"/>
    <dgm:cxn modelId="{200DA52A-3180-4CF3-B761-4F3657C2EBA0}" type="presOf" srcId="{012A68F6-F5FA-4747-AD85-011292A858C6}" destId="{30DF416C-1ED1-4F21-A7EC-069961B5684F}" srcOrd="1" destOrd="0" presId="urn:microsoft.com/office/officeart/2005/8/layout/orgChart1#1"/>
    <dgm:cxn modelId="{D4C833E0-F1E3-4B14-818A-32049EDCCE14}" type="presOf" srcId="{466AB51C-4A1B-4663-BE7D-8D71EEA682DE}" destId="{5DFD9AE0-1B24-44A9-943F-DE13E7444774}" srcOrd="0" destOrd="0" presId="urn:microsoft.com/office/officeart/2005/8/layout/orgChart1#1"/>
    <dgm:cxn modelId="{3BEA05D9-706A-4A95-A0CE-6D752180E89F}" type="presOf" srcId="{B686B1CB-7E48-49CF-B38F-62352BBCB147}" destId="{8C662CEB-EEE5-46C5-815B-890193C934F6}" srcOrd="0" destOrd="0" presId="urn:microsoft.com/office/officeart/2005/8/layout/orgChart1#1"/>
    <dgm:cxn modelId="{65FCFC3E-8FDB-48AD-84E3-093D2886B44E}" srcId="{012A68F6-F5FA-4747-AD85-011292A858C6}" destId="{C9884AFF-C58E-4159-9E40-BE1BFEB6AB45}" srcOrd="1" destOrd="0" parTransId="{B686B1CB-7E48-49CF-B38F-62352BBCB147}" sibTransId="{495EAC1E-D2D3-4000-B6BA-04E6CD7FEC30}"/>
    <dgm:cxn modelId="{C1229C7C-9BDF-42A1-A970-91D348EBF556}" type="presOf" srcId="{3B138DCB-38A9-4338-A801-C9FCE2050360}" destId="{A9ACFC1B-CD79-4D2E-B73B-6C578A9F3902}" srcOrd="1" destOrd="0" presId="urn:microsoft.com/office/officeart/2005/8/layout/orgChart1#1"/>
    <dgm:cxn modelId="{26C22910-146A-43C9-A682-98B1C252A6A8}" type="presParOf" srcId="{62613978-70E8-4C5F-B25F-338E1E224088}" destId="{A905D8E7-1A94-4EB0-B09F-ABC8627115EA}" srcOrd="0" destOrd="0" presId="urn:microsoft.com/office/officeart/2005/8/layout/orgChart1#1"/>
    <dgm:cxn modelId="{79B58E02-9CDE-4AF5-B59A-7703D3CD8A7E}" type="presParOf" srcId="{A905D8E7-1A94-4EB0-B09F-ABC8627115EA}" destId="{74ED2784-C3EE-4BD1-8297-2241423BB0A9}" srcOrd="0" destOrd="0" presId="urn:microsoft.com/office/officeart/2005/8/layout/orgChart1#1"/>
    <dgm:cxn modelId="{CF72F197-BACC-4F7C-959C-D844E946CE1F}" type="presParOf" srcId="{74ED2784-C3EE-4BD1-8297-2241423BB0A9}" destId="{6DAD249D-A678-4347-A817-560AB81D4753}" srcOrd="0" destOrd="0" presId="urn:microsoft.com/office/officeart/2005/8/layout/orgChart1#1"/>
    <dgm:cxn modelId="{518740C3-1F5B-42B9-AF1A-43BD80D9C680}" type="presParOf" srcId="{74ED2784-C3EE-4BD1-8297-2241423BB0A9}" destId="{30DF416C-1ED1-4F21-A7EC-069961B5684F}" srcOrd="1" destOrd="0" presId="urn:microsoft.com/office/officeart/2005/8/layout/orgChart1#1"/>
    <dgm:cxn modelId="{0CD514C1-3E9D-4565-81D6-81884F45C488}" type="presParOf" srcId="{A905D8E7-1A94-4EB0-B09F-ABC8627115EA}" destId="{84A9DA24-3B13-44FF-8619-D4F7A8C3CC00}" srcOrd="1" destOrd="0" presId="urn:microsoft.com/office/officeart/2005/8/layout/orgChart1#1"/>
    <dgm:cxn modelId="{767498EF-F70D-46E2-8DE2-0D19AC82B010}" type="presParOf" srcId="{84A9DA24-3B13-44FF-8619-D4F7A8C3CC00}" destId="{65A9D4FB-99D2-487C-BB37-2AA09D3742E6}" srcOrd="0" destOrd="0" presId="urn:microsoft.com/office/officeart/2005/8/layout/orgChart1#1"/>
    <dgm:cxn modelId="{EA3EF1D3-3274-4FFF-8499-AC39A5B29FD1}" type="presParOf" srcId="{84A9DA24-3B13-44FF-8619-D4F7A8C3CC00}" destId="{02E5ED32-77B7-42AE-9B7C-126F35B8B195}" srcOrd="1" destOrd="0" presId="urn:microsoft.com/office/officeart/2005/8/layout/orgChart1#1"/>
    <dgm:cxn modelId="{D0694282-F987-492A-BF89-CDE6C13B6A33}" type="presParOf" srcId="{02E5ED32-77B7-42AE-9B7C-126F35B8B195}" destId="{CF61290E-0B5F-4BBC-8268-1DCC0C143BD5}" srcOrd="0" destOrd="0" presId="urn:microsoft.com/office/officeart/2005/8/layout/orgChart1#1"/>
    <dgm:cxn modelId="{F0C74665-BBCF-404D-929A-1528CE469098}" type="presParOf" srcId="{CF61290E-0B5F-4BBC-8268-1DCC0C143BD5}" destId="{A5EC270C-D66E-4CF6-A8E7-10510768A649}" srcOrd="0" destOrd="0" presId="urn:microsoft.com/office/officeart/2005/8/layout/orgChart1#1"/>
    <dgm:cxn modelId="{D99D0130-5BD9-4639-8ED2-F43FEBDA80D8}" type="presParOf" srcId="{CF61290E-0B5F-4BBC-8268-1DCC0C143BD5}" destId="{A9ACFC1B-CD79-4D2E-B73B-6C578A9F3902}" srcOrd="1" destOrd="0" presId="urn:microsoft.com/office/officeart/2005/8/layout/orgChart1#1"/>
    <dgm:cxn modelId="{596CE8DA-F689-439D-9178-2D29F70D2EE3}" type="presParOf" srcId="{02E5ED32-77B7-42AE-9B7C-126F35B8B195}" destId="{E69DF78C-CF78-489D-99A3-928D1C3E9F1E}" srcOrd="1" destOrd="0" presId="urn:microsoft.com/office/officeart/2005/8/layout/orgChart1#1"/>
    <dgm:cxn modelId="{6F501597-4335-4647-AF6D-3E32D5D383F1}" type="presParOf" srcId="{02E5ED32-77B7-42AE-9B7C-126F35B8B195}" destId="{C70DE88B-597D-4506-8980-A82EAEFF886A}" srcOrd="2" destOrd="0" presId="urn:microsoft.com/office/officeart/2005/8/layout/orgChart1#1"/>
    <dgm:cxn modelId="{BF5C04A3-FEBC-4C3B-88F6-E1A43262E6AF}" type="presParOf" srcId="{84A9DA24-3B13-44FF-8619-D4F7A8C3CC00}" destId="{8C662CEB-EEE5-46C5-815B-890193C934F6}" srcOrd="2" destOrd="0" presId="urn:microsoft.com/office/officeart/2005/8/layout/orgChart1#1"/>
    <dgm:cxn modelId="{26213501-F8BE-4460-9EB3-7DC584D8BC18}" type="presParOf" srcId="{84A9DA24-3B13-44FF-8619-D4F7A8C3CC00}" destId="{EA94FCC4-B239-4271-86C0-D3A999306DDB}" srcOrd="3" destOrd="0" presId="urn:microsoft.com/office/officeart/2005/8/layout/orgChart1#1"/>
    <dgm:cxn modelId="{D8188903-716C-4BA4-BBB9-ECFDD4A649AA}" type="presParOf" srcId="{EA94FCC4-B239-4271-86C0-D3A999306DDB}" destId="{F05341F9-D1B1-4050-8C62-85446E2BE494}" srcOrd="0" destOrd="0" presId="urn:microsoft.com/office/officeart/2005/8/layout/orgChart1#1"/>
    <dgm:cxn modelId="{C8B4FC0F-CB79-4DDC-B5B0-33F07D3D265C}" type="presParOf" srcId="{F05341F9-D1B1-4050-8C62-85446E2BE494}" destId="{DC4BD176-85BA-46B1-9842-7CA4D2350406}" srcOrd="0" destOrd="0" presId="urn:microsoft.com/office/officeart/2005/8/layout/orgChart1#1"/>
    <dgm:cxn modelId="{5AA4BF02-E378-4507-8583-4AD8D6CD4C03}" type="presParOf" srcId="{F05341F9-D1B1-4050-8C62-85446E2BE494}" destId="{223F473F-2F4A-47B0-8D10-A09C21C075C6}" srcOrd="1" destOrd="0" presId="urn:microsoft.com/office/officeart/2005/8/layout/orgChart1#1"/>
    <dgm:cxn modelId="{C10F96B3-CB10-4930-B85E-46F879E3C549}" type="presParOf" srcId="{EA94FCC4-B239-4271-86C0-D3A999306DDB}" destId="{00C0757C-A2F2-4EBB-A7E3-4658E6FBAF2A}" srcOrd="1" destOrd="0" presId="urn:microsoft.com/office/officeart/2005/8/layout/orgChart1#1"/>
    <dgm:cxn modelId="{9087B1CC-1091-4DE7-909C-85EDB9B267F0}" type="presParOf" srcId="{EA94FCC4-B239-4271-86C0-D3A999306DDB}" destId="{F42A9255-8461-465D-A9B2-8C18A5D4FB6A}" srcOrd="2" destOrd="0" presId="urn:microsoft.com/office/officeart/2005/8/layout/orgChart1#1"/>
    <dgm:cxn modelId="{DC445471-80B7-4324-A9A7-170E73A38C5D}" type="presParOf" srcId="{84A9DA24-3B13-44FF-8619-D4F7A8C3CC00}" destId="{4CDD67EC-C38D-4F74-AF4B-357C027EFF2A}" srcOrd="4" destOrd="0" presId="urn:microsoft.com/office/officeart/2005/8/layout/orgChart1#1"/>
    <dgm:cxn modelId="{2EBBFB96-C708-4095-83B0-C7243ADB38BD}" type="presParOf" srcId="{84A9DA24-3B13-44FF-8619-D4F7A8C3CC00}" destId="{57A38CDE-638A-4411-B496-D3B00C0CD2AB}" srcOrd="5" destOrd="0" presId="urn:microsoft.com/office/officeart/2005/8/layout/orgChart1#1"/>
    <dgm:cxn modelId="{0281D1A4-B5C9-4F10-8007-D10F0897E6CD}" type="presParOf" srcId="{57A38CDE-638A-4411-B496-D3B00C0CD2AB}" destId="{76124C0C-6A99-4002-A4B6-CD02BD75C0BF}" srcOrd="0" destOrd="0" presId="urn:microsoft.com/office/officeart/2005/8/layout/orgChart1#1"/>
    <dgm:cxn modelId="{3B7A1225-B97D-4373-9EF2-9ACA4F823FEB}" type="presParOf" srcId="{76124C0C-6A99-4002-A4B6-CD02BD75C0BF}" destId="{AA05E79C-2242-4788-BB03-221EDB48B331}" srcOrd="0" destOrd="0" presId="urn:microsoft.com/office/officeart/2005/8/layout/orgChart1#1"/>
    <dgm:cxn modelId="{0CDE60ED-B71A-40B6-89CA-7FBB65E31140}" type="presParOf" srcId="{76124C0C-6A99-4002-A4B6-CD02BD75C0BF}" destId="{2F4D8EB5-A730-47BA-BA42-F185A6439F13}" srcOrd="1" destOrd="0" presId="urn:microsoft.com/office/officeart/2005/8/layout/orgChart1#1"/>
    <dgm:cxn modelId="{52AC2840-83F7-4A5B-9CA8-7247C435F395}" type="presParOf" srcId="{57A38CDE-638A-4411-B496-D3B00C0CD2AB}" destId="{47E8DD50-21B0-4225-B744-99888DB1E554}" srcOrd="1" destOrd="0" presId="urn:microsoft.com/office/officeart/2005/8/layout/orgChart1#1"/>
    <dgm:cxn modelId="{3289D679-CDBA-4DAE-A535-D6902F328FF8}" type="presParOf" srcId="{57A38CDE-638A-4411-B496-D3B00C0CD2AB}" destId="{6F9E1975-FDF7-4AAF-9A5C-26E5B639A594}" srcOrd="2" destOrd="0" presId="urn:microsoft.com/office/officeart/2005/8/layout/orgChart1#1"/>
    <dgm:cxn modelId="{441DC171-AEAB-4B13-8959-B2DDB42EC760}" type="presParOf" srcId="{84A9DA24-3B13-44FF-8619-D4F7A8C3CC00}" destId="{5DFD9AE0-1B24-44A9-943F-DE13E7444774}" srcOrd="6" destOrd="0" presId="urn:microsoft.com/office/officeart/2005/8/layout/orgChart1#1"/>
    <dgm:cxn modelId="{4E840E69-1F42-4885-8032-3E57EAD25B24}" type="presParOf" srcId="{84A9DA24-3B13-44FF-8619-D4F7A8C3CC00}" destId="{6FD6DC7F-6201-4968-A676-2E8929F1261E}" srcOrd="7" destOrd="0" presId="urn:microsoft.com/office/officeart/2005/8/layout/orgChart1#1"/>
    <dgm:cxn modelId="{C647DD63-CDC0-4F63-AA3C-A6D0BAB042C3}" type="presParOf" srcId="{6FD6DC7F-6201-4968-A676-2E8929F1261E}" destId="{C0B9857A-7611-4374-A4AC-2AEE45921DA1}" srcOrd="0" destOrd="0" presId="urn:microsoft.com/office/officeart/2005/8/layout/orgChart1#1"/>
    <dgm:cxn modelId="{5739C83B-A6A7-4A1A-9226-D5D1F7F6A746}" type="presParOf" srcId="{C0B9857A-7611-4374-A4AC-2AEE45921DA1}" destId="{71F4ACF6-E720-4297-B9E8-CB027E415BEA}" srcOrd="0" destOrd="0" presId="urn:microsoft.com/office/officeart/2005/8/layout/orgChart1#1"/>
    <dgm:cxn modelId="{A0B6462A-9467-41D4-BCCF-AD4EE9AB6DF3}" type="presParOf" srcId="{C0B9857A-7611-4374-A4AC-2AEE45921DA1}" destId="{C7312A97-09E9-420A-BF1B-811E0353EF13}" srcOrd="1" destOrd="0" presId="urn:microsoft.com/office/officeart/2005/8/layout/orgChart1#1"/>
    <dgm:cxn modelId="{CAFB5F6D-355D-4784-8E9E-B3F1E30BC44A}" type="presParOf" srcId="{6FD6DC7F-6201-4968-A676-2E8929F1261E}" destId="{663695B6-A0AE-4444-9FF3-6814F028D8C2}" srcOrd="1" destOrd="0" presId="urn:microsoft.com/office/officeart/2005/8/layout/orgChart1#1"/>
    <dgm:cxn modelId="{84E06235-308E-45E0-A82C-7346DEE7F38D}" type="presParOf" srcId="{6FD6DC7F-6201-4968-A676-2E8929F1261E}" destId="{B70C3904-6DB4-4BE2-B89A-65B275F059B6}" srcOrd="2" destOrd="0" presId="urn:microsoft.com/office/officeart/2005/8/layout/orgChart1#1"/>
    <dgm:cxn modelId="{23E009D4-49A7-4B44-8F40-39DF2D98F348}" type="presParOf" srcId="{A905D8E7-1A94-4EB0-B09F-ABC8627115EA}" destId="{253E9281-06D1-4B29-AFE1-1CD0B82C1007}" srcOrd="2" destOrd="0" presId="urn:microsoft.com/office/officeart/2005/8/layout/orgChart1#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5428615" cy="1971040"/>
        <a:chOff x="0" y="0"/>
        <a:chExt cx="5428615" cy="1971040"/>
      </a:xfrm>
    </dsp:grpSpPr>
    <dsp:sp>
      <dsp:nvSpPr>
        <dsp:cNvPr id="18" name="任意多边形 17"/>
        <dsp:cNvSpPr/>
      </dsp:nvSpPr>
      <dsp:spPr bwMode="white">
        <a:xfrm>
          <a:off x="586244" y="862409"/>
          <a:ext cx="2128064" cy="246222"/>
        </a:xfrm>
        <a:custGeom>
          <a:avLst/>
          <a:gdLst/>
          <a:ahLst/>
          <a:cxnLst/>
          <a:pathLst>
            <a:path w="3351" h="388">
              <a:moveTo>
                <a:pt x="3351" y="0"/>
              </a:moveTo>
              <a:lnTo>
                <a:pt x="3351" y="194"/>
              </a:lnTo>
              <a:lnTo>
                <a:pt x="0" y="194"/>
              </a:lnTo>
              <a:lnTo>
                <a:pt x="0" y="388"/>
              </a:lnTo>
            </a:path>
          </a:pathLst>
        </a:custGeom>
      </dsp:spPr>
      <dsp:style>
        <a:lnRef idx="2">
          <a:schemeClr val="accent1">
            <a:shade val="60000"/>
          </a:schemeClr>
        </a:lnRef>
        <a:fillRef idx="0">
          <a:schemeClr val="accent1"/>
        </a:fillRef>
        <a:effectRef idx="0">
          <a:scrgbClr r="0" g="0" b="0"/>
        </a:effectRef>
        <a:fontRef idx="minor"/>
      </dsp:style>
      <dsp:txBody>
        <a:bodyPr/>
        <a:p/>
      </dsp:txBody>
      <dsp:txXfrm>
        <a:off x="586244" y="862409"/>
        <a:ext cx="2128064" cy="246222"/>
      </dsp:txXfrm>
    </dsp:sp>
    <dsp:sp>
      <dsp:nvSpPr>
        <dsp:cNvPr id="20" name="任意多边形 19"/>
        <dsp:cNvSpPr/>
      </dsp:nvSpPr>
      <dsp:spPr bwMode="white">
        <a:xfrm>
          <a:off x="2004953" y="862409"/>
          <a:ext cx="709355" cy="246222"/>
        </a:xfrm>
        <a:custGeom>
          <a:avLst/>
          <a:gdLst/>
          <a:ahLst/>
          <a:cxnLst/>
          <a:pathLst>
            <a:path w="1117" h="388">
              <a:moveTo>
                <a:pt x="1117" y="0"/>
              </a:moveTo>
              <a:lnTo>
                <a:pt x="1117" y="194"/>
              </a:lnTo>
              <a:lnTo>
                <a:pt x="0" y="194"/>
              </a:lnTo>
              <a:lnTo>
                <a:pt x="0" y="388"/>
              </a:lnTo>
            </a:path>
          </a:pathLst>
        </a:custGeom>
      </dsp:spPr>
      <dsp:style>
        <a:lnRef idx="2">
          <a:schemeClr val="accent1">
            <a:shade val="60000"/>
          </a:schemeClr>
        </a:lnRef>
        <a:fillRef idx="0">
          <a:schemeClr val="accent1"/>
        </a:fillRef>
        <a:effectRef idx="0">
          <a:scrgbClr r="0" g="0" b="0"/>
        </a:effectRef>
        <a:fontRef idx="minor"/>
      </dsp:style>
      <dsp:txBody>
        <a:bodyPr/>
        <a:p/>
      </dsp:txBody>
      <dsp:txXfrm>
        <a:off x="2004953" y="862409"/>
        <a:ext cx="709355" cy="246222"/>
      </dsp:txXfrm>
    </dsp:sp>
    <dsp:sp>
      <dsp:nvSpPr>
        <dsp:cNvPr id="22" name="任意多边形 21"/>
        <dsp:cNvSpPr/>
      </dsp:nvSpPr>
      <dsp:spPr bwMode="white">
        <a:xfrm>
          <a:off x="2714308" y="862409"/>
          <a:ext cx="709355" cy="246222"/>
        </a:xfrm>
        <a:custGeom>
          <a:avLst/>
          <a:gdLst/>
          <a:ahLst/>
          <a:cxnLst/>
          <a:pathLst>
            <a:path w="1117" h="388">
              <a:moveTo>
                <a:pt x="0" y="0"/>
              </a:moveTo>
              <a:lnTo>
                <a:pt x="0" y="194"/>
              </a:lnTo>
              <a:lnTo>
                <a:pt x="1117" y="194"/>
              </a:lnTo>
              <a:lnTo>
                <a:pt x="1117" y="388"/>
              </a:lnTo>
            </a:path>
          </a:pathLst>
        </a:custGeom>
      </dsp:spPr>
      <dsp:style>
        <a:lnRef idx="2">
          <a:schemeClr val="accent1">
            <a:shade val="60000"/>
          </a:schemeClr>
        </a:lnRef>
        <a:fillRef idx="0">
          <a:schemeClr val="accent1"/>
        </a:fillRef>
        <a:effectRef idx="0">
          <a:scrgbClr r="0" g="0" b="0"/>
        </a:effectRef>
        <a:fontRef idx="minor"/>
      </dsp:style>
      <dsp:txBody>
        <a:bodyPr/>
        <a:p/>
      </dsp:txBody>
      <dsp:txXfrm>
        <a:off x="2714308" y="862409"/>
        <a:ext cx="709355" cy="246222"/>
      </dsp:txXfrm>
    </dsp:sp>
    <dsp:sp>
      <dsp:nvSpPr>
        <dsp:cNvPr id="24" name="任意多边形 23"/>
        <dsp:cNvSpPr/>
      </dsp:nvSpPr>
      <dsp:spPr bwMode="white">
        <a:xfrm>
          <a:off x="2714308" y="862409"/>
          <a:ext cx="2128064" cy="246222"/>
        </a:xfrm>
        <a:custGeom>
          <a:avLst/>
          <a:gdLst/>
          <a:ahLst/>
          <a:cxnLst/>
          <a:pathLst>
            <a:path w="3351" h="388">
              <a:moveTo>
                <a:pt x="0" y="0"/>
              </a:moveTo>
              <a:lnTo>
                <a:pt x="0" y="194"/>
              </a:lnTo>
              <a:lnTo>
                <a:pt x="3351" y="194"/>
              </a:lnTo>
              <a:lnTo>
                <a:pt x="3351" y="388"/>
              </a:lnTo>
            </a:path>
          </a:pathLst>
        </a:custGeom>
      </dsp:spPr>
      <dsp:style>
        <a:lnRef idx="2">
          <a:schemeClr val="accent1">
            <a:shade val="60000"/>
          </a:schemeClr>
        </a:lnRef>
        <a:fillRef idx="0">
          <a:schemeClr val="accent1"/>
        </a:fillRef>
        <a:effectRef idx="0">
          <a:scrgbClr r="0" g="0" b="0"/>
        </a:effectRef>
        <a:fontRef idx="minor"/>
      </dsp:style>
      <dsp:txBody>
        <a:bodyPr/>
        <a:p/>
      </dsp:txBody>
      <dsp:txXfrm>
        <a:off x="2714308" y="862409"/>
        <a:ext cx="2128064" cy="246222"/>
      </dsp:txXfrm>
    </dsp:sp>
    <dsp:sp>
      <dsp:nvSpPr>
        <dsp:cNvPr id="4" name="矩形 3"/>
        <dsp:cNvSpPr/>
      </dsp:nvSpPr>
      <dsp:spPr bwMode="white">
        <a:xfrm>
          <a:off x="2128064" y="276165"/>
          <a:ext cx="1172487" cy="586244"/>
        </a:xfrm>
        <a:prstGeom prst="rect">
          <a:avLst/>
        </a:prstGeom>
      </dsp:spPr>
      <dsp:style>
        <a:lnRef idx="2">
          <a:schemeClr val="lt1"/>
        </a:lnRef>
        <a:fillRef idx="1">
          <a:schemeClr val="accent1"/>
        </a:fillRef>
        <a:effectRef idx="0">
          <a:scrgbClr r="0" g="0" b="0"/>
        </a:effectRef>
        <a:fontRef idx="minor">
          <a:schemeClr val="lt1"/>
        </a:fontRef>
      </dsp:style>
      <dsp:txBody>
        <a:bodyPr lIns="11430" tIns="11430" rIns="11430" bIns="11430" anchor="ctr"/>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a:pPr marR="0" lvl="0" algn="ctr" rtl="0">
            <a:lnSpc>
              <a:spcPct val="100000"/>
            </a:lnSpc>
            <a:spcBef>
              <a:spcPct val="0"/>
            </a:spcBef>
            <a:spcAft>
              <a:spcPct val="35000"/>
            </a:spcAft>
          </a:pPr>
          <a:r>
            <a:rPr lang="zh-CN" altLang="en-US" kern="100" baseline="0" smtClean="0">
              <a:latin typeface="Calibri" panose="020F0502020204030204"/>
              <a:ea typeface="宋体" panose="02010600030101010101" charset="-122"/>
            </a:rPr>
            <a:t>管理部门</a:t>
          </a:r>
          <a:endParaRPr lang="zh-CN" altLang="en-US" smtClean="0"/>
        </a:p>
      </dsp:txBody>
      <dsp:txXfrm>
        <a:off x="2128064" y="276165"/>
        <a:ext cx="1172487" cy="586244"/>
      </dsp:txXfrm>
    </dsp:sp>
    <dsp:sp>
      <dsp:nvSpPr>
        <dsp:cNvPr id="5" name="矩形 4"/>
        <dsp:cNvSpPr/>
      </dsp:nvSpPr>
      <dsp:spPr bwMode="white">
        <a:xfrm>
          <a:off x="0" y="1108631"/>
          <a:ext cx="1172487" cy="586244"/>
        </a:xfrm>
        <a:prstGeom prst="rect">
          <a:avLst/>
        </a:prstGeom>
      </dsp:spPr>
      <dsp:style>
        <a:lnRef idx="2">
          <a:schemeClr val="lt1"/>
        </a:lnRef>
        <a:fillRef idx="1">
          <a:schemeClr val="accent1"/>
        </a:fillRef>
        <a:effectRef idx="0">
          <a:scrgbClr r="0" g="0" b="0"/>
        </a:effectRef>
        <a:fontRef idx="minor">
          <a:schemeClr val="lt1"/>
        </a:fontRef>
      </dsp:style>
      <dsp:txBody>
        <a:bodyPr lIns="11430" tIns="11430" rIns="11430" bIns="11430" anchor="ctr"/>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a:pPr marR="0" lvl="0" algn="ctr" rtl="0">
            <a:lnSpc>
              <a:spcPct val="100000"/>
            </a:lnSpc>
            <a:spcBef>
              <a:spcPct val="0"/>
            </a:spcBef>
            <a:spcAft>
              <a:spcPct val="35000"/>
            </a:spcAft>
          </a:pPr>
          <a:r>
            <a:rPr lang="zh-CN" altLang="en-US" kern="100" baseline="0" smtClean="0">
              <a:latin typeface="Calibri" panose="020F0502020204030204"/>
              <a:ea typeface="宋体" panose="02010600030101010101" charset="-122"/>
            </a:rPr>
            <a:t>设计单位</a:t>
          </a:r>
          <a:endParaRPr lang="zh-CN" altLang="en-US" smtClean="0"/>
        </a:p>
      </dsp:txBody>
      <dsp:txXfrm>
        <a:off x="0" y="1108631"/>
        <a:ext cx="1172487" cy="586244"/>
      </dsp:txXfrm>
    </dsp:sp>
    <dsp:sp>
      <dsp:nvSpPr>
        <dsp:cNvPr id="7" name="矩形 6"/>
        <dsp:cNvSpPr/>
      </dsp:nvSpPr>
      <dsp:spPr bwMode="white">
        <a:xfrm>
          <a:off x="1418709" y="1108631"/>
          <a:ext cx="1172487" cy="586244"/>
        </a:xfrm>
        <a:prstGeom prst="rect">
          <a:avLst/>
        </a:prstGeom>
      </dsp:spPr>
      <dsp:style>
        <a:lnRef idx="2">
          <a:schemeClr val="lt1"/>
        </a:lnRef>
        <a:fillRef idx="1">
          <a:schemeClr val="accent1"/>
        </a:fillRef>
        <a:effectRef idx="0">
          <a:scrgbClr r="0" g="0" b="0"/>
        </a:effectRef>
        <a:fontRef idx="minor">
          <a:schemeClr val="lt1"/>
        </a:fontRef>
      </dsp:style>
      <dsp:txBody>
        <a:bodyPr lIns="11430" tIns="11430" rIns="11430" bIns="11430" anchor="ctr"/>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a:pPr marR="0" lvl="0" algn="ctr" rtl="0">
            <a:lnSpc>
              <a:spcPct val="100000"/>
            </a:lnSpc>
            <a:spcBef>
              <a:spcPct val="0"/>
            </a:spcBef>
            <a:spcAft>
              <a:spcPct val="35000"/>
            </a:spcAft>
          </a:pPr>
          <a:r>
            <a:rPr lang="zh-CN" altLang="en-US" kern="100" baseline="0" smtClean="0">
              <a:latin typeface="Calibri" panose="020F0502020204030204"/>
              <a:ea typeface="宋体" panose="02010600030101010101" charset="-122"/>
            </a:rPr>
            <a:t>监理单位</a:t>
          </a:r>
          <a:endParaRPr lang="zh-CN" altLang="en-US" smtClean="0"/>
        </a:p>
      </dsp:txBody>
      <dsp:txXfrm>
        <a:off x="1418709" y="1108631"/>
        <a:ext cx="1172487" cy="586244"/>
      </dsp:txXfrm>
    </dsp:sp>
    <dsp:sp>
      <dsp:nvSpPr>
        <dsp:cNvPr id="3" name="矩形 2"/>
        <dsp:cNvSpPr/>
      </dsp:nvSpPr>
      <dsp:spPr bwMode="white">
        <a:xfrm>
          <a:off x="2837419" y="1108631"/>
          <a:ext cx="1172487" cy="586244"/>
        </a:xfrm>
        <a:prstGeom prst="rect">
          <a:avLst/>
        </a:prstGeom>
      </dsp:spPr>
      <dsp:style>
        <a:lnRef idx="2">
          <a:schemeClr val="lt1"/>
        </a:lnRef>
        <a:fillRef idx="1">
          <a:schemeClr val="accent1"/>
        </a:fillRef>
        <a:effectRef idx="0">
          <a:scrgbClr r="0" g="0" b="0"/>
        </a:effectRef>
        <a:fontRef idx="minor">
          <a:schemeClr val="lt1"/>
        </a:fontRef>
      </dsp:style>
      <dsp:txBody>
        <a:bodyPr lIns="11430" tIns="11430" rIns="11430" bIns="11430" anchor="ctr"/>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a:pPr marR="0" lvl="0" algn="ctr" rtl="0">
            <a:lnSpc>
              <a:spcPct val="100000"/>
            </a:lnSpc>
            <a:spcBef>
              <a:spcPct val="0"/>
            </a:spcBef>
            <a:spcAft>
              <a:spcPct val="35000"/>
            </a:spcAft>
          </a:pPr>
          <a:r>
            <a:rPr lang="zh-CN" altLang="en-US" kern="100" baseline="0" smtClean="0">
              <a:latin typeface="Calibri" panose="020F0502020204030204"/>
              <a:ea typeface="宋体" panose="02010600030101010101" charset="-122"/>
            </a:rPr>
            <a:t>施工单位</a:t>
          </a:r>
          <a:endParaRPr lang="zh-CN" altLang="en-US" smtClean="0"/>
        </a:p>
      </dsp:txBody>
      <dsp:txXfrm>
        <a:off x="2837419" y="1108631"/>
        <a:ext cx="1172487" cy="586244"/>
      </dsp:txXfrm>
    </dsp:sp>
    <dsp:sp>
      <dsp:nvSpPr>
        <dsp:cNvPr id="6" name="矩形 5"/>
        <dsp:cNvSpPr/>
      </dsp:nvSpPr>
      <dsp:spPr bwMode="white">
        <a:xfrm>
          <a:off x="4256128" y="1108631"/>
          <a:ext cx="1172487" cy="586244"/>
        </a:xfrm>
        <a:prstGeom prst="rect">
          <a:avLst/>
        </a:prstGeom>
      </dsp:spPr>
      <dsp:style>
        <a:lnRef idx="2">
          <a:schemeClr val="lt1"/>
        </a:lnRef>
        <a:fillRef idx="1">
          <a:schemeClr val="accent1"/>
        </a:fillRef>
        <a:effectRef idx="0">
          <a:scrgbClr r="0" g="0" b="0"/>
        </a:effectRef>
        <a:fontRef idx="minor">
          <a:schemeClr val="lt1"/>
        </a:fontRef>
      </dsp:style>
      <dsp:txBody>
        <a:bodyPr lIns="11430" tIns="11430" rIns="11430" bIns="11430" anchor="ctr"/>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a:pPr marR="0" lvl="0" algn="ctr" rtl="0">
            <a:lnSpc>
              <a:spcPct val="100000"/>
            </a:lnSpc>
            <a:spcBef>
              <a:spcPct val="0"/>
            </a:spcBef>
            <a:spcAft>
              <a:spcPct val="35000"/>
            </a:spcAft>
          </a:pPr>
          <a:r>
            <a:rPr lang="zh-CN" altLang="en-US" kern="100" baseline="0" smtClean="0">
              <a:latin typeface="Calibri" panose="020F0502020204030204"/>
              <a:ea typeface="宋体" panose="02010600030101010101" charset="-122"/>
            </a:rPr>
            <a:t>招标代理单位</a:t>
          </a:r>
          <a:endParaRPr lang="zh-CN" altLang="en-US" smtClean="0"/>
        </a:p>
      </dsp:txBody>
      <dsp:txXfrm>
        <a:off x="4256128" y="1108631"/>
        <a:ext cx="1172487" cy="586244"/>
      </dsp:txXfrm>
    </dsp:sp>
    <dsp:sp>
      <dsp:nvSpPr>
        <dsp:cNvPr id="17" name="矩形 16" hidden="1"/>
        <dsp:cNvSpPr/>
      </dsp:nvSpPr>
      <dsp:spPr bwMode="white">
        <a:xfrm>
          <a:off x="3066054" y="276165"/>
          <a:ext cx="234497" cy="586244"/>
        </a:xfrm>
        <a:prstGeom prst="rect">
          <a:avLst/>
        </a:prstGeom>
      </dsp:spPr>
      <dsp:style>
        <a:lnRef idx="2">
          <a:schemeClr val="lt1"/>
        </a:lnRef>
        <a:fillRef idx="1">
          <a:schemeClr val="accent1"/>
        </a:fillRef>
        <a:effectRef idx="0">
          <a:scrgbClr r="0" g="0" b="0"/>
        </a:effectRef>
        <a:fontRef idx="minor">
          <a:schemeClr val="lt1"/>
        </a:fontRef>
      </dsp:style>
      <dsp:txBody>
        <a:bodyPr lIns="128016" tIns="128016" rIns="128016" bIns="128016"/>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dsp:txBody>
      <dsp:txXfrm>
        <a:off x="3066054" y="276165"/>
        <a:ext cx="234497" cy="586244"/>
      </dsp:txXfrm>
    </dsp:sp>
    <dsp:sp>
      <dsp:nvSpPr>
        <dsp:cNvPr id="19" name="矩形 18" hidden="1"/>
        <dsp:cNvSpPr/>
      </dsp:nvSpPr>
      <dsp:spPr bwMode="white">
        <a:xfrm>
          <a:off x="937990" y="1108631"/>
          <a:ext cx="234497" cy="586244"/>
        </a:xfrm>
        <a:prstGeom prst="rect">
          <a:avLst/>
        </a:prstGeom>
      </dsp:spPr>
      <dsp:style>
        <a:lnRef idx="2">
          <a:schemeClr val="lt1"/>
        </a:lnRef>
        <a:fillRef idx="1">
          <a:schemeClr val="accent1"/>
        </a:fillRef>
        <a:effectRef idx="0">
          <a:scrgbClr r="0" g="0" b="0"/>
        </a:effectRef>
        <a:fontRef idx="minor">
          <a:schemeClr val="lt1"/>
        </a:fontRef>
      </dsp:style>
      <dsp:txBody>
        <a:bodyPr lIns="128016" tIns="128016" rIns="128016" bIns="128016"/>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dsp:txBody>
      <dsp:txXfrm>
        <a:off x="937990" y="1108631"/>
        <a:ext cx="234497" cy="586244"/>
      </dsp:txXfrm>
    </dsp:sp>
    <dsp:sp>
      <dsp:nvSpPr>
        <dsp:cNvPr id="21" name="矩形 20" hidden="1"/>
        <dsp:cNvSpPr/>
      </dsp:nvSpPr>
      <dsp:spPr bwMode="white">
        <a:xfrm>
          <a:off x="2356699" y="1108631"/>
          <a:ext cx="234497" cy="586244"/>
        </a:xfrm>
        <a:prstGeom prst="rect">
          <a:avLst/>
        </a:prstGeom>
      </dsp:spPr>
      <dsp:style>
        <a:lnRef idx="2">
          <a:schemeClr val="lt1"/>
        </a:lnRef>
        <a:fillRef idx="1">
          <a:schemeClr val="accent1"/>
        </a:fillRef>
        <a:effectRef idx="0">
          <a:scrgbClr r="0" g="0" b="0"/>
        </a:effectRef>
        <a:fontRef idx="minor">
          <a:schemeClr val="lt1"/>
        </a:fontRef>
      </dsp:style>
      <dsp:txBody>
        <a:bodyPr lIns="128016" tIns="128016" rIns="128016" bIns="128016"/>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dsp:txBody>
      <dsp:txXfrm>
        <a:off x="2356699" y="1108631"/>
        <a:ext cx="234497" cy="586244"/>
      </dsp:txXfrm>
    </dsp:sp>
    <dsp:sp>
      <dsp:nvSpPr>
        <dsp:cNvPr id="23" name="矩形 22" hidden="1"/>
        <dsp:cNvSpPr/>
      </dsp:nvSpPr>
      <dsp:spPr bwMode="white">
        <a:xfrm>
          <a:off x="3775408" y="1108631"/>
          <a:ext cx="234497" cy="586244"/>
        </a:xfrm>
        <a:prstGeom prst="rect">
          <a:avLst/>
        </a:prstGeom>
      </dsp:spPr>
      <dsp:style>
        <a:lnRef idx="2">
          <a:schemeClr val="lt1"/>
        </a:lnRef>
        <a:fillRef idx="1">
          <a:schemeClr val="accent1"/>
        </a:fillRef>
        <a:effectRef idx="0">
          <a:scrgbClr r="0" g="0" b="0"/>
        </a:effectRef>
        <a:fontRef idx="minor">
          <a:schemeClr val="lt1"/>
        </a:fontRef>
      </dsp:style>
      <dsp:txBody>
        <a:bodyPr lIns="128016" tIns="128016" rIns="128016" bIns="128016"/>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dsp:txBody>
      <dsp:txXfrm>
        <a:off x="3775408" y="1108631"/>
        <a:ext cx="234497" cy="586244"/>
      </dsp:txXfrm>
    </dsp:sp>
    <dsp:sp>
      <dsp:nvSpPr>
        <dsp:cNvPr id="25" name="矩形 24" hidden="1"/>
        <dsp:cNvSpPr/>
      </dsp:nvSpPr>
      <dsp:spPr bwMode="white">
        <a:xfrm>
          <a:off x="5194118" y="1108631"/>
          <a:ext cx="234497" cy="586244"/>
        </a:xfrm>
        <a:prstGeom prst="rect">
          <a:avLst/>
        </a:prstGeom>
      </dsp:spPr>
      <dsp:style>
        <a:lnRef idx="2">
          <a:schemeClr val="lt1"/>
        </a:lnRef>
        <a:fillRef idx="1">
          <a:schemeClr val="accent1"/>
        </a:fillRef>
        <a:effectRef idx="0">
          <a:scrgbClr r="0" g="0" b="0"/>
        </a:effectRef>
        <a:fontRef idx="minor">
          <a:schemeClr val="lt1"/>
        </a:fontRef>
      </dsp:style>
      <dsp:txBody>
        <a:bodyPr lIns="128016" tIns="128016" rIns="128016" bIns="128016"/>
        <a:lstStyle>
          <a:lvl2pPr marL="114300" indent="-114300">
            <a:defRPr sz="1400"/>
          </a:lvl2pPr>
          <a:lvl3pPr marL="228600" indent="-114300">
            <a:defRPr sz="1400"/>
          </a:lvl3pPr>
          <a:lvl4pPr marL="342900" indent="-114300">
            <a:defRPr sz="1400"/>
          </a:lvl4pPr>
          <a:lvl5pPr marL="457200" indent="-114300">
            <a:defRPr sz="1400"/>
          </a:lvl5pPr>
          <a:lvl6pPr marL="571500" indent="-114300">
            <a:defRPr sz="1400"/>
          </a:lvl6pPr>
          <a:lvl7pPr marL="685800" indent="-114300">
            <a:defRPr sz="1400"/>
          </a:lvl7pPr>
          <a:lvl8pPr marL="800100" indent="-114300">
            <a:defRPr sz="1400"/>
          </a:lvl8pPr>
          <a:lvl9pPr marL="914400" indent="-114300">
            <a:defRPr sz="1400"/>
          </a:lvl9pPr>
        </a:lstStyle>
        <a:p/>
      </dsp:txBody>
      <dsp:txXfrm>
        <a:off x="5194118" y="1108631"/>
        <a:ext cx="234497" cy="58624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85</Pages>
  <Words>24831</Words>
  <Characters>27086</Characters>
  <Lines>232</Lines>
  <Paragraphs>65</Paragraphs>
  <ScaleCrop>false</ScaleCrop>
  <LinksUpToDate>false</LinksUpToDate>
  <CharactersWithSpaces>28298</CharactersWithSpaces>
  <Application>WPS Office_10.1.0.6391_F1E327BC-269C-435d-A152-05C5408002CA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2017-05-14T16:55:00Z</dcterms:created>
  <dc:creator>lishuisheng</dc:creator>
  <cp:lastModifiedBy>Administrator</cp:lastModifiedBy>
  <cp:lastPrinted>2017-05-25T02:41:13Z</cp:lastPrinted>
  <dcterms:modified xsi:type="dcterms:W3CDTF">2017-05-25T03:37:39Z</dcterms:modified>
  <dc:title>第一章 总论</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