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50" w:line="540" w:lineRule="exact"/>
        <w:rPr>
          <w:rFonts w:ascii="仿宋_GB2312" w:hAnsi="宋体" w:eastAsia="仿宋_GB2312"/>
          <w:color w:val="000000"/>
          <w:sz w:val="44"/>
          <w:szCs w:val="44"/>
        </w:rPr>
      </w:pPr>
      <w:bookmarkStart w:id="0" w:name="_Toc218409535"/>
      <w:bookmarkStart w:id="1" w:name="_Toc115148124"/>
      <w:bookmarkStart w:id="2" w:name="_Toc195434086"/>
    </w:p>
    <w:p>
      <w:pPr>
        <w:spacing w:beforeLines="50" w:afterLines="50" w:line="700" w:lineRule="exact"/>
        <w:jc w:val="center"/>
        <w:rPr>
          <w:rFonts w:ascii="隶书" w:hAnsi="宋体" w:eastAsia="隶书"/>
          <w:color w:val="000000"/>
          <w:sz w:val="48"/>
          <w:szCs w:val="48"/>
        </w:rPr>
      </w:pPr>
      <w:r>
        <w:rPr>
          <w:rFonts w:hint="eastAsia" w:ascii="隶书" w:hAnsi="宋体" w:eastAsia="隶书"/>
          <w:color w:val="000000"/>
          <w:sz w:val="48"/>
          <w:szCs w:val="48"/>
        </w:rPr>
        <w:t>桑浦山龙泉岩森林消防应急通道上山段（慈园路）工程</w:t>
      </w:r>
    </w:p>
    <w:p>
      <w:pPr>
        <w:spacing w:beforeLines="50" w:afterLines="50" w:line="540" w:lineRule="exact"/>
        <w:ind w:firstLine="1440" w:firstLineChars="200"/>
        <w:rPr>
          <w:rFonts w:ascii="仿宋_GB2312" w:hAnsi="宋体" w:eastAsia="仿宋_GB2312"/>
          <w:color w:val="000000"/>
          <w:sz w:val="72"/>
          <w:szCs w:val="72"/>
        </w:rPr>
      </w:pPr>
    </w:p>
    <w:p>
      <w:pPr>
        <w:spacing w:beforeLines="50" w:afterLines="50" w:line="540" w:lineRule="exact"/>
        <w:ind w:firstLine="1440" w:firstLineChars="200"/>
        <w:rPr>
          <w:rFonts w:ascii="仿宋_GB2312" w:hAnsi="宋体" w:eastAsia="仿宋_GB2312"/>
          <w:color w:val="000000"/>
          <w:sz w:val="72"/>
          <w:szCs w:val="72"/>
        </w:rPr>
      </w:pPr>
    </w:p>
    <w:p>
      <w:pPr>
        <w:spacing w:beforeLines="50" w:afterLines="50" w:line="540" w:lineRule="exact"/>
        <w:ind w:firstLine="1440" w:firstLineChars="200"/>
        <w:rPr>
          <w:rFonts w:ascii="仿宋_GB2312" w:hAnsi="宋体" w:eastAsia="仿宋_GB2312"/>
          <w:color w:val="000000"/>
          <w:sz w:val="72"/>
          <w:szCs w:val="72"/>
        </w:rPr>
      </w:pPr>
    </w:p>
    <w:p>
      <w:pPr>
        <w:spacing w:beforeLines="50" w:afterLines="50" w:line="540" w:lineRule="exact"/>
        <w:ind w:firstLine="1440" w:firstLineChars="200"/>
        <w:rPr>
          <w:rFonts w:ascii="仿宋_GB2312" w:hAnsi="宋体" w:eastAsia="仿宋_GB2312"/>
          <w:color w:val="000000"/>
          <w:sz w:val="72"/>
          <w:szCs w:val="72"/>
        </w:rPr>
      </w:pPr>
    </w:p>
    <w:p>
      <w:pPr>
        <w:spacing w:beforeLines="50" w:afterLines="50" w:line="540" w:lineRule="exact"/>
        <w:ind w:firstLine="1440" w:firstLineChars="200"/>
        <w:rPr>
          <w:rFonts w:ascii="隶书" w:hAnsi="宋体" w:eastAsia="隶书"/>
          <w:color w:val="000000"/>
          <w:sz w:val="72"/>
          <w:szCs w:val="72"/>
        </w:rPr>
      </w:pPr>
    </w:p>
    <w:p>
      <w:pPr>
        <w:spacing w:beforeLines="50" w:afterLines="50" w:line="360" w:lineRule="auto"/>
        <w:jc w:val="center"/>
        <w:rPr>
          <w:rFonts w:ascii="隶书" w:hAnsi="宋体" w:eastAsia="隶书"/>
          <w:color w:val="000000"/>
          <w:sz w:val="72"/>
          <w:szCs w:val="72"/>
        </w:rPr>
      </w:pPr>
      <w:r>
        <w:rPr>
          <w:rFonts w:hint="eastAsia" w:ascii="隶书" w:hAnsi="宋体" w:eastAsia="隶书"/>
          <w:color w:val="000000"/>
          <w:sz w:val="72"/>
          <w:szCs w:val="72"/>
        </w:rPr>
        <w:t>可行性研究报告</w:t>
      </w:r>
    </w:p>
    <w:p>
      <w:pPr>
        <w:spacing w:beforeLines="50" w:afterLines="50" w:line="540" w:lineRule="exact"/>
        <w:ind w:firstLine="720" w:firstLineChars="200"/>
        <w:rPr>
          <w:rFonts w:ascii="仿宋_GB2312" w:hAnsi="宋体" w:eastAsia="仿宋_GB2312"/>
          <w:color w:val="000000"/>
          <w:sz w:val="36"/>
          <w:szCs w:val="36"/>
        </w:rPr>
      </w:pPr>
    </w:p>
    <w:p>
      <w:pPr>
        <w:spacing w:beforeLines="50" w:afterLines="50" w:line="540" w:lineRule="exact"/>
        <w:ind w:firstLine="720" w:firstLineChars="200"/>
        <w:rPr>
          <w:rFonts w:ascii="仿宋_GB2312" w:hAnsi="宋体" w:eastAsia="仿宋_GB2312"/>
          <w:color w:val="000000"/>
          <w:sz w:val="36"/>
          <w:szCs w:val="36"/>
        </w:rPr>
      </w:pPr>
    </w:p>
    <w:p>
      <w:pPr>
        <w:spacing w:beforeLines="50" w:afterLines="50" w:line="540" w:lineRule="exact"/>
        <w:ind w:firstLine="720" w:firstLineChars="200"/>
        <w:rPr>
          <w:rFonts w:ascii="仿宋_GB2312" w:hAnsi="宋体" w:eastAsia="仿宋_GB2312"/>
          <w:color w:val="000000"/>
          <w:sz w:val="36"/>
          <w:szCs w:val="36"/>
        </w:rPr>
      </w:pPr>
    </w:p>
    <w:p>
      <w:pPr>
        <w:spacing w:beforeLines="50" w:afterLines="50" w:line="540" w:lineRule="exact"/>
        <w:ind w:firstLine="720" w:firstLineChars="200"/>
        <w:rPr>
          <w:rFonts w:ascii="仿宋_GB2312" w:hAnsi="宋体" w:eastAsia="仿宋_GB2312"/>
          <w:color w:val="000000"/>
          <w:sz w:val="36"/>
          <w:szCs w:val="36"/>
        </w:rPr>
      </w:pPr>
    </w:p>
    <w:p>
      <w:pPr>
        <w:spacing w:beforeLines="50" w:afterLines="50" w:line="540" w:lineRule="exact"/>
        <w:ind w:firstLine="720" w:firstLineChars="200"/>
        <w:rPr>
          <w:rFonts w:ascii="仿宋_GB2312" w:hAnsi="宋体" w:eastAsia="仿宋_GB2312"/>
          <w:color w:val="000000"/>
          <w:sz w:val="36"/>
          <w:szCs w:val="36"/>
        </w:rPr>
      </w:pPr>
    </w:p>
    <w:p>
      <w:pPr>
        <w:spacing w:beforeLines="50" w:afterLines="50" w:line="540" w:lineRule="exact"/>
        <w:rPr>
          <w:rFonts w:ascii="隶书" w:hAnsi="宋体" w:eastAsia="隶书"/>
          <w:color w:val="000000"/>
          <w:sz w:val="36"/>
          <w:szCs w:val="36"/>
        </w:rPr>
      </w:pPr>
    </w:p>
    <w:p>
      <w:pPr>
        <w:spacing w:beforeLines="50" w:afterLines="50" w:line="540" w:lineRule="exact"/>
        <w:ind w:firstLine="720" w:firstLineChars="200"/>
        <w:jc w:val="center"/>
        <w:rPr>
          <w:rFonts w:ascii="隶书" w:hAnsi="宋体" w:eastAsia="隶书"/>
          <w:color w:val="000000"/>
          <w:sz w:val="36"/>
          <w:szCs w:val="36"/>
        </w:rPr>
      </w:pPr>
      <w:r>
        <w:rPr>
          <w:rFonts w:hint="eastAsia" w:ascii="隶书" w:hAnsi="宋体" w:eastAsia="隶书"/>
          <w:color w:val="000000"/>
          <w:sz w:val="36"/>
          <w:szCs w:val="36"/>
        </w:rPr>
        <w:t>编制单位：</w:t>
      </w:r>
      <w:r>
        <w:rPr>
          <w:rFonts w:hint="eastAsia" w:ascii="隶书" w:hAnsi="宋体" w:eastAsia="隶书"/>
          <w:color w:val="000000"/>
          <w:sz w:val="36"/>
          <w:szCs w:val="36"/>
          <w:lang w:eastAsia="zh-CN"/>
        </w:rPr>
        <w:t>广东国建工程项目管理有限公司</w:t>
      </w:r>
    </w:p>
    <w:p>
      <w:pPr>
        <w:spacing w:beforeLines="50" w:afterLines="50" w:line="540" w:lineRule="exact"/>
        <w:rPr>
          <w:rFonts w:hint="eastAsia" w:ascii="隶书" w:hAnsi="宋体" w:eastAsia="隶书"/>
          <w:color w:val="000000"/>
          <w:sz w:val="36"/>
          <w:szCs w:val="36"/>
        </w:rPr>
      </w:pPr>
      <w:r>
        <w:rPr>
          <w:rFonts w:hint="eastAsia" w:ascii="隶书" w:hAnsi="宋体" w:eastAsia="隶书"/>
          <w:color w:val="000000"/>
          <w:sz w:val="36"/>
          <w:szCs w:val="36"/>
          <w:lang w:val="en-US" w:eastAsia="zh-CN"/>
        </w:rPr>
        <w:t xml:space="preserve">      </w:t>
      </w:r>
      <w:r>
        <w:rPr>
          <w:rFonts w:hint="eastAsia" w:ascii="隶书" w:hAnsi="宋体" w:eastAsia="隶书"/>
          <w:color w:val="000000"/>
          <w:sz w:val="36"/>
          <w:szCs w:val="36"/>
        </w:rPr>
        <w:t>编制时间：2016年9月</w:t>
      </w:r>
    </w:p>
    <w:p>
      <w:pPr>
        <w:spacing w:beforeLines="50" w:afterLines="50" w:line="540" w:lineRule="exact"/>
        <w:rPr>
          <w:rFonts w:hint="eastAsia" w:ascii="隶书" w:hAnsi="宋体" w:eastAsia="隶书"/>
          <w:color w:val="000000"/>
          <w:sz w:val="36"/>
          <w:szCs w:val="36"/>
        </w:rPr>
      </w:pPr>
    </w:p>
    <w:p>
      <w:pPr>
        <w:spacing w:beforeLines="50" w:afterLines="50" w:line="540" w:lineRule="exact"/>
        <w:rPr>
          <w:rFonts w:hint="eastAsia" w:ascii="隶书" w:hAnsi="宋体" w:eastAsia="隶书"/>
          <w:color w:val="000000"/>
          <w:sz w:val="36"/>
          <w:szCs w:val="36"/>
        </w:rPr>
      </w:pPr>
    </w:p>
    <w:p>
      <w:pPr>
        <w:spacing w:beforeLines="50" w:afterLines="50" w:line="540" w:lineRule="exact"/>
        <w:rPr>
          <w:rFonts w:hint="eastAsia" w:ascii="隶书" w:hAnsi="宋体" w:eastAsia="隶书"/>
          <w:color w:val="000000"/>
          <w:sz w:val="36"/>
          <w:szCs w:val="36"/>
        </w:rPr>
        <w:sectPr>
          <w:headerReference r:id="rId5" w:type="first"/>
          <w:headerReference r:id="rId3" w:type="default"/>
          <w:footerReference r:id="rId6" w:type="default"/>
          <w:headerReference r:id="rId4" w:type="even"/>
          <w:footerReference r:id="rId7" w:type="even"/>
          <w:pgSz w:w="11906" w:h="16838"/>
          <w:pgMar w:top="1440" w:right="1800" w:bottom="1440" w:left="1800" w:header="851" w:footer="840" w:gutter="0"/>
          <w:cols w:space="425" w:num="1"/>
          <w:titlePg/>
          <w:docGrid w:type="lines" w:linePitch="312" w:charSpace="0"/>
        </w:sectPr>
      </w:pPr>
    </w:p>
    <w:p>
      <w:pPr>
        <w:spacing w:beforeLines="50" w:afterLines="50" w:line="540" w:lineRule="exact"/>
        <w:jc w:val="center"/>
        <w:rPr>
          <w:rFonts w:hint="eastAsia" w:ascii="仿宋_GB2312" w:hAnsi="黑体" w:eastAsia="仿宋_GB2312"/>
          <w:b/>
          <w:color w:val="000000"/>
          <w:sz w:val="24"/>
        </w:rPr>
      </w:pPr>
      <w:r>
        <w:rPr>
          <w:rFonts w:hint="eastAsia" w:ascii="仿宋_GB2312" w:hAnsi="黑体" w:eastAsia="仿宋_GB2312"/>
          <w:b/>
          <w:color w:val="000000"/>
          <w:sz w:val="24"/>
        </w:rPr>
        <w:t>目  录</w:t>
      </w:r>
      <w:bookmarkEnd w:id="0"/>
    </w:p>
    <w:p>
      <w:pPr>
        <w:pStyle w:val="18"/>
        <w:rPr>
          <w:rFonts w:hint="eastAsia" w:ascii="仿宋_GB2312" w:eastAsia="仿宋_GB2312" w:hAnsiTheme="minorHAnsi" w:cstheme="minorBidi"/>
          <w:sz w:val="21"/>
          <w:szCs w:val="22"/>
        </w:rPr>
      </w:pPr>
      <w:r>
        <w:rPr>
          <w:rFonts w:hint="eastAsia" w:ascii="仿宋_GB2312" w:hAnsi="黑体" w:eastAsia="仿宋_GB2312"/>
          <w:color w:val="FF0000"/>
        </w:rPr>
        <w:fldChar w:fldCharType="begin"/>
      </w:r>
      <w:r>
        <w:rPr>
          <w:rFonts w:hint="eastAsia" w:ascii="仿宋_GB2312" w:hAnsi="黑体" w:eastAsia="仿宋_GB2312"/>
          <w:color w:val="FF0000"/>
        </w:rPr>
        <w:instrText xml:space="preserve"> TOC \o "1-2" \h \z \u </w:instrText>
      </w:r>
      <w:r>
        <w:rPr>
          <w:rFonts w:hint="eastAsia" w:ascii="仿宋_GB2312" w:hAnsi="黑体" w:eastAsia="仿宋_GB2312"/>
          <w:color w:val="FF0000"/>
        </w:rPr>
        <w:fldChar w:fldCharType="separate"/>
      </w:r>
      <w:r>
        <w:fldChar w:fldCharType="begin"/>
      </w:r>
      <w:r>
        <w:instrText xml:space="preserve"> HYPERLINK \l "_Toc464510795" </w:instrText>
      </w:r>
      <w:r>
        <w:fldChar w:fldCharType="separate"/>
      </w:r>
      <w:r>
        <w:rPr>
          <w:rStyle w:val="27"/>
          <w:rFonts w:hint="eastAsia" w:ascii="仿宋_GB2312" w:eastAsia="仿宋_GB2312"/>
        </w:rPr>
        <w:t xml:space="preserve">第一章 </w:t>
      </w:r>
      <w:r>
        <w:rPr>
          <w:rStyle w:val="27"/>
          <w:rFonts w:hint="eastAsia" w:ascii="仿宋_GB2312" w:eastAsia="仿宋_GB2312"/>
          <w:lang w:val="en-US" w:eastAsia="zh-CN"/>
        </w:rPr>
        <w:t xml:space="preserve"> </w:t>
      </w:r>
      <w:r>
        <w:rPr>
          <w:rStyle w:val="27"/>
          <w:rFonts w:hint="eastAsia" w:ascii="仿宋_GB2312" w:eastAsia="仿宋_GB2312"/>
        </w:rPr>
        <w:t>总论</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_Toc464510795 \h </w:instrText>
      </w:r>
      <w:r>
        <w:rPr>
          <w:rFonts w:hint="eastAsia" w:ascii="仿宋_GB2312" w:eastAsia="仿宋_GB2312"/>
        </w:rPr>
        <w:fldChar w:fldCharType="separate"/>
      </w:r>
      <w:r>
        <w:rPr>
          <w:rFonts w:hint="eastAsia" w:ascii="仿宋_GB2312" w:eastAsia="仿宋_GB2312"/>
        </w:rPr>
        <w:t>1</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"_Toc464510796" </w:instrText>
      </w:r>
      <w:r>
        <w:fldChar w:fldCharType="separate"/>
      </w:r>
      <w:r>
        <w:rPr>
          <w:rStyle w:val="27"/>
          <w:rFonts w:hint="eastAsia" w:ascii="仿宋_GB2312" w:eastAsia="仿宋_GB2312"/>
        </w:rPr>
        <w:t>1.1 项目背景</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_Toc464510796 \h </w:instrText>
      </w:r>
      <w:r>
        <w:rPr>
          <w:rFonts w:hint="eastAsia" w:ascii="仿宋_GB2312" w:eastAsia="仿宋_GB2312"/>
        </w:rPr>
        <w:fldChar w:fldCharType="separate"/>
      </w:r>
      <w:r>
        <w:rPr>
          <w:rFonts w:hint="eastAsia" w:ascii="仿宋_GB2312" w:eastAsia="仿宋_GB2312"/>
        </w:rPr>
        <w:t>1</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"_Toc464510797" </w:instrText>
      </w:r>
      <w:r>
        <w:fldChar w:fldCharType="separate"/>
      </w:r>
      <w:r>
        <w:rPr>
          <w:rStyle w:val="27"/>
          <w:rFonts w:hint="eastAsia" w:ascii="仿宋_GB2312" w:eastAsia="仿宋_GB2312"/>
        </w:rPr>
        <w:t>1.2 项目概况</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_Toc464510797 \h </w:instrText>
      </w:r>
      <w:r>
        <w:rPr>
          <w:rFonts w:hint="eastAsia" w:ascii="仿宋_GB2312" w:eastAsia="仿宋_GB2312"/>
        </w:rPr>
        <w:fldChar w:fldCharType="separate"/>
      </w:r>
      <w:r>
        <w:rPr>
          <w:rFonts w:hint="eastAsia" w:ascii="仿宋_GB2312" w:eastAsia="仿宋_GB2312"/>
        </w:rPr>
        <w:t>2</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"_Toc464510798" </w:instrText>
      </w:r>
      <w:r>
        <w:fldChar w:fldCharType="separate"/>
      </w:r>
      <w:r>
        <w:rPr>
          <w:rStyle w:val="27"/>
          <w:rFonts w:hint="eastAsia" w:ascii="仿宋_GB2312" w:eastAsia="仿宋_GB2312"/>
        </w:rPr>
        <w:t>1.3 结论与建议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_Toc464510798 \h </w:instrText>
      </w:r>
      <w:r>
        <w:rPr>
          <w:rFonts w:hint="eastAsia" w:ascii="仿宋_GB2312" w:eastAsia="仿宋_GB2312"/>
        </w:rPr>
        <w:fldChar w:fldCharType="separate"/>
      </w:r>
      <w:r>
        <w:rPr>
          <w:rFonts w:hint="eastAsia" w:ascii="仿宋_GB2312" w:eastAsia="仿宋_GB2312"/>
        </w:rPr>
        <w:t>3</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"_Toc464510799" </w:instrText>
      </w:r>
      <w:r>
        <w:fldChar w:fldCharType="separate"/>
      </w:r>
      <w:r>
        <w:rPr>
          <w:rStyle w:val="27"/>
          <w:rFonts w:hint="eastAsia" w:ascii="仿宋_GB2312" w:eastAsia="仿宋_GB2312"/>
        </w:rPr>
        <w:t xml:space="preserve">第二章 </w:t>
      </w:r>
      <w:r>
        <w:rPr>
          <w:rStyle w:val="27"/>
          <w:rFonts w:hint="eastAsia" w:ascii="仿宋_GB2312" w:eastAsia="仿宋_GB2312"/>
          <w:lang w:val="en-US" w:eastAsia="zh-CN"/>
        </w:rPr>
        <w:t xml:space="preserve"> </w:t>
      </w:r>
      <w:r>
        <w:rPr>
          <w:rStyle w:val="27"/>
          <w:rFonts w:hint="eastAsia" w:ascii="仿宋_GB2312" w:eastAsia="仿宋_GB2312"/>
        </w:rPr>
        <w:t>项目建设背景和必要性</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_Toc464510799 \h </w:instrText>
      </w:r>
      <w:r>
        <w:rPr>
          <w:rFonts w:hint="eastAsia" w:ascii="仿宋_GB2312" w:eastAsia="仿宋_GB2312"/>
        </w:rPr>
        <w:fldChar w:fldCharType="separate"/>
      </w:r>
      <w:r>
        <w:rPr>
          <w:rFonts w:hint="eastAsia" w:ascii="仿宋_GB2312" w:eastAsia="仿宋_GB2312"/>
        </w:rPr>
        <w:t>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"_Toc464510800" </w:instrText>
      </w:r>
      <w:r>
        <w:fldChar w:fldCharType="separate"/>
      </w:r>
      <w:r>
        <w:rPr>
          <w:rStyle w:val="27"/>
          <w:rFonts w:hint="eastAsia" w:ascii="仿宋_GB2312" w:eastAsia="仿宋_GB2312"/>
        </w:rPr>
        <w:t>2.1 建设背景</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_Toc464510800 \h </w:instrText>
      </w:r>
      <w:r>
        <w:rPr>
          <w:rFonts w:hint="eastAsia" w:ascii="仿宋_GB2312" w:eastAsia="仿宋_GB2312"/>
        </w:rPr>
        <w:fldChar w:fldCharType="separate"/>
      </w:r>
      <w:r>
        <w:rPr>
          <w:rFonts w:hint="eastAsia" w:ascii="仿宋_GB2312" w:eastAsia="仿宋_GB2312"/>
        </w:rPr>
        <w:t>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"_Toc464510801" </w:instrText>
      </w:r>
      <w:r>
        <w:fldChar w:fldCharType="separate"/>
      </w:r>
      <w:r>
        <w:rPr>
          <w:rStyle w:val="27"/>
          <w:rFonts w:hint="eastAsia" w:ascii="仿宋_GB2312" w:eastAsia="仿宋_GB2312"/>
        </w:rPr>
        <w:t>2.2 建设必要性</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_Toc464510801 \h </w:instrText>
      </w:r>
      <w:r>
        <w:rPr>
          <w:rFonts w:hint="eastAsia" w:ascii="仿宋_GB2312" w:eastAsia="仿宋_GB2312"/>
        </w:rPr>
        <w:fldChar w:fldCharType="separate"/>
      </w:r>
      <w:r>
        <w:rPr>
          <w:rFonts w:hint="eastAsia" w:ascii="仿宋_GB2312" w:eastAsia="仿宋_GB2312"/>
        </w:rPr>
        <w:t>6</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"_Toc464510802" </w:instrText>
      </w:r>
      <w:r>
        <w:fldChar w:fldCharType="separate"/>
      </w:r>
      <w:r>
        <w:rPr>
          <w:rStyle w:val="27"/>
          <w:rFonts w:hint="eastAsia" w:ascii="仿宋_GB2312" w:eastAsia="仿宋_GB2312"/>
        </w:rPr>
        <w:t>2.3 项目交通需求分析</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_Toc464510802 \h </w:instrText>
      </w:r>
      <w:r>
        <w:rPr>
          <w:rFonts w:hint="eastAsia" w:ascii="仿宋_GB2312" w:eastAsia="仿宋_GB2312"/>
        </w:rPr>
        <w:fldChar w:fldCharType="separate"/>
      </w:r>
      <w:r>
        <w:rPr>
          <w:rFonts w:hint="eastAsia" w:ascii="仿宋_GB2312" w:eastAsia="仿宋_GB2312"/>
        </w:rPr>
        <w:t>10</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"_Toc464510803" </w:instrText>
      </w:r>
      <w:r>
        <w:fldChar w:fldCharType="separate"/>
      </w:r>
      <w:r>
        <w:rPr>
          <w:rStyle w:val="27"/>
          <w:rFonts w:hint="eastAsia" w:ascii="仿宋_GB2312" w:eastAsia="仿宋_GB2312"/>
        </w:rPr>
        <w:t xml:space="preserve">第三章 </w:t>
      </w:r>
      <w:r>
        <w:rPr>
          <w:rStyle w:val="27"/>
          <w:rFonts w:hint="eastAsia" w:ascii="仿宋_GB2312" w:eastAsia="仿宋_GB2312"/>
          <w:lang w:val="en-US" w:eastAsia="zh-CN"/>
        </w:rPr>
        <w:t xml:space="preserve"> </w:t>
      </w:r>
      <w:r>
        <w:rPr>
          <w:rStyle w:val="27"/>
          <w:rFonts w:hint="eastAsia" w:ascii="仿宋_GB2312" w:eastAsia="仿宋_GB2312"/>
        </w:rPr>
        <w:t>项目选址</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_Toc464510803 \h </w:instrText>
      </w:r>
      <w:r>
        <w:rPr>
          <w:rFonts w:hint="eastAsia" w:ascii="仿宋_GB2312" w:eastAsia="仿宋_GB2312"/>
        </w:rPr>
        <w:fldChar w:fldCharType="separate"/>
      </w:r>
      <w:r>
        <w:rPr>
          <w:rFonts w:hint="eastAsia" w:ascii="仿宋_GB2312" w:eastAsia="仿宋_GB2312"/>
        </w:rPr>
        <w:t>11</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"_Toc464510804" </w:instrText>
      </w:r>
      <w:r>
        <w:fldChar w:fldCharType="separate"/>
      </w:r>
      <w:r>
        <w:rPr>
          <w:rStyle w:val="27"/>
          <w:rFonts w:hint="eastAsia" w:ascii="仿宋_GB2312" w:eastAsia="仿宋_GB2312"/>
        </w:rPr>
        <w:t>3.1 场址现状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_Toc464510804 \h </w:instrText>
      </w:r>
      <w:r>
        <w:rPr>
          <w:rFonts w:hint="eastAsia" w:ascii="仿宋_GB2312" w:eastAsia="仿宋_GB2312"/>
        </w:rPr>
        <w:fldChar w:fldCharType="separate"/>
      </w:r>
      <w:r>
        <w:rPr>
          <w:rFonts w:hint="eastAsia" w:ascii="仿宋_GB2312" w:eastAsia="仿宋_GB2312"/>
        </w:rPr>
        <w:t>11</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"_Toc464510805" </w:instrText>
      </w:r>
      <w:r>
        <w:fldChar w:fldCharType="separate"/>
      </w:r>
      <w:r>
        <w:rPr>
          <w:rStyle w:val="27"/>
          <w:rFonts w:hint="eastAsia" w:ascii="仿宋_GB2312" w:eastAsia="仿宋_GB2312"/>
        </w:rPr>
        <w:t>3.2 建设条件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_Toc464510805 \h </w:instrText>
      </w:r>
      <w:r>
        <w:rPr>
          <w:rFonts w:hint="eastAsia" w:ascii="仿宋_GB2312" w:eastAsia="仿宋_GB2312"/>
        </w:rPr>
        <w:fldChar w:fldCharType="separate"/>
      </w:r>
      <w:r>
        <w:rPr>
          <w:rFonts w:hint="eastAsia" w:ascii="仿宋_GB2312" w:eastAsia="仿宋_GB2312"/>
        </w:rPr>
        <w:t>12</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"_Toc464510806" </w:instrText>
      </w:r>
      <w:r>
        <w:fldChar w:fldCharType="separate"/>
      </w:r>
      <w:r>
        <w:rPr>
          <w:rStyle w:val="27"/>
          <w:rFonts w:hint="eastAsia" w:ascii="仿宋_GB2312" w:eastAsia="仿宋_GB2312"/>
        </w:rPr>
        <w:t>第四章  建设规模、技术标准与设计方案</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_Toc464510806 \h </w:instrText>
      </w:r>
      <w:r>
        <w:rPr>
          <w:rFonts w:hint="eastAsia" w:ascii="仿宋_GB2312" w:eastAsia="仿宋_GB2312"/>
        </w:rPr>
        <w:fldChar w:fldCharType="separate"/>
      </w:r>
      <w:r>
        <w:rPr>
          <w:rFonts w:hint="eastAsia" w:ascii="仿宋_GB2312" w:eastAsia="仿宋_GB2312"/>
        </w:rPr>
        <w:t>14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"_Toc464510807" </w:instrText>
      </w:r>
      <w:r>
        <w:fldChar w:fldCharType="separate"/>
      </w:r>
      <w:r>
        <w:rPr>
          <w:rStyle w:val="27"/>
          <w:rFonts w:hint="eastAsia" w:ascii="仿宋_GB2312" w:eastAsia="仿宋_GB2312"/>
        </w:rPr>
        <w:t>4.1 规范依据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_Toc464510807 \h </w:instrText>
      </w:r>
      <w:r>
        <w:rPr>
          <w:rFonts w:hint="eastAsia" w:ascii="仿宋_GB2312" w:eastAsia="仿宋_GB2312"/>
        </w:rPr>
        <w:fldChar w:fldCharType="separate"/>
      </w:r>
      <w:r>
        <w:rPr>
          <w:rFonts w:hint="eastAsia" w:ascii="仿宋_GB2312" w:eastAsia="仿宋_GB2312"/>
        </w:rPr>
        <w:t>14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"_Toc464510808" </w:instrText>
      </w:r>
      <w:r>
        <w:fldChar w:fldCharType="separate"/>
      </w:r>
      <w:r>
        <w:rPr>
          <w:rStyle w:val="27"/>
          <w:rFonts w:hint="eastAsia" w:ascii="仿宋_GB2312" w:eastAsia="仿宋_GB2312"/>
        </w:rPr>
        <w:t>4.2 建设规模</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_Toc464510808 \h </w:instrText>
      </w:r>
      <w:r>
        <w:rPr>
          <w:rFonts w:hint="eastAsia" w:ascii="仿宋_GB2312" w:eastAsia="仿宋_GB2312"/>
        </w:rPr>
        <w:fldChar w:fldCharType="separate"/>
      </w:r>
      <w:r>
        <w:rPr>
          <w:rFonts w:hint="eastAsia" w:ascii="仿宋_GB2312" w:eastAsia="仿宋_GB2312"/>
        </w:rPr>
        <w:t>14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"_Toc464510809" </w:instrText>
      </w:r>
      <w:r>
        <w:fldChar w:fldCharType="separate"/>
      </w:r>
      <w:r>
        <w:rPr>
          <w:rStyle w:val="27"/>
          <w:rFonts w:hint="eastAsia" w:ascii="仿宋_GB2312" w:eastAsia="仿宋_GB2312"/>
        </w:rPr>
        <w:t>4.3 技术标准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_Toc464510809 \h </w:instrText>
      </w:r>
      <w:r>
        <w:rPr>
          <w:rFonts w:hint="eastAsia" w:ascii="仿宋_GB2312" w:eastAsia="仿宋_GB2312"/>
        </w:rPr>
        <w:fldChar w:fldCharType="separate"/>
      </w:r>
      <w:r>
        <w:rPr>
          <w:rFonts w:hint="eastAsia" w:ascii="仿宋_GB2312" w:eastAsia="仿宋_GB2312"/>
        </w:rPr>
        <w:t>15</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"_Toc464510810" </w:instrText>
      </w:r>
      <w:r>
        <w:fldChar w:fldCharType="separate"/>
      </w:r>
      <w:r>
        <w:rPr>
          <w:rStyle w:val="27"/>
          <w:rFonts w:hint="eastAsia" w:ascii="仿宋_GB2312" w:eastAsia="仿宋_GB2312"/>
        </w:rPr>
        <w:t>4.4 道路工程</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_Toc464510810 \h </w:instrText>
      </w:r>
      <w:r>
        <w:rPr>
          <w:rFonts w:hint="eastAsia" w:ascii="仿宋_GB2312" w:eastAsia="仿宋_GB2312"/>
        </w:rPr>
        <w:fldChar w:fldCharType="separate"/>
      </w:r>
      <w:r>
        <w:rPr>
          <w:rFonts w:hint="eastAsia" w:ascii="仿宋_GB2312" w:eastAsia="仿宋_GB2312"/>
        </w:rPr>
        <w:t>15</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"_Toc464510811" </w:instrText>
      </w:r>
      <w:r>
        <w:fldChar w:fldCharType="separate"/>
      </w:r>
      <w:r>
        <w:rPr>
          <w:rStyle w:val="27"/>
          <w:rFonts w:hint="eastAsia" w:ascii="仿宋_GB2312" w:eastAsia="仿宋_GB2312"/>
        </w:rPr>
        <w:t>4.5 排水管道工程</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_Toc464510811 \h </w:instrText>
      </w:r>
      <w:r>
        <w:rPr>
          <w:rFonts w:hint="eastAsia" w:ascii="仿宋_GB2312" w:eastAsia="仿宋_GB2312"/>
        </w:rPr>
        <w:fldChar w:fldCharType="separate"/>
      </w:r>
      <w:r>
        <w:rPr>
          <w:rFonts w:hint="eastAsia" w:ascii="仿宋_GB2312" w:eastAsia="仿宋_GB2312"/>
        </w:rPr>
        <w:t>22</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"_Toc464510812" </w:instrText>
      </w:r>
      <w:r>
        <w:fldChar w:fldCharType="separate"/>
      </w:r>
      <w:r>
        <w:rPr>
          <w:rStyle w:val="27"/>
          <w:rFonts w:hint="eastAsia" w:ascii="仿宋_GB2312" w:eastAsia="仿宋_GB2312"/>
        </w:rPr>
        <w:t>4.6</w:t>
      </w:r>
      <w:r>
        <w:rPr>
          <w:rStyle w:val="27"/>
          <w:rFonts w:hint="eastAsia" w:ascii="仿宋_GB2312" w:eastAsia="仿宋_GB2312"/>
          <w:lang w:val="en-US" w:eastAsia="zh-CN"/>
        </w:rPr>
        <w:t xml:space="preserve"> </w:t>
      </w:r>
      <w:r>
        <w:rPr>
          <w:rStyle w:val="27"/>
          <w:rFonts w:hint="eastAsia" w:ascii="仿宋_GB2312" w:eastAsia="仿宋_GB2312"/>
        </w:rPr>
        <w:t>道路照明工程</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_Toc464510812 \h </w:instrText>
      </w:r>
      <w:r>
        <w:rPr>
          <w:rFonts w:hint="eastAsia" w:ascii="仿宋_GB2312" w:eastAsia="仿宋_GB2312"/>
        </w:rPr>
        <w:fldChar w:fldCharType="separate"/>
      </w:r>
      <w:r>
        <w:rPr>
          <w:rFonts w:hint="eastAsia" w:ascii="仿宋_GB2312" w:eastAsia="仿宋_GB2312"/>
        </w:rPr>
        <w:t>25</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"_Toc464510813" </w:instrText>
      </w:r>
      <w:r>
        <w:fldChar w:fldCharType="separate"/>
      </w:r>
      <w:r>
        <w:rPr>
          <w:rStyle w:val="27"/>
          <w:rFonts w:hint="eastAsia" w:ascii="仿宋_GB2312" w:eastAsia="仿宋_GB2312"/>
        </w:rPr>
        <w:t>4.6 建设内容汇总</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_Toc464510813 \h </w:instrText>
      </w:r>
      <w:r>
        <w:rPr>
          <w:rFonts w:hint="eastAsia" w:ascii="仿宋_GB2312" w:eastAsia="仿宋_GB2312"/>
        </w:rPr>
        <w:fldChar w:fldCharType="separate"/>
      </w:r>
      <w:r>
        <w:rPr>
          <w:rFonts w:hint="eastAsia" w:ascii="仿宋_GB2312" w:eastAsia="仿宋_GB2312"/>
        </w:rPr>
        <w:t>27</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"_Toc464510814" </w:instrText>
      </w:r>
      <w:r>
        <w:fldChar w:fldCharType="separate"/>
      </w:r>
      <w:r>
        <w:rPr>
          <w:rStyle w:val="27"/>
          <w:rFonts w:hint="eastAsia" w:ascii="仿宋_GB2312" w:eastAsia="仿宋_GB2312"/>
        </w:rPr>
        <w:t>第五章  环境评价</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_Toc464510814 \h </w:instrText>
      </w:r>
      <w:r>
        <w:rPr>
          <w:rFonts w:hint="eastAsia" w:ascii="仿宋_GB2312" w:eastAsia="仿宋_GB2312"/>
        </w:rPr>
        <w:fldChar w:fldCharType="separate"/>
      </w:r>
      <w:r>
        <w:rPr>
          <w:rFonts w:hint="eastAsia" w:ascii="仿宋_GB2312" w:eastAsia="仿宋_GB2312"/>
        </w:rPr>
        <w:t>29</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"_Toc464510815" </w:instrText>
      </w:r>
      <w:r>
        <w:fldChar w:fldCharType="separate"/>
      </w:r>
      <w:r>
        <w:rPr>
          <w:rStyle w:val="27"/>
          <w:rFonts w:hint="eastAsia" w:ascii="仿宋_GB2312" w:eastAsia="仿宋_GB2312"/>
        </w:rPr>
        <w:t>5.1 建设项目环境现状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_Toc464510815 \h </w:instrText>
      </w:r>
      <w:r>
        <w:rPr>
          <w:rFonts w:hint="eastAsia" w:ascii="仿宋_GB2312" w:eastAsia="仿宋_GB2312"/>
        </w:rPr>
        <w:fldChar w:fldCharType="separate"/>
      </w:r>
      <w:r>
        <w:rPr>
          <w:rFonts w:hint="eastAsia" w:ascii="仿宋_GB2312" w:eastAsia="仿宋_GB2312"/>
        </w:rPr>
        <w:t>29</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"_Toc464510816" </w:instrText>
      </w:r>
      <w:r>
        <w:fldChar w:fldCharType="separate"/>
      </w:r>
      <w:r>
        <w:rPr>
          <w:rStyle w:val="27"/>
          <w:rFonts w:hint="eastAsia" w:ascii="仿宋_GB2312" w:eastAsia="仿宋_GB2312"/>
        </w:rPr>
        <w:t>5.2 项目</w:t>
      </w:r>
      <w:r>
        <w:rPr>
          <w:rStyle w:val="27"/>
          <w:rFonts w:hint="eastAsia" w:ascii="仿宋_GB2312" w:hAnsi="黑体" w:eastAsia="仿宋_GB2312"/>
        </w:rPr>
        <w:t>主要污染</w:t>
      </w:r>
      <w:r>
        <w:rPr>
          <w:rStyle w:val="27"/>
          <w:rFonts w:hint="eastAsia" w:ascii="仿宋_GB2312" w:eastAsia="仿宋_GB2312"/>
        </w:rPr>
        <w:t>源和污染物分析</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_Toc464510816 \h </w:instrText>
      </w:r>
      <w:r>
        <w:rPr>
          <w:rFonts w:hint="eastAsia" w:ascii="仿宋_GB2312" w:eastAsia="仿宋_GB2312"/>
        </w:rPr>
        <w:fldChar w:fldCharType="separate"/>
      </w:r>
      <w:r>
        <w:rPr>
          <w:rFonts w:hint="eastAsia" w:ascii="仿宋_GB2312" w:eastAsia="仿宋_GB2312"/>
        </w:rPr>
        <w:t>29</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"_Toc464510817" </w:instrText>
      </w:r>
      <w:r>
        <w:fldChar w:fldCharType="separate"/>
      </w:r>
      <w:r>
        <w:rPr>
          <w:rStyle w:val="27"/>
          <w:rFonts w:hint="eastAsia" w:ascii="仿宋_GB2312" w:eastAsia="仿宋_GB2312"/>
        </w:rPr>
        <w:t>5.3 项目</w:t>
      </w:r>
      <w:r>
        <w:rPr>
          <w:rStyle w:val="27"/>
          <w:rFonts w:hint="eastAsia" w:ascii="仿宋_GB2312" w:hAnsi="黑体" w:eastAsia="仿宋_GB2312"/>
        </w:rPr>
        <w:t>对生态环境影响的</w:t>
      </w:r>
      <w:r>
        <w:rPr>
          <w:rStyle w:val="27"/>
          <w:rFonts w:hint="eastAsia" w:ascii="仿宋_GB2312" w:eastAsia="仿宋_GB2312"/>
        </w:rPr>
        <w:t>分析</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_Toc464510817 \h </w:instrText>
      </w:r>
      <w:r>
        <w:rPr>
          <w:rFonts w:hint="eastAsia" w:ascii="仿宋_GB2312" w:eastAsia="仿宋_GB2312"/>
        </w:rPr>
        <w:fldChar w:fldCharType="separate"/>
      </w:r>
      <w:r>
        <w:rPr>
          <w:rFonts w:hint="eastAsia" w:ascii="仿宋_GB2312" w:eastAsia="仿宋_GB2312"/>
        </w:rPr>
        <w:t>29</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"_Toc464510818" </w:instrText>
      </w:r>
      <w:r>
        <w:fldChar w:fldCharType="separate"/>
      </w:r>
      <w:r>
        <w:rPr>
          <w:rStyle w:val="27"/>
          <w:rFonts w:hint="eastAsia" w:ascii="仿宋_GB2312" w:eastAsia="仿宋_GB2312"/>
        </w:rPr>
        <w:t>5.4 生态环境影响的防治措施</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_Toc464510818 \h </w:instrText>
      </w:r>
      <w:r>
        <w:rPr>
          <w:rFonts w:hint="eastAsia" w:ascii="仿宋_GB2312" w:eastAsia="仿宋_GB2312"/>
        </w:rPr>
        <w:fldChar w:fldCharType="separate"/>
      </w:r>
      <w:r>
        <w:rPr>
          <w:rFonts w:hint="eastAsia" w:ascii="仿宋_GB2312" w:eastAsia="仿宋_GB2312"/>
        </w:rPr>
        <w:t>31</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"_Toc464510819" </w:instrText>
      </w:r>
      <w:r>
        <w:fldChar w:fldCharType="separate"/>
      </w:r>
      <w:r>
        <w:rPr>
          <w:rStyle w:val="27"/>
          <w:rFonts w:hint="eastAsia" w:ascii="仿宋_GB2312" w:eastAsia="仿宋_GB2312"/>
        </w:rPr>
        <w:t>5.5 生态环境影响评价</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_Toc464510819 \h </w:instrText>
      </w:r>
      <w:r>
        <w:rPr>
          <w:rFonts w:hint="eastAsia" w:ascii="仿宋_GB2312" w:eastAsia="仿宋_GB2312"/>
        </w:rPr>
        <w:fldChar w:fldCharType="separate"/>
      </w:r>
      <w:r>
        <w:rPr>
          <w:rFonts w:hint="eastAsia" w:ascii="仿宋_GB2312" w:eastAsia="仿宋_GB2312"/>
        </w:rPr>
        <w:t>34</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"_Toc464510820" </w:instrText>
      </w:r>
      <w:r>
        <w:fldChar w:fldCharType="separate"/>
      </w:r>
      <w:r>
        <w:rPr>
          <w:rStyle w:val="27"/>
          <w:rFonts w:hint="eastAsia" w:ascii="仿宋_GB2312" w:eastAsia="仿宋_GB2312"/>
        </w:rPr>
        <w:t>第六章  节能分析</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_Toc464510820 \h </w:instrText>
      </w:r>
      <w:r>
        <w:rPr>
          <w:rFonts w:hint="eastAsia" w:ascii="仿宋_GB2312" w:eastAsia="仿宋_GB2312"/>
        </w:rPr>
        <w:fldChar w:fldCharType="separate"/>
      </w:r>
      <w:r>
        <w:rPr>
          <w:rFonts w:hint="eastAsia" w:ascii="仿宋_GB2312" w:eastAsia="仿宋_GB2312"/>
        </w:rPr>
        <w:t>37</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"_Toc464510821" </w:instrText>
      </w:r>
      <w:r>
        <w:fldChar w:fldCharType="separate"/>
      </w:r>
      <w:r>
        <w:rPr>
          <w:rStyle w:val="27"/>
          <w:rFonts w:hint="eastAsia" w:ascii="仿宋_GB2312" w:eastAsia="仿宋_GB2312"/>
        </w:rPr>
        <w:t>6.1 节能法律法规及其相关标准规范</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_Toc464510821 \h </w:instrText>
      </w:r>
      <w:r>
        <w:rPr>
          <w:rFonts w:hint="eastAsia" w:ascii="仿宋_GB2312" w:eastAsia="仿宋_GB2312"/>
        </w:rPr>
        <w:fldChar w:fldCharType="separate"/>
      </w:r>
      <w:r>
        <w:rPr>
          <w:rFonts w:hint="eastAsia" w:ascii="仿宋_GB2312" w:eastAsia="仿宋_GB2312"/>
        </w:rPr>
        <w:t>37</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"_Toc464510822" </w:instrText>
      </w:r>
      <w:r>
        <w:fldChar w:fldCharType="separate"/>
      </w:r>
      <w:r>
        <w:rPr>
          <w:rStyle w:val="27"/>
          <w:rFonts w:hint="eastAsia" w:ascii="仿宋_GB2312" w:eastAsia="仿宋_GB2312"/>
        </w:rPr>
        <w:t>6.2 项目运营能效指标分析</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_Toc464510822 \h </w:instrText>
      </w:r>
      <w:r>
        <w:rPr>
          <w:rFonts w:hint="eastAsia" w:ascii="仿宋_GB2312" w:eastAsia="仿宋_GB2312"/>
        </w:rPr>
        <w:fldChar w:fldCharType="separate"/>
      </w:r>
      <w:r>
        <w:rPr>
          <w:rFonts w:hint="eastAsia" w:ascii="仿宋_GB2312" w:eastAsia="仿宋_GB2312"/>
        </w:rPr>
        <w:t>37</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"_Toc464510823" </w:instrText>
      </w:r>
      <w:r>
        <w:fldChar w:fldCharType="separate"/>
      </w:r>
      <w:r>
        <w:rPr>
          <w:rStyle w:val="27"/>
          <w:rFonts w:hint="eastAsia" w:ascii="仿宋_GB2312" w:eastAsia="仿宋_GB2312"/>
        </w:rPr>
        <w:t>6.3 道路燃油消耗影响因素</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_Toc464510823 \h </w:instrText>
      </w:r>
      <w:r>
        <w:rPr>
          <w:rFonts w:hint="eastAsia" w:ascii="仿宋_GB2312" w:eastAsia="仿宋_GB2312"/>
        </w:rPr>
        <w:fldChar w:fldCharType="separate"/>
      </w:r>
      <w:r>
        <w:rPr>
          <w:rFonts w:hint="eastAsia" w:ascii="仿宋_GB2312" w:eastAsia="仿宋_GB2312"/>
        </w:rPr>
        <w:t>39</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"_Toc464510824" </w:instrText>
      </w:r>
      <w:r>
        <w:fldChar w:fldCharType="separate"/>
      </w:r>
      <w:r>
        <w:rPr>
          <w:rStyle w:val="27"/>
          <w:rFonts w:hint="eastAsia" w:ascii="仿宋_GB2312" w:eastAsia="仿宋_GB2312"/>
        </w:rPr>
        <w:t>6.4 项目施工和运营期间的节能措施</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_Toc464510824 \h </w:instrText>
      </w:r>
      <w:r>
        <w:rPr>
          <w:rFonts w:hint="eastAsia" w:ascii="仿宋_GB2312" w:eastAsia="仿宋_GB2312"/>
        </w:rPr>
        <w:fldChar w:fldCharType="separate"/>
      </w:r>
      <w:r>
        <w:rPr>
          <w:rFonts w:hint="eastAsia" w:ascii="仿宋_GB2312" w:eastAsia="仿宋_GB2312"/>
        </w:rPr>
        <w:t>41</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"_Toc464510825" </w:instrText>
      </w:r>
      <w:r>
        <w:fldChar w:fldCharType="separate"/>
      </w:r>
      <w:r>
        <w:rPr>
          <w:rStyle w:val="27"/>
          <w:rFonts w:hint="eastAsia" w:ascii="仿宋_GB2312" w:eastAsia="仿宋_GB2312"/>
        </w:rPr>
        <w:t>第七章  安全措施</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_Toc464510825 \h </w:instrText>
      </w:r>
      <w:r>
        <w:rPr>
          <w:rFonts w:hint="eastAsia" w:ascii="仿宋_GB2312" w:eastAsia="仿宋_GB2312"/>
        </w:rPr>
        <w:fldChar w:fldCharType="separate"/>
      </w:r>
      <w:r>
        <w:rPr>
          <w:rFonts w:hint="eastAsia" w:ascii="仿宋_GB2312" w:eastAsia="仿宋_GB2312"/>
        </w:rPr>
        <w:t>45</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"_Toc464510826" </w:instrText>
      </w:r>
      <w:r>
        <w:fldChar w:fldCharType="separate"/>
      </w:r>
      <w:r>
        <w:rPr>
          <w:rStyle w:val="27"/>
          <w:rFonts w:hint="eastAsia" w:ascii="仿宋_GB2312" w:eastAsia="仿宋_GB2312"/>
        </w:rPr>
        <w:t>7.1 道路交通安全技术措施</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_Toc464510826 \h </w:instrText>
      </w:r>
      <w:r>
        <w:rPr>
          <w:rFonts w:hint="eastAsia" w:ascii="仿宋_GB2312" w:eastAsia="仿宋_GB2312"/>
        </w:rPr>
        <w:fldChar w:fldCharType="separate"/>
      </w:r>
      <w:r>
        <w:rPr>
          <w:rFonts w:hint="eastAsia" w:ascii="仿宋_GB2312" w:eastAsia="仿宋_GB2312"/>
        </w:rPr>
        <w:t>45</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"_Toc464510827" </w:instrText>
      </w:r>
      <w:r>
        <w:fldChar w:fldCharType="separate"/>
      </w:r>
      <w:r>
        <w:rPr>
          <w:rStyle w:val="27"/>
          <w:rFonts w:hint="eastAsia" w:ascii="仿宋_GB2312" w:eastAsia="仿宋_GB2312"/>
        </w:rPr>
        <w:t>7.2 道路交通安全管理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_Toc464510827 \h </w:instrText>
      </w:r>
      <w:r>
        <w:rPr>
          <w:rFonts w:hint="eastAsia" w:ascii="仿宋_GB2312" w:eastAsia="仿宋_GB2312"/>
        </w:rPr>
        <w:fldChar w:fldCharType="separate"/>
      </w:r>
      <w:r>
        <w:rPr>
          <w:rFonts w:hint="eastAsia" w:ascii="仿宋_GB2312" w:eastAsia="仿宋_GB2312"/>
        </w:rPr>
        <w:t>47</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"_Toc464510828" </w:instrText>
      </w:r>
      <w:r>
        <w:fldChar w:fldCharType="separate"/>
      </w:r>
      <w:r>
        <w:rPr>
          <w:rStyle w:val="27"/>
          <w:rFonts w:hint="eastAsia" w:ascii="仿宋_GB2312" w:eastAsia="仿宋_GB2312"/>
        </w:rPr>
        <w:t xml:space="preserve">第八章 </w:t>
      </w:r>
      <w:r>
        <w:rPr>
          <w:rStyle w:val="27"/>
          <w:rFonts w:hint="eastAsia" w:ascii="仿宋_GB2312" w:eastAsia="仿宋_GB2312"/>
          <w:lang w:val="en-US" w:eastAsia="zh-CN"/>
        </w:rPr>
        <w:t xml:space="preserve"> </w:t>
      </w:r>
      <w:r>
        <w:rPr>
          <w:rStyle w:val="27"/>
          <w:rFonts w:hint="eastAsia" w:ascii="仿宋_GB2312" w:eastAsia="仿宋_GB2312"/>
        </w:rPr>
        <w:t>项目组织机构和管理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_Toc464510828 \h </w:instrText>
      </w:r>
      <w:r>
        <w:rPr>
          <w:rFonts w:hint="eastAsia" w:ascii="仿宋_GB2312" w:eastAsia="仿宋_GB2312"/>
        </w:rPr>
        <w:fldChar w:fldCharType="separate"/>
      </w:r>
      <w:r>
        <w:rPr>
          <w:rFonts w:hint="eastAsia" w:ascii="仿宋_GB2312" w:eastAsia="仿宋_GB2312"/>
        </w:rPr>
        <w:t>48</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"_Toc464510829" </w:instrText>
      </w:r>
      <w:r>
        <w:fldChar w:fldCharType="separate"/>
      </w:r>
      <w:r>
        <w:rPr>
          <w:rStyle w:val="27"/>
          <w:rFonts w:hint="eastAsia" w:ascii="仿宋_GB2312" w:eastAsia="仿宋_GB2312"/>
        </w:rPr>
        <w:t>8.1 组织机构</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_Toc464510829 \h </w:instrText>
      </w:r>
      <w:r>
        <w:rPr>
          <w:rFonts w:hint="eastAsia" w:ascii="仿宋_GB2312" w:eastAsia="仿宋_GB2312"/>
        </w:rPr>
        <w:fldChar w:fldCharType="separate"/>
      </w:r>
      <w:r>
        <w:rPr>
          <w:rFonts w:hint="eastAsia" w:ascii="仿宋_GB2312" w:eastAsia="仿宋_GB2312"/>
        </w:rPr>
        <w:t>48</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"_Toc464510830" </w:instrText>
      </w:r>
      <w:r>
        <w:fldChar w:fldCharType="separate"/>
      </w:r>
      <w:r>
        <w:rPr>
          <w:rStyle w:val="27"/>
          <w:rFonts w:hint="eastAsia" w:ascii="仿宋_GB2312" w:eastAsia="仿宋_GB2312"/>
        </w:rPr>
        <w:t>8.2 人力资源配置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_Toc464510830 \h </w:instrText>
      </w:r>
      <w:r>
        <w:rPr>
          <w:rFonts w:hint="eastAsia" w:ascii="仿宋_GB2312" w:eastAsia="仿宋_GB2312"/>
        </w:rPr>
        <w:fldChar w:fldCharType="separate"/>
      </w:r>
      <w:r>
        <w:rPr>
          <w:rFonts w:hint="eastAsia" w:ascii="仿宋_GB2312" w:eastAsia="仿宋_GB2312"/>
        </w:rPr>
        <w:t>48</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"_Toc464510831" </w:instrText>
      </w:r>
      <w:r>
        <w:fldChar w:fldCharType="separate"/>
      </w:r>
      <w:r>
        <w:rPr>
          <w:rStyle w:val="27"/>
          <w:rFonts w:hint="eastAsia" w:ascii="仿宋_GB2312" w:eastAsia="仿宋_GB2312"/>
        </w:rPr>
        <w:t>第九章  建设进度计划与招投标</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_Toc464510831 \h </w:instrText>
      </w:r>
      <w:r>
        <w:rPr>
          <w:rFonts w:hint="eastAsia" w:ascii="仿宋_GB2312" w:eastAsia="仿宋_GB2312"/>
        </w:rPr>
        <w:fldChar w:fldCharType="separate"/>
      </w:r>
      <w:r>
        <w:rPr>
          <w:rFonts w:hint="eastAsia" w:ascii="仿宋_GB2312" w:eastAsia="仿宋_GB2312"/>
        </w:rPr>
        <w:t>49</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"_Toc464510832" </w:instrText>
      </w:r>
      <w:r>
        <w:fldChar w:fldCharType="separate"/>
      </w:r>
      <w:r>
        <w:rPr>
          <w:rStyle w:val="27"/>
          <w:rFonts w:hint="eastAsia" w:ascii="仿宋_GB2312" w:eastAsia="仿宋_GB2312"/>
        </w:rPr>
        <w:t>9.1 建设进度</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_Toc464510832 \h </w:instrText>
      </w:r>
      <w:r>
        <w:rPr>
          <w:rFonts w:hint="eastAsia" w:ascii="仿宋_GB2312" w:eastAsia="仿宋_GB2312"/>
        </w:rPr>
        <w:fldChar w:fldCharType="separate"/>
      </w:r>
      <w:r>
        <w:rPr>
          <w:rFonts w:hint="eastAsia" w:ascii="仿宋_GB2312" w:eastAsia="仿宋_GB2312"/>
        </w:rPr>
        <w:t>49</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"_Toc464510833" </w:instrText>
      </w:r>
      <w:r>
        <w:fldChar w:fldCharType="separate"/>
      </w:r>
      <w:r>
        <w:rPr>
          <w:rStyle w:val="27"/>
          <w:rFonts w:hint="eastAsia" w:ascii="仿宋_GB2312" w:eastAsia="仿宋_GB2312"/>
        </w:rPr>
        <w:t>9.2 招投标</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_Toc464510833 \h </w:instrText>
      </w:r>
      <w:r>
        <w:rPr>
          <w:rFonts w:hint="eastAsia" w:ascii="仿宋_GB2312" w:eastAsia="仿宋_GB2312"/>
        </w:rPr>
        <w:fldChar w:fldCharType="separate"/>
      </w:r>
      <w:r>
        <w:rPr>
          <w:rFonts w:hint="eastAsia" w:ascii="仿宋_GB2312" w:eastAsia="仿宋_GB2312"/>
        </w:rPr>
        <w:t>51</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"_Toc464510834" </w:instrText>
      </w:r>
      <w:r>
        <w:fldChar w:fldCharType="separate"/>
      </w:r>
      <w:r>
        <w:rPr>
          <w:rStyle w:val="27"/>
          <w:rFonts w:hint="eastAsia" w:ascii="仿宋_GB2312" w:eastAsia="仿宋_GB2312"/>
        </w:rPr>
        <w:t>第十章  投资估算与资金筹措</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_Toc464510834 \h </w:instrText>
      </w:r>
      <w:r>
        <w:rPr>
          <w:rFonts w:hint="eastAsia" w:ascii="仿宋_GB2312" w:eastAsia="仿宋_GB2312"/>
        </w:rPr>
        <w:fldChar w:fldCharType="separate"/>
      </w:r>
      <w:r>
        <w:rPr>
          <w:rFonts w:hint="eastAsia" w:ascii="仿宋_GB2312" w:eastAsia="仿宋_GB2312"/>
        </w:rPr>
        <w:t>53</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"_Toc464510835" </w:instrText>
      </w:r>
      <w:r>
        <w:fldChar w:fldCharType="separate"/>
      </w:r>
      <w:r>
        <w:rPr>
          <w:rStyle w:val="27"/>
          <w:rFonts w:hint="eastAsia" w:ascii="仿宋_GB2312" w:eastAsia="仿宋_GB2312"/>
        </w:rPr>
        <w:t>10.1 编制范围</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_Toc464510835 \h </w:instrText>
      </w:r>
      <w:r>
        <w:rPr>
          <w:rFonts w:hint="eastAsia" w:ascii="仿宋_GB2312" w:eastAsia="仿宋_GB2312"/>
        </w:rPr>
        <w:fldChar w:fldCharType="separate"/>
      </w:r>
      <w:r>
        <w:rPr>
          <w:rFonts w:hint="eastAsia" w:ascii="仿宋_GB2312" w:eastAsia="仿宋_GB2312"/>
        </w:rPr>
        <w:t>53</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"_Toc464510836" </w:instrText>
      </w:r>
      <w:r>
        <w:fldChar w:fldCharType="separate"/>
      </w:r>
      <w:r>
        <w:rPr>
          <w:rStyle w:val="27"/>
          <w:rFonts w:hint="eastAsia" w:ascii="仿宋_GB2312" w:eastAsia="仿宋_GB2312"/>
        </w:rPr>
        <w:t>10.2 编制依据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_Toc464510836 \h </w:instrText>
      </w:r>
      <w:r>
        <w:rPr>
          <w:rFonts w:hint="eastAsia" w:ascii="仿宋_GB2312" w:eastAsia="仿宋_GB2312"/>
        </w:rPr>
        <w:fldChar w:fldCharType="separate"/>
      </w:r>
      <w:r>
        <w:rPr>
          <w:rFonts w:hint="eastAsia" w:ascii="仿宋_GB2312" w:eastAsia="仿宋_GB2312"/>
        </w:rPr>
        <w:t>53</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"_Toc464510837" </w:instrText>
      </w:r>
      <w:r>
        <w:fldChar w:fldCharType="separate"/>
      </w:r>
      <w:r>
        <w:rPr>
          <w:rStyle w:val="27"/>
          <w:rFonts w:hint="eastAsia" w:ascii="仿宋_GB2312" w:eastAsia="仿宋_GB2312"/>
        </w:rPr>
        <w:t>10.3 建筑工程其它费用及预备费取费费率</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_Toc464510837 \h </w:instrText>
      </w:r>
      <w:r>
        <w:rPr>
          <w:rFonts w:hint="eastAsia" w:ascii="仿宋_GB2312" w:eastAsia="仿宋_GB2312"/>
        </w:rPr>
        <w:fldChar w:fldCharType="separate"/>
      </w:r>
      <w:r>
        <w:rPr>
          <w:rFonts w:hint="eastAsia" w:ascii="仿宋_GB2312" w:eastAsia="仿宋_GB2312"/>
        </w:rPr>
        <w:t>54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"_Toc464510838" </w:instrText>
      </w:r>
      <w:r>
        <w:fldChar w:fldCharType="separate"/>
      </w:r>
      <w:r>
        <w:rPr>
          <w:rStyle w:val="27"/>
          <w:rFonts w:hint="eastAsia" w:ascii="仿宋_GB2312" w:eastAsia="仿宋_GB2312"/>
        </w:rPr>
        <w:t>10.4 总投资</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_Toc464510838 \h </w:instrText>
      </w:r>
      <w:r>
        <w:rPr>
          <w:rFonts w:hint="eastAsia" w:ascii="仿宋_GB2312" w:eastAsia="仿宋_GB2312"/>
        </w:rPr>
        <w:fldChar w:fldCharType="separate"/>
      </w:r>
      <w:r>
        <w:rPr>
          <w:rFonts w:hint="eastAsia" w:ascii="仿宋_GB2312" w:eastAsia="仿宋_GB2312"/>
        </w:rPr>
        <w:t>55</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"_Toc464510839" </w:instrText>
      </w:r>
      <w:r>
        <w:fldChar w:fldCharType="separate"/>
      </w:r>
      <w:r>
        <w:rPr>
          <w:rStyle w:val="27"/>
          <w:rFonts w:hint="eastAsia" w:ascii="仿宋_GB2312" w:eastAsia="仿宋_GB2312"/>
        </w:rPr>
        <w:t>10.5 资金使用计划与筹措</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_Toc464510839 \h </w:instrText>
      </w:r>
      <w:r>
        <w:rPr>
          <w:rFonts w:hint="eastAsia" w:ascii="仿宋_GB2312" w:eastAsia="仿宋_GB2312"/>
        </w:rPr>
        <w:fldChar w:fldCharType="separate"/>
      </w:r>
      <w:r>
        <w:rPr>
          <w:rFonts w:hint="eastAsia" w:ascii="仿宋_GB2312" w:eastAsia="仿宋_GB2312"/>
        </w:rPr>
        <w:t>60</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"_Toc464510840" </w:instrText>
      </w:r>
      <w:r>
        <w:fldChar w:fldCharType="separate"/>
      </w:r>
      <w:r>
        <w:rPr>
          <w:rStyle w:val="27"/>
          <w:rFonts w:hint="eastAsia" w:ascii="仿宋_GB2312" w:eastAsia="仿宋_GB2312"/>
        </w:rPr>
        <w:t>第十一章  社会评价</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_Toc464510840 \h </w:instrText>
      </w:r>
      <w:r>
        <w:rPr>
          <w:rFonts w:hint="eastAsia" w:ascii="仿宋_GB2312" w:eastAsia="仿宋_GB2312"/>
        </w:rPr>
        <w:fldChar w:fldCharType="separate"/>
      </w:r>
      <w:r>
        <w:rPr>
          <w:rFonts w:hint="eastAsia" w:ascii="仿宋_GB2312" w:eastAsia="仿宋_GB2312"/>
        </w:rPr>
        <w:t>61</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"_Toc464510841" </w:instrText>
      </w:r>
      <w:r>
        <w:fldChar w:fldCharType="separate"/>
      </w:r>
      <w:r>
        <w:rPr>
          <w:rStyle w:val="27"/>
          <w:rFonts w:hint="eastAsia" w:ascii="仿宋_GB2312" w:eastAsia="仿宋_GB2312"/>
        </w:rPr>
        <w:t>11.1 社会效益影响分析</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_Toc464510841 \h </w:instrText>
      </w:r>
      <w:r>
        <w:rPr>
          <w:rFonts w:hint="eastAsia" w:ascii="仿宋_GB2312" w:eastAsia="仿宋_GB2312"/>
        </w:rPr>
        <w:fldChar w:fldCharType="separate"/>
      </w:r>
      <w:r>
        <w:rPr>
          <w:rFonts w:hint="eastAsia" w:ascii="仿宋_GB2312" w:eastAsia="仿宋_GB2312"/>
        </w:rPr>
        <w:t>61</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"_Toc464510842" </w:instrText>
      </w:r>
      <w:r>
        <w:fldChar w:fldCharType="separate"/>
      </w:r>
      <w:r>
        <w:rPr>
          <w:rStyle w:val="27"/>
          <w:rFonts w:hint="eastAsia" w:ascii="仿宋_GB2312" w:eastAsia="仿宋_GB2312"/>
        </w:rPr>
        <w:t>11.2 项目互适性分析</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_Toc464510842 \h </w:instrText>
      </w:r>
      <w:r>
        <w:rPr>
          <w:rFonts w:hint="eastAsia" w:ascii="仿宋_GB2312" w:eastAsia="仿宋_GB2312"/>
        </w:rPr>
        <w:fldChar w:fldCharType="separate"/>
      </w:r>
      <w:r>
        <w:rPr>
          <w:rFonts w:hint="eastAsia" w:ascii="仿宋_GB2312" w:eastAsia="仿宋_GB2312"/>
        </w:rPr>
        <w:t>62</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"_Toc464510843" </w:instrText>
      </w:r>
      <w:r>
        <w:fldChar w:fldCharType="separate"/>
      </w:r>
      <w:r>
        <w:rPr>
          <w:rStyle w:val="27"/>
          <w:rFonts w:hint="eastAsia" w:ascii="仿宋_GB2312" w:eastAsia="仿宋_GB2312"/>
        </w:rPr>
        <w:t>11.3 社会评价结论</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_Toc464510843 \h </w:instrText>
      </w:r>
      <w:r>
        <w:rPr>
          <w:rFonts w:hint="eastAsia" w:ascii="仿宋_GB2312" w:eastAsia="仿宋_GB2312"/>
        </w:rPr>
        <w:fldChar w:fldCharType="separate"/>
      </w:r>
      <w:r>
        <w:rPr>
          <w:rFonts w:hint="eastAsia" w:ascii="仿宋_GB2312" w:eastAsia="仿宋_GB2312"/>
        </w:rPr>
        <w:t>63</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"_Toc464510844" </w:instrText>
      </w:r>
      <w:r>
        <w:fldChar w:fldCharType="separate"/>
      </w:r>
      <w:r>
        <w:rPr>
          <w:rStyle w:val="27"/>
          <w:rFonts w:hint="eastAsia" w:ascii="仿宋_GB2312" w:eastAsia="仿宋_GB2312"/>
        </w:rPr>
        <w:t>第十二章  社会稳定风险分析</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_Toc464510844 \h </w:instrText>
      </w:r>
      <w:r>
        <w:rPr>
          <w:rFonts w:hint="eastAsia" w:ascii="仿宋_GB2312" w:eastAsia="仿宋_GB2312"/>
        </w:rPr>
        <w:fldChar w:fldCharType="separate"/>
      </w:r>
      <w:r>
        <w:rPr>
          <w:rFonts w:hint="eastAsia" w:ascii="仿宋_GB2312" w:eastAsia="仿宋_GB2312"/>
        </w:rPr>
        <w:t>64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"_Toc464510845" </w:instrText>
      </w:r>
      <w:r>
        <w:fldChar w:fldCharType="separate"/>
      </w:r>
      <w:r>
        <w:rPr>
          <w:rStyle w:val="27"/>
          <w:rFonts w:hint="eastAsia" w:ascii="仿宋_GB2312" w:hAnsi="宋体" w:eastAsia="仿宋_GB2312"/>
        </w:rPr>
        <w:t>12.1 编制依据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_Toc464510845 \h </w:instrText>
      </w:r>
      <w:r>
        <w:rPr>
          <w:rFonts w:hint="eastAsia" w:ascii="仿宋_GB2312" w:eastAsia="仿宋_GB2312"/>
        </w:rPr>
        <w:fldChar w:fldCharType="separate"/>
      </w:r>
      <w:r>
        <w:rPr>
          <w:rFonts w:hint="eastAsia" w:ascii="仿宋_GB2312" w:eastAsia="仿宋_GB2312"/>
        </w:rPr>
        <w:t>64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"_Toc464510846" </w:instrText>
      </w:r>
      <w:r>
        <w:fldChar w:fldCharType="separate"/>
      </w:r>
      <w:r>
        <w:rPr>
          <w:rStyle w:val="27"/>
          <w:rFonts w:hint="eastAsia" w:ascii="仿宋_GB2312" w:hAnsi="宋体" w:eastAsia="仿宋_GB2312"/>
        </w:rPr>
        <w:t>12.2 风险调查</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_Toc464510846 \h </w:instrText>
      </w:r>
      <w:r>
        <w:rPr>
          <w:rFonts w:hint="eastAsia" w:ascii="仿宋_GB2312" w:eastAsia="仿宋_GB2312"/>
        </w:rPr>
        <w:fldChar w:fldCharType="separate"/>
      </w:r>
      <w:r>
        <w:rPr>
          <w:rFonts w:hint="eastAsia" w:ascii="仿宋_GB2312" w:eastAsia="仿宋_GB2312"/>
        </w:rPr>
        <w:t>64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"_Toc464510847" </w:instrText>
      </w:r>
      <w:r>
        <w:fldChar w:fldCharType="separate"/>
      </w:r>
      <w:r>
        <w:rPr>
          <w:rStyle w:val="27"/>
          <w:rFonts w:hint="eastAsia" w:ascii="仿宋_GB2312" w:hAnsi="宋体" w:eastAsia="仿宋_GB2312"/>
        </w:rPr>
        <w:t>12.3 风险识别</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_Toc464510847 \h </w:instrText>
      </w:r>
      <w:r>
        <w:rPr>
          <w:rFonts w:hint="eastAsia" w:ascii="仿宋_GB2312" w:eastAsia="仿宋_GB2312"/>
        </w:rPr>
        <w:fldChar w:fldCharType="separate"/>
      </w:r>
      <w:r>
        <w:rPr>
          <w:rFonts w:hint="eastAsia" w:ascii="仿宋_GB2312" w:eastAsia="仿宋_GB2312"/>
        </w:rPr>
        <w:t>65</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"_Toc464510848" </w:instrText>
      </w:r>
      <w:r>
        <w:fldChar w:fldCharType="separate"/>
      </w:r>
      <w:r>
        <w:rPr>
          <w:rStyle w:val="27"/>
          <w:rFonts w:hint="eastAsia" w:ascii="仿宋_GB2312" w:hAnsi="宋体" w:eastAsia="仿宋_GB2312"/>
        </w:rPr>
        <w:t>12.4 风险估计</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_Toc464510848 \h </w:instrText>
      </w:r>
      <w:r>
        <w:rPr>
          <w:rFonts w:hint="eastAsia" w:ascii="仿宋_GB2312" w:eastAsia="仿宋_GB2312"/>
        </w:rPr>
        <w:fldChar w:fldCharType="separate"/>
      </w:r>
      <w:r>
        <w:rPr>
          <w:rFonts w:hint="eastAsia" w:ascii="仿宋_GB2312" w:eastAsia="仿宋_GB2312"/>
        </w:rPr>
        <w:t>68</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"_Toc464510849" </w:instrText>
      </w:r>
      <w:r>
        <w:fldChar w:fldCharType="separate"/>
      </w:r>
      <w:r>
        <w:rPr>
          <w:rStyle w:val="27"/>
          <w:rFonts w:hint="eastAsia" w:ascii="仿宋_GB2312" w:hAnsi="宋体" w:eastAsia="仿宋_GB2312"/>
        </w:rPr>
        <w:t>12.5 风险防范和化解措施</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_Toc464510849 \h </w:instrText>
      </w:r>
      <w:r>
        <w:rPr>
          <w:rFonts w:hint="eastAsia" w:ascii="仿宋_GB2312" w:eastAsia="仿宋_GB2312"/>
        </w:rPr>
        <w:fldChar w:fldCharType="separate"/>
      </w:r>
      <w:r>
        <w:rPr>
          <w:rFonts w:hint="eastAsia" w:ascii="仿宋_GB2312" w:eastAsia="仿宋_GB2312"/>
        </w:rPr>
        <w:t>69</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"_Toc464510850" </w:instrText>
      </w:r>
      <w:r>
        <w:fldChar w:fldCharType="separate"/>
      </w:r>
      <w:r>
        <w:rPr>
          <w:rStyle w:val="27"/>
          <w:rFonts w:hint="eastAsia" w:ascii="仿宋_GB2312" w:hAnsi="宋体" w:eastAsia="仿宋_GB2312"/>
        </w:rPr>
        <w:t>12.6 风险等级</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_Toc464510850 \h </w:instrText>
      </w:r>
      <w:r>
        <w:rPr>
          <w:rFonts w:hint="eastAsia" w:ascii="仿宋_GB2312" w:eastAsia="仿宋_GB2312"/>
        </w:rPr>
        <w:fldChar w:fldCharType="separate"/>
      </w:r>
      <w:r>
        <w:rPr>
          <w:rFonts w:hint="eastAsia" w:ascii="仿宋_GB2312" w:eastAsia="仿宋_GB2312"/>
        </w:rPr>
        <w:t>70</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"_Toc464510851" </w:instrText>
      </w:r>
      <w:r>
        <w:fldChar w:fldCharType="separate"/>
      </w:r>
      <w:r>
        <w:rPr>
          <w:rStyle w:val="27"/>
          <w:rFonts w:hint="eastAsia" w:ascii="仿宋_GB2312" w:hAnsi="宋体" w:eastAsia="仿宋_GB2312"/>
        </w:rPr>
        <w:t>12.7 风险分析结论</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_Toc464510851 \h </w:instrText>
      </w:r>
      <w:r>
        <w:rPr>
          <w:rFonts w:hint="eastAsia" w:ascii="仿宋_GB2312" w:eastAsia="仿宋_GB2312"/>
        </w:rPr>
        <w:fldChar w:fldCharType="separate"/>
      </w:r>
      <w:r>
        <w:rPr>
          <w:rFonts w:hint="eastAsia" w:ascii="仿宋_GB2312" w:eastAsia="仿宋_GB2312"/>
        </w:rPr>
        <w:t>70</w:t>
      </w:r>
      <w:r>
        <w:rPr>
          <w:rFonts w:hint="eastAsia" w:ascii="仿宋_GB2312" w:eastAsia="仿宋_GB2312"/>
        </w:rPr>
        <w:fldChar w:fldCharType="end"/>
      </w:r>
      <w:r>
        <w:rPr>
          <w:rFonts w:hint="eastAsia" w:ascii="仿宋_GB2312" w:eastAsia="仿宋_GB2312"/>
        </w:rPr>
        <w:fldChar w:fldCharType="end"/>
      </w:r>
    </w:p>
    <w:p>
      <w:pPr>
        <w:pStyle w:val="18"/>
        <w:rPr>
          <w:rFonts w:hint="eastAsia" w:ascii="仿宋_GB2312" w:eastAsia="仿宋_GB2312" w:hAnsiTheme="minorHAnsi" w:cstheme="minorBidi"/>
          <w:sz w:val="21"/>
          <w:szCs w:val="22"/>
        </w:rPr>
      </w:pPr>
      <w:r>
        <w:fldChar w:fldCharType="begin"/>
      </w:r>
      <w:r>
        <w:instrText xml:space="preserve"> HYPERLINK \l "_Toc464510852" </w:instrText>
      </w:r>
      <w:r>
        <w:fldChar w:fldCharType="separate"/>
      </w:r>
      <w:r>
        <w:rPr>
          <w:rStyle w:val="27"/>
          <w:rFonts w:hint="eastAsia" w:ascii="仿宋_GB2312" w:eastAsia="仿宋_GB2312"/>
        </w:rPr>
        <w:t>第十三章  结论与建议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_Toc464510852 \h </w:instrText>
      </w:r>
      <w:r>
        <w:rPr>
          <w:rFonts w:hint="eastAsia" w:ascii="仿宋_GB2312" w:eastAsia="仿宋_GB2312"/>
        </w:rPr>
        <w:fldChar w:fldCharType="separate"/>
      </w:r>
      <w:r>
        <w:rPr>
          <w:rFonts w:hint="eastAsia" w:ascii="仿宋_GB2312" w:eastAsia="仿宋_GB2312"/>
        </w:rPr>
        <w:t>72</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"_Toc464510853" </w:instrText>
      </w:r>
      <w:r>
        <w:fldChar w:fldCharType="separate"/>
      </w:r>
      <w:r>
        <w:rPr>
          <w:rStyle w:val="27"/>
          <w:rFonts w:hint="eastAsia" w:ascii="仿宋_GB2312" w:eastAsia="仿宋_GB2312"/>
        </w:rPr>
        <w:t>13.1 结论</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_Toc464510853 \h </w:instrText>
      </w:r>
      <w:r>
        <w:rPr>
          <w:rFonts w:hint="eastAsia" w:ascii="仿宋_GB2312" w:eastAsia="仿宋_GB2312"/>
        </w:rPr>
        <w:fldChar w:fldCharType="separate"/>
      </w:r>
      <w:r>
        <w:rPr>
          <w:rFonts w:hint="eastAsia" w:ascii="仿宋_GB2312" w:eastAsia="仿宋_GB2312"/>
        </w:rPr>
        <w:t>72</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"_Toc464510854" </w:instrText>
      </w:r>
      <w:r>
        <w:fldChar w:fldCharType="separate"/>
      </w:r>
      <w:r>
        <w:rPr>
          <w:rStyle w:val="27"/>
          <w:rFonts w:hint="eastAsia" w:ascii="仿宋_GB2312" w:eastAsia="仿宋_GB2312"/>
        </w:rPr>
        <w:t>13.2 建议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_Toc464510854 \h </w:instrText>
      </w:r>
      <w:r>
        <w:rPr>
          <w:rFonts w:hint="eastAsia" w:ascii="仿宋_GB2312" w:eastAsia="仿宋_GB2312"/>
        </w:rPr>
        <w:fldChar w:fldCharType="separate"/>
      </w:r>
      <w:r>
        <w:rPr>
          <w:rFonts w:hint="eastAsia" w:ascii="仿宋_GB2312" w:eastAsia="仿宋_GB2312"/>
        </w:rPr>
        <w:t>72</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"_Toc464510855" </w:instrText>
      </w:r>
      <w:r>
        <w:fldChar w:fldCharType="separate"/>
      </w:r>
      <w:r>
        <w:rPr>
          <w:rStyle w:val="27"/>
          <w:rFonts w:hint="eastAsia" w:ascii="仿宋_GB2312" w:eastAsia="仿宋_GB2312"/>
        </w:rPr>
        <w:t>附件1-</w:t>
      </w:r>
      <w:r>
        <w:rPr>
          <w:rStyle w:val="27"/>
          <w:rFonts w:hint="eastAsia" w:ascii="仿宋_GB2312" w:hAnsi="宋体" w:eastAsia="仿宋_GB2312"/>
        </w:rPr>
        <w:t>桑浦山龙泉岩森林消防应急通道上山段（慈园路）工程</w:t>
      </w:r>
      <w:r>
        <w:rPr>
          <w:rStyle w:val="27"/>
          <w:rFonts w:hint="eastAsia" w:ascii="仿宋_GB2312" w:eastAsia="仿宋_GB2312"/>
        </w:rPr>
        <w:t>项目平面图</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_Toc464510855 \h </w:instrText>
      </w:r>
      <w:r>
        <w:rPr>
          <w:rFonts w:hint="eastAsia" w:ascii="仿宋_GB2312" w:eastAsia="仿宋_GB2312"/>
        </w:rPr>
        <w:fldChar w:fldCharType="separate"/>
      </w:r>
      <w:r>
        <w:rPr>
          <w:rFonts w:hint="eastAsia" w:ascii="仿宋_GB2312" w:eastAsia="仿宋_GB2312"/>
        </w:rPr>
        <w:t>74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"_Toc464510856" </w:instrText>
      </w:r>
      <w:r>
        <w:fldChar w:fldCharType="separate"/>
      </w:r>
      <w:r>
        <w:rPr>
          <w:rStyle w:val="27"/>
          <w:rFonts w:hint="eastAsia" w:ascii="仿宋_GB2312" w:eastAsia="仿宋_GB2312"/>
        </w:rPr>
        <w:t>附件2-桑浦山龙泉岩森林消防应急通道上山段（慈园路）工程项目道路结构横断面示意图</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_Toc464510856 \h </w:instrText>
      </w:r>
      <w:r>
        <w:rPr>
          <w:rFonts w:hint="eastAsia" w:ascii="仿宋_GB2312" w:eastAsia="仿宋_GB2312"/>
        </w:rPr>
        <w:fldChar w:fldCharType="separate"/>
      </w:r>
      <w:r>
        <w:rPr>
          <w:rFonts w:hint="eastAsia" w:ascii="仿宋_GB2312" w:eastAsia="仿宋_GB2312"/>
        </w:rPr>
        <w:t>79</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"_Toc464510857" </w:instrText>
      </w:r>
      <w:r>
        <w:fldChar w:fldCharType="separate"/>
      </w:r>
      <w:r>
        <w:rPr>
          <w:rStyle w:val="27"/>
          <w:rFonts w:hint="eastAsia" w:ascii="仿宋_GB2312" w:eastAsia="仿宋_GB2312"/>
        </w:rPr>
        <w:t>附件3-桑浦山龙泉岩森林消防应急通道上山段（慈园路）工程项目交通设施工程平面图</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_Toc464510857 \h </w:instrText>
      </w:r>
      <w:r>
        <w:rPr>
          <w:rFonts w:hint="eastAsia" w:ascii="仿宋_GB2312" w:eastAsia="仿宋_GB2312"/>
        </w:rPr>
        <w:fldChar w:fldCharType="separate"/>
      </w:r>
      <w:r>
        <w:rPr>
          <w:rFonts w:hint="eastAsia" w:ascii="仿宋_GB2312" w:eastAsia="仿宋_GB2312"/>
        </w:rPr>
        <w:t>80</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"_Toc464510858" </w:instrText>
      </w:r>
      <w:r>
        <w:fldChar w:fldCharType="separate"/>
      </w:r>
      <w:r>
        <w:rPr>
          <w:rStyle w:val="27"/>
          <w:rFonts w:hint="eastAsia" w:ascii="仿宋_GB2312" w:eastAsia="仿宋_GB2312"/>
        </w:rPr>
        <w:t>附件4-桑浦山龙泉岩森林消防应急通道上山段（慈园路）工程项目绿化工程平面图</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_Toc464510858 \h </w:instrText>
      </w:r>
      <w:r>
        <w:rPr>
          <w:rFonts w:hint="eastAsia" w:ascii="仿宋_GB2312" w:eastAsia="仿宋_GB2312"/>
        </w:rPr>
        <w:fldChar w:fldCharType="separate"/>
      </w:r>
      <w:r>
        <w:rPr>
          <w:rFonts w:hint="eastAsia" w:ascii="仿宋_GB2312" w:eastAsia="仿宋_GB2312"/>
        </w:rPr>
        <w:t>84</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"_Toc464510859" </w:instrText>
      </w:r>
      <w:r>
        <w:fldChar w:fldCharType="separate"/>
      </w:r>
      <w:r>
        <w:rPr>
          <w:rStyle w:val="27"/>
          <w:rFonts w:hint="eastAsia" w:ascii="仿宋_GB2312" w:eastAsia="仿宋_GB2312"/>
        </w:rPr>
        <w:t>附件5-桑浦山龙泉岩森林消防应急通道上山段（慈园路）工程项目排水工程平面图</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_Toc464510859 \h </w:instrText>
      </w:r>
      <w:r>
        <w:rPr>
          <w:rFonts w:hint="eastAsia" w:ascii="仿宋_GB2312" w:eastAsia="仿宋_GB2312"/>
        </w:rPr>
        <w:fldChar w:fldCharType="separate"/>
      </w:r>
      <w:r>
        <w:rPr>
          <w:rFonts w:hint="eastAsia" w:ascii="仿宋_GB2312" w:eastAsia="仿宋_GB2312"/>
        </w:rPr>
        <w:t>88</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hAnsiTheme="minorHAnsi" w:cstheme="minorBidi"/>
          <w:sz w:val="21"/>
          <w:szCs w:val="22"/>
        </w:rPr>
      </w:pPr>
      <w:r>
        <w:fldChar w:fldCharType="begin"/>
      </w:r>
      <w:r>
        <w:instrText xml:space="preserve"> HYPERLINK \l "_Toc464510860" </w:instrText>
      </w:r>
      <w:r>
        <w:fldChar w:fldCharType="separate"/>
      </w:r>
      <w:r>
        <w:rPr>
          <w:rStyle w:val="27"/>
          <w:rFonts w:hint="eastAsia" w:ascii="仿宋_GB2312" w:eastAsia="仿宋_GB2312"/>
        </w:rPr>
        <w:t>附件6-桑浦山龙泉岩森林消防应急通道上山段（慈园路）工程项目道路照明工程平面图</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_Toc464510860 \h </w:instrText>
      </w:r>
      <w:r>
        <w:rPr>
          <w:rFonts w:hint="eastAsia" w:ascii="仿宋_GB2312" w:eastAsia="仿宋_GB2312"/>
        </w:rPr>
        <w:fldChar w:fldCharType="separate"/>
      </w:r>
      <w:r>
        <w:rPr>
          <w:rFonts w:hint="eastAsia" w:ascii="仿宋_GB2312" w:eastAsia="仿宋_GB2312"/>
        </w:rPr>
        <w:t>93</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eastAsia="仿宋_GB2312"/>
        </w:rPr>
      </w:pPr>
      <w:r>
        <w:fldChar w:fldCharType="begin"/>
      </w:r>
      <w:r>
        <w:instrText xml:space="preserve"> HYPERLINK \l "_Toc464510861" </w:instrText>
      </w:r>
      <w:r>
        <w:fldChar w:fldCharType="separate"/>
      </w:r>
      <w:r>
        <w:rPr>
          <w:rStyle w:val="27"/>
          <w:rFonts w:hint="eastAsia" w:ascii="仿宋_GB2312" w:eastAsia="仿宋_GB2312"/>
        </w:rPr>
        <w:t>附件7-桑浦山龙泉岩片区道路交通规划图</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_Toc464510861 \h </w:instrText>
      </w:r>
      <w:r>
        <w:rPr>
          <w:rFonts w:hint="eastAsia" w:ascii="仿宋_GB2312" w:eastAsia="仿宋_GB2312"/>
        </w:rPr>
        <w:fldChar w:fldCharType="separate"/>
      </w:r>
      <w:r>
        <w:rPr>
          <w:rFonts w:hint="eastAsia" w:ascii="仿宋_GB2312" w:eastAsia="仿宋_GB2312"/>
        </w:rPr>
        <w:t>97</w:t>
      </w:r>
      <w:r>
        <w:rPr>
          <w:rFonts w:hint="eastAsia" w:ascii="仿宋_GB2312" w:eastAsia="仿宋_GB2312"/>
        </w:rPr>
        <w:fldChar w:fldCharType="end"/>
      </w:r>
      <w:r>
        <w:rPr>
          <w:rFonts w:hint="eastAsia" w:ascii="仿宋_GB2312" w:eastAsia="仿宋_GB2312"/>
        </w:rPr>
        <w:fldChar w:fldCharType="end"/>
      </w:r>
    </w:p>
    <w:p>
      <w:pPr>
        <w:pStyle w:val="22"/>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附件8-固定资产投资项目节能登记表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_Toc464510861 \h </w:instrText>
      </w:r>
      <w:r>
        <w:rPr>
          <w:rFonts w:hint="eastAsia" w:ascii="仿宋_GB2312" w:eastAsia="仿宋_GB2312"/>
        </w:rPr>
        <w:fldChar w:fldCharType="separate"/>
      </w:r>
      <w:r>
        <w:rPr>
          <w:rFonts w:hint="eastAsia" w:ascii="仿宋_GB2312" w:eastAsia="仿宋_GB2312"/>
        </w:rPr>
        <w:t>97</w:t>
      </w:r>
      <w:r>
        <w:rPr>
          <w:rFonts w:hint="eastAsia" w:ascii="仿宋_GB2312" w:eastAsia="仿宋_GB2312"/>
        </w:rPr>
        <w:fldChar w:fldCharType="end"/>
      </w:r>
    </w:p>
    <w:p>
      <w:pPr>
        <w:tabs>
          <w:tab w:val="left" w:pos="681"/>
        </w:tabs>
        <w:spacing w:line="360" w:lineRule="auto"/>
        <w:ind w:firstLine="480" w:firstLineChars="200"/>
        <w:rPr>
          <w:rFonts w:hint="eastAsia" w:ascii="仿宋_GB2312" w:hAnsi="黑体" w:eastAsia="仿宋_GB2312"/>
          <w:color w:val="FF0000"/>
          <w:sz w:val="24"/>
        </w:rPr>
      </w:pPr>
      <w:r>
        <w:rPr>
          <w:rFonts w:hint="eastAsia" w:ascii="仿宋_GB2312" w:hAnsi="黑体" w:eastAsia="仿宋_GB2312"/>
          <w:color w:val="FF0000"/>
          <w:sz w:val="24"/>
        </w:rPr>
        <w:fldChar w:fldCharType="end"/>
      </w: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480" w:firstLineChars="200"/>
        <w:rPr>
          <w:rFonts w:hint="eastAsia" w:ascii="仿宋_GB2312" w:hAnsi="黑体" w:eastAsia="仿宋_GB2312"/>
          <w:color w:val="FF0000"/>
          <w:sz w:val="24"/>
        </w:rPr>
      </w:pPr>
    </w:p>
    <w:p>
      <w:pPr>
        <w:tabs>
          <w:tab w:val="left" w:pos="681"/>
        </w:tabs>
        <w:spacing w:line="360" w:lineRule="auto"/>
        <w:ind w:firstLine="560" w:firstLineChars="200"/>
        <w:rPr>
          <w:rFonts w:ascii="仿宋_GB2312" w:eastAsia="仿宋_GB2312"/>
          <w:color w:val="FF0000"/>
          <w:sz w:val="28"/>
          <w:szCs w:val="28"/>
        </w:rPr>
        <w:sectPr>
          <w:pgSz w:w="11906" w:h="16838"/>
          <w:pgMar w:top="1440" w:right="1800" w:bottom="1440" w:left="1800" w:header="851" w:footer="840" w:gutter="0"/>
          <w:pgNumType w:fmt="upperRoman" w:start="1"/>
          <w:cols w:space="425" w:num="1"/>
          <w:docGrid w:type="lines" w:linePitch="312" w:charSpace="0"/>
        </w:sectPr>
      </w:pPr>
    </w:p>
    <w:p>
      <w:pPr>
        <w:pStyle w:val="2"/>
        <w:spacing w:beforeLines="50" w:afterLines="50" w:line="540" w:lineRule="exact"/>
        <w:jc w:val="center"/>
        <w:rPr>
          <w:rFonts w:ascii="仿宋_GB2312" w:eastAsia="仿宋_GB2312"/>
          <w:color w:val="000000"/>
          <w:sz w:val="32"/>
          <w:szCs w:val="32"/>
        </w:rPr>
      </w:pPr>
      <w:bookmarkStart w:id="3" w:name="_Toc464510795"/>
      <w:r>
        <w:rPr>
          <w:rFonts w:hint="eastAsia" w:ascii="仿宋_GB2312" w:eastAsia="仿宋_GB2312"/>
          <w:color w:val="000000"/>
          <w:sz w:val="32"/>
          <w:szCs w:val="32"/>
        </w:rPr>
        <w:t xml:space="preserve">第一章 </w:t>
      </w:r>
      <w:r>
        <w:rPr>
          <w:rFonts w:hint="eastAsia" w:ascii="仿宋_GB2312" w:eastAsia="仿宋_GB2312"/>
          <w:color w:val="000000"/>
          <w:sz w:val="32"/>
          <w:szCs w:val="32"/>
          <w:lang w:val="en-US" w:eastAsia="zh-CN"/>
        </w:rPr>
        <w:t xml:space="preserve"> </w:t>
      </w:r>
      <w:r>
        <w:rPr>
          <w:rFonts w:hint="eastAsia" w:ascii="仿宋_GB2312" w:eastAsia="仿宋_GB2312"/>
          <w:color w:val="000000"/>
          <w:sz w:val="32"/>
          <w:szCs w:val="32"/>
        </w:rPr>
        <w:t>总论</w:t>
      </w:r>
      <w:bookmarkEnd w:id="1"/>
      <w:bookmarkEnd w:id="2"/>
      <w:bookmarkEnd w:id="3"/>
    </w:p>
    <w:p>
      <w:pPr>
        <w:pStyle w:val="3"/>
        <w:spacing w:beforeLines="50" w:afterLines="50" w:line="540" w:lineRule="exact"/>
        <w:rPr>
          <w:rFonts w:ascii="仿宋_GB2312" w:eastAsia="仿宋_GB2312" w:cs="Arial"/>
          <w:color w:val="000000"/>
          <w:sz w:val="28"/>
          <w:szCs w:val="28"/>
        </w:rPr>
      </w:pPr>
      <w:bookmarkStart w:id="4" w:name="_Toc101342680"/>
      <w:bookmarkStart w:id="5" w:name="_Toc115148125"/>
      <w:bookmarkStart w:id="6" w:name="_Toc464510796"/>
      <w:bookmarkStart w:id="7" w:name="_Toc195434087"/>
      <w:r>
        <w:rPr>
          <w:rFonts w:hint="eastAsia" w:ascii="仿宋_GB2312" w:eastAsia="仿宋_GB2312" w:cs="Arial"/>
          <w:color w:val="000000"/>
          <w:sz w:val="28"/>
          <w:szCs w:val="28"/>
        </w:rPr>
        <w:t>1.1 项目</w:t>
      </w:r>
      <w:bookmarkEnd w:id="4"/>
      <w:bookmarkEnd w:id="5"/>
      <w:r>
        <w:rPr>
          <w:rFonts w:hint="eastAsia" w:ascii="仿宋_GB2312" w:eastAsia="仿宋_GB2312" w:cs="Arial"/>
          <w:color w:val="000000"/>
          <w:sz w:val="28"/>
          <w:szCs w:val="28"/>
        </w:rPr>
        <w:t>背景</w:t>
      </w:r>
      <w:bookmarkEnd w:id="6"/>
      <w:bookmarkEnd w:id="7"/>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1.1.1 项目名称</w:t>
      </w:r>
    </w:p>
    <w:p>
      <w:pPr>
        <w:spacing w:beforeLines="50" w:afterLines="50" w:line="540" w:lineRule="exact"/>
        <w:ind w:firstLine="560" w:firstLineChars="200"/>
        <w:rPr>
          <w:rFonts w:ascii="仿宋_GB2312" w:hAnsi="宋体" w:eastAsia="仿宋_GB2312"/>
          <w:color w:val="000000"/>
          <w:sz w:val="28"/>
          <w:szCs w:val="28"/>
        </w:rPr>
      </w:pPr>
      <w:bookmarkStart w:id="8" w:name="_Toc101342682"/>
      <w:r>
        <w:rPr>
          <w:rFonts w:hint="eastAsia" w:ascii="仿宋_GB2312" w:hAnsi="宋体" w:eastAsia="仿宋_GB2312"/>
          <w:color w:val="000000"/>
          <w:sz w:val="28"/>
          <w:szCs w:val="28"/>
        </w:rPr>
        <w:t>桑浦山龙泉岩森林消防应急通道上山段（慈园路）工程</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1.1.2 项目建设单位</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汕头市金平区住房和城乡建设局</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1.1.3 承担编制项目可行性研究报告的咨询单位</w:t>
      </w:r>
    </w:p>
    <w:p>
      <w:pPr>
        <w:spacing w:beforeLines="50" w:afterLines="50" w:line="540" w:lineRule="exact"/>
        <w:ind w:firstLine="560" w:firstLineChars="200"/>
        <w:rPr>
          <w:rFonts w:hint="eastAsia" w:ascii="仿宋_GB2312" w:hAnsi="宋体" w:eastAsia="仿宋_GB2312"/>
          <w:color w:val="000000"/>
          <w:sz w:val="28"/>
          <w:szCs w:val="28"/>
        </w:rPr>
      </w:pPr>
      <w:r>
        <w:rPr>
          <w:rFonts w:hint="eastAsia" w:ascii="仿宋_GB2312" w:hAnsi="宋体" w:eastAsia="仿宋_GB2312"/>
          <w:color w:val="000000"/>
          <w:sz w:val="28"/>
          <w:szCs w:val="28"/>
        </w:rPr>
        <w:t>可研编制单位：广东国建工程项目管理有限公司</w:t>
      </w:r>
    </w:p>
    <w:p>
      <w:pPr>
        <w:spacing w:beforeLines="50" w:afterLines="50" w:line="540" w:lineRule="exact"/>
        <w:ind w:firstLine="560" w:firstLineChars="200"/>
        <w:rPr>
          <w:rFonts w:hint="eastAsia" w:ascii="仿宋_GB2312" w:hAnsi="宋体" w:eastAsia="仿宋_GB2312"/>
          <w:color w:val="000000"/>
          <w:sz w:val="28"/>
          <w:szCs w:val="28"/>
        </w:rPr>
      </w:pPr>
      <w:r>
        <w:rPr>
          <w:rFonts w:hint="eastAsia" w:ascii="仿宋_GB2312" w:hAnsi="宋体" w:eastAsia="仿宋_GB2312"/>
          <w:color w:val="000000"/>
          <w:sz w:val="28"/>
          <w:szCs w:val="28"/>
        </w:rPr>
        <w:t>单位法人代表：刘绍蓬</w:t>
      </w:r>
    </w:p>
    <w:p>
      <w:pPr>
        <w:spacing w:beforeLines="50" w:afterLines="50" w:line="540" w:lineRule="exact"/>
        <w:ind w:firstLine="560" w:firstLineChars="200"/>
        <w:rPr>
          <w:rFonts w:hint="eastAsia" w:ascii="仿宋_GB2312" w:hAnsi="宋体" w:eastAsia="仿宋_GB2312"/>
          <w:color w:val="000000"/>
          <w:sz w:val="28"/>
          <w:szCs w:val="28"/>
        </w:rPr>
      </w:pPr>
      <w:r>
        <w:rPr>
          <w:rFonts w:hint="eastAsia" w:ascii="仿宋_GB2312" w:hAnsi="宋体" w:eastAsia="仿宋_GB2312"/>
          <w:color w:val="000000"/>
          <w:sz w:val="28"/>
          <w:szCs w:val="28"/>
        </w:rPr>
        <w:t>注册资本：500.00万元</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工程咨询资质：工咨甲12320060076</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1.1.4 可行性研究报告的编制依据</w:t>
      </w:r>
    </w:p>
    <w:p>
      <w:pPr>
        <w:pStyle w:val="36"/>
        <w:numPr>
          <w:ilvl w:val="0"/>
          <w:numId w:val="1"/>
        </w:numPr>
        <w:spacing w:beforeLines="50" w:afterLines="50" w:line="540" w:lineRule="exact"/>
        <w:ind w:firstLineChars="0"/>
        <w:rPr>
          <w:rFonts w:ascii="仿宋_GB2312" w:hAnsi="宋体"/>
          <w:sz w:val="28"/>
          <w:szCs w:val="28"/>
        </w:rPr>
      </w:pPr>
      <w:r>
        <w:rPr>
          <w:rFonts w:hint="eastAsia" w:ascii="仿宋_GB2312" w:hAnsi="宋体"/>
          <w:sz w:val="28"/>
          <w:szCs w:val="28"/>
        </w:rPr>
        <w:t>《汕头市城市发展战略规划》；</w:t>
      </w:r>
    </w:p>
    <w:p>
      <w:pPr>
        <w:pStyle w:val="36"/>
        <w:numPr>
          <w:ilvl w:val="0"/>
          <w:numId w:val="1"/>
        </w:numPr>
        <w:spacing w:beforeLines="50" w:afterLines="50" w:line="540" w:lineRule="exact"/>
        <w:ind w:firstLineChars="0"/>
        <w:rPr>
          <w:rFonts w:ascii="仿宋_GB2312" w:hAnsi="宋体"/>
          <w:sz w:val="28"/>
          <w:szCs w:val="28"/>
        </w:rPr>
      </w:pPr>
      <w:r>
        <w:rPr>
          <w:rFonts w:hint="eastAsia" w:ascii="仿宋_GB2312" w:hAnsi="宋体"/>
          <w:sz w:val="28"/>
          <w:szCs w:val="28"/>
        </w:rPr>
        <w:t>《汕头市国民经济和社会发展第十三个五年规划纲要》；</w:t>
      </w:r>
    </w:p>
    <w:p>
      <w:pPr>
        <w:pStyle w:val="36"/>
        <w:numPr>
          <w:ilvl w:val="0"/>
          <w:numId w:val="1"/>
        </w:numPr>
        <w:spacing w:beforeLines="50" w:afterLines="50" w:line="540" w:lineRule="exact"/>
        <w:ind w:firstLineChars="0"/>
        <w:rPr>
          <w:rFonts w:ascii="仿宋_GB2312" w:hAnsi="宋体"/>
          <w:sz w:val="28"/>
          <w:szCs w:val="28"/>
        </w:rPr>
      </w:pPr>
      <w:r>
        <w:rPr>
          <w:rFonts w:hint="eastAsia" w:ascii="仿宋_GB2312"/>
          <w:sz w:val="28"/>
          <w:szCs w:val="28"/>
        </w:rPr>
        <w:t>《汕头市城市总体规划（2002—2020）》；</w:t>
      </w:r>
    </w:p>
    <w:p>
      <w:pPr>
        <w:pStyle w:val="36"/>
        <w:numPr>
          <w:ilvl w:val="0"/>
          <w:numId w:val="1"/>
        </w:numPr>
        <w:spacing w:beforeLines="50" w:afterLines="50" w:line="540" w:lineRule="exact"/>
        <w:ind w:firstLineChars="0"/>
        <w:rPr>
          <w:rFonts w:ascii="仿宋_GB2312" w:hAnsi="宋体"/>
          <w:sz w:val="28"/>
          <w:szCs w:val="28"/>
        </w:rPr>
      </w:pPr>
      <w:r>
        <w:rPr>
          <w:rFonts w:hint="eastAsia" w:ascii="仿宋_GB2312" w:hAnsi="宋体"/>
          <w:sz w:val="28"/>
          <w:szCs w:val="28"/>
        </w:rPr>
        <w:t>《汕头市桑浦山龙泉岩片区专项控制规划》；</w:t>
      </w:r>
    </w:p>
    <w:p>
      <w:pPr>
        <w:pStyle w:val="36"/>
        <w:numPr>
          <w:ilvl w:val="0"/>
          <w:numId w:val="1"/>
        </w:numPr>
        <w:spacing w:beforeLines="50" w:afterLines="50" w:line="540" w:lineRule="exact"/>
        <w:ind w:firstLineChars="0"/>
        <w:rPr>
          <w:rFonts w:ascii="仿宋_GB2312" w:hAnsi="宋体"/>
          <w:sz w:val="28"/>
          <w:szCs w:val="28"/>
        </w:rPr>
      </w:pPr>
      <w:r>
        <w:rPr>
          <w:rFonts w:hint="eastAsia" w:ascii="仿宋_GB2312" w:hAnsi="宋体"/>
          <w:sz w:val="28"/>
          <w:szCs w:val="28"/>
        </w:rPr>
        <w:t>《投资项目可行性研究指南》；</w:t>
      </w:r>
    </w:p>
    <w:p>
      <w:pPr>
        <w:pStyle w:val="36"/>
        <w:numPr>
          <w:ilvl w:val="0"/>
          <w:numId w:val="1"/>
        </w:numPr>
        <w:spacing w:beforeLines="50" w:afterLines="50" w:line="540" w:lineRule="exact"/>
        <w:ind w:firstLineChars="0"/>
        <w:rPr>
          <w:rFonts w:ascii="仿宋_GB2312" w:hAnsi="宋体"/>
          <w:sz w:val="28"/>
          <w:szCs w:val="28"/>
        </w:rPr>
      </w:pPr>
      <w:r>
        <w:rPr>
          <w:rFonts w:hint="eastAsia" w:ascii="仿宋_GB2312"/>
          <w:sz w:val="28"/>
          <w:szCs w:val="28"/>
        </w:rPr>
        <w:t>本项目委托合同；</w:t>
      </w:r>
    </w:p>
    <w:p>
      <w:pPr>
        <w:pStyle w:val="36"/>
        <w:numPr>
          <w:ilvl w:val="0"/>
          <w:numId w:val="1"/>
        </w:numPr>
        <w:spacing w:beforeLines="50" w:afterLines="50" w:line="540" w:lineRule="exact"/>
        <w:ind w:firstLineChars="0"/>
        <w:rPr>
          <w:rFonts w:ascii="仿宋_GB2312" w:hAnsi="宋体"/>
          <w:color w:val="000000"/>
          <w:sz w:val="28"/>
          <w:szCs w:val="28"/>
        </w:rPr>
      </w:pPr>
      <w:r>
        <w:rPr>
          <w:rFonts w:hint="eastAsia" w:ascii="仿宋_GB2312"/>
          <w:color w:val="000000"/>
          <w:sz w:val="28"/>
          <w:szCs w:val="28"/>
        </w:rPr>
        <w:t>委托方提供的相关资料。</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1.1.5 项目提出的理由与过程</w:t>
      </w:r>
    </w:p>
    <w:p>
      <w:pPr>
        <w:autoSpaceDE w:val="0"/>
        <w:autoSpaceDN w:val="0"/>
        <w:adjustRightInd w:val="0"/>
        <w:ind w:firstLine="560" w:firstLineChars="200"/>
        <w:jc w:val="left"/>
        <w:rPr>
          <w:rFonts w:ascii="仿宋_GB2312" w:hAnsi="华文仿宋" w:eastAsia="仿宋_GB2312"/>
          <w:color w:val="000000"/>
          <w:sz w:val="28"/>
          <w:szCs w:val="28"/>
        </w:rPr>
      </w:pPr>
      <w:r>
        <w:rPr>
          <w:rFonts w:hint="eastAsia" w:ascii="仿宋_GB2312" w:hAnsi="宋体" w:eastAsia="仿宋_GB2312"/>
          <w:color w:val="000000"/>
          <w:sz w:val="28"/>
          <w:szCs w:val="28"/>
        </w:rPr>
        <w:t>区域内原有慈园路旧道连接汕头市烟汕线，该道路是通向龙泉寺、铁林禅寺及伯公庙等旅游业的唯一一条道路。随着“十三五”规划的实施，</w:t>
      </w:r>
      <w:r>
        <w:rPr>
          <w:rFonts w:hint="eastAsia" w:ascii="仿宋_GB2312" w:eastAsia="仿宋_GB2312"/>
          <w:color w:val="000000"/>
          <w:sz w:val="28"/>
          <w:szCs w:val="28"/>
        </w:rPr>
        <w:t>该片区广东以色列理工学院、中以科技创新合作园区等一系列重点项目将逐渐落地和建设，将会</w:t>
      </w:r>
      <w:r>
        <w:rPr>
          <w:rFonts w:ascii="仿宋_GB2312" w:eastAsia="仿宋_GB2312"/>
          <w:color w:val="000000"/>
          <w:sz w:val="28"/>
          <w:szCs w:val="28"/>
        </w:rPr>
        <w:t>吸引</w:t>
      </w:r>
      <w:r>
        <w:rPr>
          <w:rFonts w:hint="eastAsia" w:ascii="仿宋_GB2312" w:eastAsia="仿宋_GB2312"/>
          <w:color w:val="000000"/>
          <w:sz w:val="28"/>
          <w:szCs w:val="28"/>
        </w:rPr>
        <w:t>更多的</w:t>
      </w:r>
      <w:r>
        <w:rPr>
          <w:rFonts w:ascii="仿宋_GB2312" w:eastAsia="仿宋_GB2312"/>
          <w:color w:val="000000"/>
          <w:sz w:val="28"/>
          <w:szCs w:val="28"/>
        </w:rPr>
        <w:t>高新科技、文化、科研等方面的</w:t>
      </w:r>
      <w:r>
        <w:rPr>
          <w:rFonts w:hint="eastAsia" w:ascii="仿宋_GB2312" w:eastAsia="仿宋_GB2312"/>
          <w:color w:val="000000"/>
          <w:sz w:val="28"/>
          <w:szCs w:val="28"/>
        </w:rPr>
        <w:t>企业进驻，交通需求将会超出现有道路的承载力。且</w:t>
      </w:r>
      <w:r>
        <w:rPr>
          <w:rFonts w:hint="eastAsia" w:ascii="仿宋_GB2312" w:hAnsi="宋体" w:eastAsia="仿宋_GB2312"/>
          <w:color w:val="000000"/>
          <w:sz w:val="28"/>
          <w:szCs w:val="28"/>
        </w:rPr>
        <w:t>旅游业的兴起，使得该旅游区的游客日益增多，建成较久的慈园路旧道已经无法满足车辆对道路的使用需求，经常造成交通拥堵，影响旅游体验。</w:t>
      </w:r>
      <w:r>
        <w:rPr>
          <w:rFonts w:hint="eastAsia" w:ascii="仿宋_GB2312" w:hAnsi="华文仿宋" w:eastAsia="仿宋_GB2312"/>
          <w:color w:val="000000"/>
          <w:sz w:val="28"/>
          <w:szCs w:val="28"/>
        </w:rPr>
        <w:t>项目的建成，有利片区内交通路网的连通，缓解周边地域道路的运输压力，同时促进当地旅游业的发展。为此，受业主委托，</w:t>
      </w:r>
      <w:r>
        <w:rPr>
          <w:rFonts w:hint="eastAsia" w:ascii="仿宋_GB2312" w:hAnsi="华文仿宋" w:eastAsia="仿宋_GB2312"/>
          <w:color w:val="000000"/>
          <w:sz w:val="28"/>
          <w:szCs w:val="28"/>
          <w:lang w:eastAsia="zh-CN"/>
        </w:rPr>
        <w:t>广东国建工程项目管理有限公司</w:t>
      </w:r>
      <w:r>
        <w:rPr>
          <w:rFonts w:hint="eastAsia" w:ascii="仿宋_GB2312" w:hAnsi="华文仿宋" w:eastAsia="仿宋_GB2312"/>
          <w:color w:val="000000"/>
          <w:sz w:val="28"/>
          <w:szCs w:val="28"/>
        </w:rPr>
        <w:t>编制该项目的可行性研究报告。</w:t>
      </w:r>
    </w:p>
    <w:p>
      <w:pPr>
        <w:pStyle w:val="3"/>
        <w:spacing w:before="50" w:after="50" w:line="540" w:lineRule="exact"/>
        <w:rPr>
          <w:rFonts w:ascii="仿宋_GB2312" w:eastAsia="仿宋_GB2312" w:cs="Arial"/>
          <w:color w:val="000000"/>
          <w:sz w:val="28"/>
          <w:szCs w:val="28"/>
        </w:rPr>
      </w:pPr>
      <w:bookmarkStart w:id="9" w:name="_Toc195434088"/>
      <w:bookmarkStart w:id="10" w:name="_Toc464510797"/>
      <w:r>
        <w:rPr>
          <w:rFonts w:hint="eastAsia" w:ascii="仿宋_GB2312" w:eastAsia="仿宋_GB2312" w:cs="Arial"/>
          <w:color w:val="000000"/>
          <w:sz w:val="28"/>
          <w:szCs w:val="28"/>
        </w:rPr>
        <w:t>1.2 项目概况</w:t>
      </w:r>
      <w:bookmarkEnd w:id="9"/>
      <w:bookmarkEnd w:id="10"/>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1.2.1 项目地点</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该项目位于汕头市桑浦山山脚下</w:t>
      </w:r>
      <w:r>
        <w:rPr>
          <w:rFonts w:hint="eastAsia" w:ascii="仿宋_GB2312" w:eastAsia="仿宋_GB2312"/>
          <w:color w:val="000000"/>
          <w:sz w:val="28"/>
          <w:szCs w:val="28"/>
        </w:rPr>
        <w:t>。</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1.2.2 建设标准及建设内容</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桑浦山龙泉岩森林消防应急通道上山段（慈园路）工程按城市支路标准建设，设计车速为30公里/小时，总计长度1180米，规划道路路宽为15米。项目道路总体沿南北走向；全线中间含6个交叉口。</w:t>
      </w:r>
    </w:p>
    <w:p>
      <w:pPr>
        <w:spacing w:beforeLines="50" w:afterLines="50" w:line="540" w:lineRule="exact"/>
        <w:ind w:firstLine="560" w:firstLineChars="200"/>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本工程建设内容包括道路工程、排水管道工程、道路照明工程。其中，道路工程包括道路挖土方、拆除原路面、新建车行道、新建人行道、种植行道树、交通标线、路缘石及零星项目等；排水管道工程包括新建管道、雨水口、检查井、沟槽支护和零星项目等；道路照明工程包括安装单臂路灯、电缆、过道井、路灯专用控制箱和变压器等。</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 xml:space="preserve">1.2.3 </w:t>
      </w:r>
      <w:bookmarkEnd w:id="8"/>
      <w:r>
        <w:rPr>
          <w:rFonts w:hint="eastAsia" w:ascii="仿宋_GB2312" w:hAnsi="Arial" w:eastAsia="仿宋_GB2312" w:cs="Arial"/>
          <w:bCs/>
          <w:color w:val="000000"/>
          <w:sz w:val="28"/>
          <w:szCs w:val="28"/>
        </w:rPr>
        <w:t>主要建设条件</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项目用地所在区域含原慈园路旧道及部分村道，需征地约5亩。地下无管线。项目附近水电供应能满足项目建设、运营需求；当地各类建筑施工材料供应充足，各种</w:t>
      </w:r>
      <w:r>
        <w:rPr>
          <w:rFonts w:hint="eastAsia" w:ascii="仿宋_GB2312" w:hAnsi="宋体" w:eastAsia="仿宋_GB2312" w:cs="宋体"/>
          <w:color w:val="000000"/>
          <w:kern w:val="0"/>
          <w:sz w:val="28"/>
          <w:szCs w:val="28"/>
        </w:rPr>
        <w:t>施工机械设备完备</w:t>
      </w:r>
      <w:r>
        <w:rPr>
          <w:rFonts w:hint="eastAsia" w:ascii="仿宋_GB2312" w:hAnsi="宋体" w:eastAsia="仿宋_GB2312"/>
          <w:color w:val="000000"/>
          <w:sz w:val="28"/>
          <w:szCs w:val="28"/>
        </w:rPr>
        <w:t>。</w:t>
      </w:r>
    </w:p>
    <w:p>
      <w:pPr>
        <w:spacing w:beforeLines="50" w:afterLines="50" w:line="540" w:lineRule="exact"/>
        <w:outlineLvl w:val="2"/>
        <w:rPr>
          <w:rFonts w:ascii="仿宋_GB2312" w:hAnsi="Arial" w:eastAsia="仿宋_GB2312" w:cs="Arial"/>
          <w:bCs/>
          <w:color w:val="000000" w:themeColor="text1"/>
          <w:sz w:val="28"/>
          <w:szCs w:val="28"/>
        </w:rPr>
      </w:pPr>
      <w:r>
        <w:rPr>
          <w:rFonts w:ascii="仿宋_GB2312" w:hAnsi="Arial" w:eastAsia="仿宋_GB2312" w:cs="Arial"/>
          <w:bCs/>
          <w:color w:val="000000" w:themeColor="text1"/>
          <w:sz w:val="28"/>
          <w:szCs w:val="28"/>
        </w:rPr>
        <w:t>1.2.4</w:t>
      </w:r>
      <w:r>
        <w:rPr>
          <w:rFonts w:hint="eastAsia" w:ascii="仿宋_GB2312" w:hAnsi="Arial" w:eastAsia="仿宋_GB2312" w:cs="Arial"/>
          <w:bCs/>
          <w:color w:val="000000" w:themeColor="text1"/>
          <w:sz w:val="28"/>
          <w:szCs w:val="28"/>
        </w:rPr>
        <w:t xml:space="preserve"> 项目投入总资金</w:t>
      </w:r>
    </w:p>
    <w:p>
      <w:pPr>
        <w:spacing w:beforeLines="50" w:afterLines="50" w:line="540" w:lineRule="exact"/>
        <w:ind w:firstLine="560" w:firstLineChars="200"/>
        <w:rPr>
          <w:rFonts w:ascii="仿宋_GB2312" w:hAnsi="Arial" w:eastAsia="仿宋_GB2312"/>
          <w:color w:val="000000" w:themeColor="text1"/>
          <w:sz w:val="28"/>
          <w:szCs w:val="28"/>
          <w:highlight w:val="none"/>
        </w:rPr>
      </w:pPr>
      <w:r>
        <w:rPr>
          <w:rFonts w:hint="eastAsia" w:ascii="仿宋_GB2312" w:hAnsi="Arial" w:eastAsia="仿宋_GB2312"/>
          <w:color w:val="000000" w:themeColor="text1"/>
          <w:sz w:val="28"/>
          <w:szCs w:val="28"/>
        </w:rPr>
        <w:t>项目建设投资</w:t>
      </w:r>
      <w:r>
        <w:rPr>
          <w:rFonts w:hint="eastAsia" w:ascii="仿宋_GB2312" w:hAnsi="Arial" w:eastAsia="仿宋_GB2312"/>
          <w:color w:val="000000" w:themeColor="text1"/>
          <w:sz w:val="28"/>
          <w:szCs w:val="28"/>
          <w:highlight w:val="none"/>
          <w:lang w:eastAsia="zh-CN"/>
        </w:rPr>
        <w:t>2672.65</w:t>
      </w:r>
      <w:r>
        <w:rPr>
          <w:rFonts w:hint="eastAsia" w:ascii="仿宋_GB2312" w:hAnsi="Arial" w:eastAsia="仿宋_GB2312"/>
          <w:color w:val="000000" w:themeColor="text1"/>
          <w:sz w:val="28"/>
          <w:szCs w:val="28"/>
          <w:highlight w:val="none"/>
        </w:rPr>
        <w:t>万元，其中工程费用</w:t>
      </w:r>
      <w:r>
        <w:rPr>
          <w:rFonts w:ascii="仿宋_GB2312" w:hAnsi="Arial" w:eastAsia="仿宋_GB2312"/>
          <w:color w:val="000000" w:themeColor="text1"/>
          <w:sz w:val="28"/>
          <w:szCs w:val="28"/>
          <w:highlight w:val="none"/>
        </w:rPr>
        <w:t>2014.09</w:t>
      </w:r>
      <w:r>
        <w:rPr>
          <w:rFonts w:hint="eastAsia" w:ascii="仿宋_GB2312" w:hAnsi="Arial" w:eastAsia="仿宋_GB2312"/>
          <w:color w:val="000000" w:themeColor="text1"/>
          <w:sz w:val="28"/>
          <w:szCs w:val="28"/>
          <w:highlight w:val="none"/>
        </w:rPr>
        <w:t>万元、其它费用</w:t>
      </w:r>
      <w:r>
        <w:rPr>
          <w:rFonts w:hint="eastAsia" w:ascii="仿宋_GB2312" w:hAnsi="Arial" w:eastAsia="仿宋_GB2312"/>
          <w:color w:val="000000" w:themeColor="text1"/>
          <w:sz w:val="28"/>
          <w:szCs w:val="28"/>
          <w:highlight w:val="none"/>
          <w:lang w:eastAsia="zh-CN"/>
        </w:rPr>
        <w:t>310.42</w:t>
      </w:r>
      <w:r>
        <w:rPr>
          <w:rFonts w:hint="eastAsia" w:ascii="仿宋_GB2312" w:hAnsi="Arial" w:eastAsia="仿宋_GB2312"/>
          <w:color w:val="000000" w:themeColor="text1"/>
          <w:sz w:val="28"/>
          <w:szCs w:val="28"/>
          <w:highlight w:val="none"/>
        </w:rPr>
        <w:t>万元、预备费</w:t>
      </w:r>
      <w:r>
        <w:rPr>
          <w:rFonts w:hint="eastAsia" w:ascii="仿宋_GB2312" w:hAnsi="Arial" w:eastAsia="仿宋_GB2312"/>
          <w:color w:val="000000" w:themeColor="text1"/>
          <w:sz w:val="28"/>
          <w:szCs w:val="28"/>
          <w:highlight w:val="none"/>
          <w:lang w:eastAsia="zh-CN"/>
        </w:rPr>
        <w:t>143.14</w:t>
      </w:r>
      <w:r>
        <w:rPr>
          <w:rFonts w:hint="eastAsia" w:ascii="仿宋_GB2312" w:hAnsi="Arial" w:eastAsia="仿宋_GB2312"/>
          <w:color w:val="000000" w:themeColor="text1"/>
          <w:sz w:val="28"/>
          <w:szCs w:val="28"/>
          <w:highlight w:val="none"/>
        </w:rPr>
        <w:t>万元</w:t>
      </w:r>
      <w:r>
        <w:rPr>
          <w:rFonts w:hint="eastAsia" w:ascii="仿宋_GB2312" w:hAnsi="Arial" w:eastAsia="仿宋_GB2312"/>
          <w:color w:val="000000" w:themeColor="text1"/>
          <w:sz w:val="28"/>
          <w:szCs w:val="28"/>
          <w:highlight w:val="none"/>
          <w:lang w:eastAsia="zh-CN"/>
        </w:rPr>
        <w:t>、征地拆迁费</w:t>
      </w:r>
      <w:r>
        <w:rPr>
          <w:rFonts w:hint="eastAsia" w:ascii="仿宋_GB2312" w:hAnsi="Arial" w:eastAsia="仿宋_GB2312"/>
          <w:color w:val="000000" w:themeColor="text1"/>
          <w:sz w:val="28"/>
          <w:szCs w:val="28"/>
          <w:highlight w:val="none"/>
          <w:lang w:val="en-US" w:eastAsia="zh-CN"/>
        </w:rPr>
        <w:t>205.00万元</w:t>
      </w:r>
      <w:r>
        <w:rPr>
          <w:rFonts w:hint="eastAsia" w:ascii="仿宋_GB2312" w:hAnsi="Arial" w:eastAsia="仿宋_GB2312"/>
          <w:color w:val="000000" w:themeColor="text1"/>
          <w:sz w:val="28"/>
          <w:szCs w:val="28"/>
          <w:highlight w:val="none"/>
        </w:rPr>
        <w:t>。</w:t>
      </w:r>
      <w:r>
        <w:rPr>
          <w:rFonts w:hint="eastAsia" w:ascii="仿宋_GB2312" w:hAnsi="宋体" w:eastAsia="仿宋_GB2312" w:cs="宋体"/>
          <w:color w:val="000000" w:themeColor="text1"/>
          <w:kern w:val="0"/>
          <w:sz w:val="28"/>
          <w:szCs w:val="28"/>
          <w:highlight w:val="none"/>
        </w:rPr>
        <w:t>资金来源为汕头市财政资金。</w:t>
      </w:r>
    </w:p>
    <w:p>
      <w:pPr>
        <w:spacing w:beforeLines="50" w:afterLines="50" w:line="540" w:lineRule="exact"/>
        <w:outlineLvl w:val="2"/>
        <w:rPr>
          <w:rFonts w:ascii="仿宋_GB2312" w:hAnsi="Arial" w:eastAsia="仿宋_GB2312" w:cs="Arial"/>
          <w:bCs/>
          <w:color w:val="000000" w:themeColor="text1"/>
          <w:sz w:val="28"/>
          <w:szCs w:val="28"/>
          <w:highlight w:val="none"/>
        </w:rPr>
      </w:pPr>
      <w:r>
        <w:rPr>
          <w:rFonts w:ascii="仿宋_GB2312" w:hAnsi="Arial" w:eastAsia="仿宋_GB2312" w:cs="Arial"/>
          <w:bCs/>
          <w:color w:val="000000" w:themeColor="text1"/>
          <w:sz w:val="28"/>
          <w:szCs w:val="28"/>
          <w:highlight w:val="none"/>
        </w:rPr>
        <w:t>1.2.5</w:t>
      </w:r>
      <w:r>
        <w:rPr>
          <w:rFonts w:hint="eastAsia" w:ascii="仿宋_GB2312" w:hAnsi="Arial" w:eastAsia="仿宋_GB2312" w:cs="Arial"/>
          <w:bCs/>
          <w:color w:val="000000" w:themeColor="text1"/>
          <w:sz w:val="28"/>
          <w:szCs w:val="28"/>
          <w:highlight w:val="none"/>
        </w:rPr>
        <w:t xml:space="preserve"> 主要技术经济指标</w:t>
      </w:r>
    </w:p>
    <w:p>
      <w:pPr>
        <w:spacing w:beforeLines="50" w:afterLines="50" w:line="540" w:lineRule="exact"/>
        <w:ind w:firstLine="560" w:firstLineChars="200"/>
        <w:rPr>
          <w:rFonts w:ascii="仿宋_GB2312" w:eastAsia="仿宋_GB2312"/>
          <w:color w:val="000000"/>
          <w:sz w:val="28"/>
          <w:szCs w:val="28"/>
          <w:highlight w:val="none"/>
        </w:rPr>
      </w:pPr>
      <w:r>
        <w:rPr>
          <w:rFonts w:hint="eastAsia" w:ascii="仿宋_GB2312" w:eastAsia="仿宋_GB2312"/>
          <w:color w:val="000000"/>
          <w:sz w:val="28"/>
          <w:szCs w:val="28"/>
          <w:highlight w:val="none"/>
        </w:rPr>
        <w:t>主要技术经济指标见表1-1。</w:t>
      </w:r>
    </w:p>
    <w:p>
      <w:pPr>
        <w:ind w:firstLine="562" w:firstLineChars="200"/>
        <w:jc w:val="center"/>
        <w:rPr>
          <w:rFonts w:ascii="仿宋_GB2312" w:eastAsia="仿宋_GB2312"/>
          <w:b/>
          <w:color w:val="000000"/>
          <w:sz w:val="28"/>
          <w:szCs w:val="28"/>
          <w:highlight w:val="none"/>
        </w:rPr>
      </w:pPr>
      <w:bookmarkStart w:id="11" w:name="_Toc195434089"/>
      <w:r>
        <w:rPr>
          <w:rFonts w:hint="eastAsia" w:ascii="仿宋_GB2312" w:eastAsia="仿宋_GB2312"/>
          <w:b/>
          <w:color w:val="000000"/>
          <w:sz w:val="28"/>
          <w:szCs w:val="28"/>
          <w:highlight w:val="none"/>
        </w:rPr>
        <w:t>主要技术经济指标</w:t>
      </w:r>
    </w:p>
    <w:tbl>
      <w:tblPr>
        <w:tblStyle w:val="28"/>
        <w:tblW w:w="8522"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8"/>
        <w:gridCol w:w="3421"/>
        <w:gridCol w:w="1439"/>
        <w:gridCol w:w="1261"/>
        <w:gridCol w:w="157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828" w:type="dxa"/>
            <w:vAlign w:val="center"/>
          </w:tcPr>
          <w:p>
            <w:pPr>
              <w:spacing w:line="300" w:lineRule="exact"/>
              <w:jc w:val="center"/>
              <w:rPr>
                <w:rFonts w:ascii="仿宋_GB2312" w:eastAsia="仿宋_GB2312"/>
                <w:b/>
                <w:color w:val="000000"/>
                <w:sz w:val="24"/>
                <w:highlight w:val="none"/>
              </w:rPr>
            </w:pPr>
            <w:r>
              <w:rPr>
                <w:rFonts w:hint="eastAsia" w:ascii="仿宋_GB2312" w:eastAsia="仿宋_GB2312"/>
                <w:b/>
                <w:color w:val="000000"/>
                <w:sz w:val="24"/>
                <w:highlight w:val="none"/>
              </w:rPr>
              <w:t>序号</w:t>
            </w:r>
          </w:p>
        </w:tc>
        <w:tc>
          <w:tcPr>
            <w:tcW w:w="3421" w:type="dxa"/>
            <w:vAlign w:val="center"/>
          </w:tcPr>
          <w:p>
            <w:pPr>
              <w:spacing w:line="300" w:lineRule="exact"/>
              <w:jc w:val="center"/>
              <w:rPr>
                <w:rFonts w:ascii="仿宋_GB2312" w:eastAsia="仿宋_GB2312"/>
                <w:b/>
                <w:color w:val="000000"/>
                <w:sz w:val="24"/>
                <w:highlight w:val="none"/>
              </w:rPr>
            </w:pPr>
            <w:r>
              <w:rPr>
                <w:rFonts w:hint="eastAsia" w:ascii="仿宋_GB2312" w:eastAsia="仿宋_GB2312"/>
                <w:b/>
                <w:color w:val="000000"/>
                <w:sz w:val="24"/>
                <w:highlight w:val="none"/>
              </w:rPr>
              <w:t>项  目</w:t>
            </w:r>
          </w:p>
        </w:tc>
        <w:tc>
          <w:tcPr>
            <w:tcW w:w="1439" w:type="dxa"/>
            <w:vAlign w:val="center"/>
          </w:tcPr>
          <w:p>
            <w:pPr>
              <w:spacing w:line="300" w:lineRule="exact"/>
              <w:jc w:val="center"/>
              <w:rPr>
                <w:rFonts w:ascii="仿宋_GB2312" w:eastAsia="仿宋_GB2312"/>
                <w:b/>
                <w:color w:val="000000"/>
                <w:sz w:val="24"/>
                <w:highlight w:val="none"/>
              </w:rPr>
            </w:pPr>
            <w:r>
              <w:rPr>
                <w:rFonts w:hint="eastAsia" w:ascii="仿宋_GB2312" w:eastAsia="仿宋_GB2312"/>
                <w:b/>
                <w:color w:val="000000"/>
                <w:sz w:val="24"/>
                <w:highlight w:val="none"/>
              </w:rPr>
              <w:t>单  位</w:t>
            </w:r>
          </w:p>
        </w:tc>
        <w:tc>
          <w:tcPr>
            <w:tcW w:w="1261" w:type="dxa"/>
            <w:vAlign w:val="center"/>
          </w:tcPr>
          <w:p>
            <w:pPr>
              <w:spacing w:line="300" w:lineRule="exact"/>
              <w:jc w:val="center"/>
              <w:rPr>
                <w:rFonts w:ascii="仿宋_GB2312" w:eastAsia="仿宋_GB2312"/>
                <w:b/>
                <w:color w:val="000000"/>
                <w:sz w:val="24"/>
                <w:highlight w:val="none"/>
              </w:rPr>
            </w:pPr>
            <w:r>
              <w:rPr>
                <w:rFonts w:hint="eastAsia" w:ascii="仿宋_GB2312" w:eastAsia="仿宋_GB2312"/>
                <w:b/>
                <w:color w:val="000000"/>
                <w:sz w:val="24"/>
                <w:highlight w:val="none"/>
              </w:rPr>
              <w:t>指  标</w:t>
            </w:r>
          </w:p>
        </w:tc>
        <w:tc>
          <w:tcPr>
            <w:tcW w:w="1573" w:type="dxa"/>
            <w:vAlign w:val="center"/>
          </w:tcPr>
          <w:p>
            <w:pPr>
              <w:spacing w:line="300" w:lineRule="exact"/>
              <w:jc w:val="center"/>
              <w:rPr>
                <w:rFonts w:ascii="仿宋_GB2312" w:eastAsia="仿宋_GB2312"/>
                <w:b/>
                <w:color w:val="000000"/>
                <w:sz w:val="24"/>
                <w:highlight w:val="none"/>
              </w:rPr>
            </w:pPr>
            <w:r>
              <w:rPr>
                <w:rFonts w:hint="eastAsia" w:ascii="仿宋_GB2312" w:eastAsia="仿宋_GB2312"/>
                <w:b/>
                <w:color w:val="000000"/>
                <w:sz w:val="24"/>
                <w:highlight w:val="none"/>
              </w:rPr>
              <w:t>备  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rPr>
        <w:tc>
          <w:tcPr>
            <w:tcW w:w="828" w:type="dxa"/>
            <w:vAlign w:val="center"/>
          </w:tcPr>
          <w:p>
            <w:pPr>
              <w:spacing w:line="300" w:lineRule="exact"/>
              <w:jc w:val="center"/>
              <w:rPr>
                <w:rFonts w:ascii="仿宋_GB2312" w:eastAsia="仿宋_GB2312"/>
                <w:color w:val="000000"/>
                <w:sz w:val="24"/>
                <w:highlight w:val="none"/>
              </w:rPr>
            </w:pPr>
            <w:r>
              <w:rPr>
                <w:rFonts w:hint="eastAsia" w:ascii="仿宋_GB2312" w:eastAsia="仿宋_GB2312"/>
                <w:color w:val="000000"/>
                <w:sz w:val="24"/>
                <w:highlight w:val="none"/>
              </w:rPr>
              <w:t>1</w:t>
            </w:r>
          </w:p>
        </w:tc>
        <w:tc>
          <w:tcPr>
            <w:tcW w:w="3421"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路线总长</w:t>
            </w:r>
          </w:p>
        </w:tc>
        <w:tc>
          <w:tcPr>
            <w:tcW w:w="1439"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米</w:t>
            </w:r>
          </w:p>
        </w:tc>
        <w:tc>
          <w:tcPr>
            <w:tcW w:w="1261"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1180</w:t>
            </w:r>
          </w:p>
        </w:tc>
        <w:tc>
          <w:tcPr>
            <w:tcW w:w="1573" w:type="dxa"/>
            <w:vAlign w:val="center"/>
          </w:tcPr>
          <w:p>
            <w:pPr>
              <w:spacing w:line="300" w:lineRule="exact"/>
              <w:jc w:val="center"/>
              <w:rPr>
                <w:rFonts w:ascii="仿宋_GB2312" w:eastAsia="仿宋_GB2312"/>
                <w:color w:val="000000"/>
                <w:sz w:val="24"/>
                <w:highlight w:val="none"/>
              </w:rPr>
            </w:pPr>
            <w:r>
              <w:rPr>
                <w:rFonts w:hint="eastAsia" w:ascii="仿宋_GB2312" w:eastAsia="仿宋_GB2312"/>
                <w:color w:val="000000"/>
                <w:sz w:val="24"/>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rPr>
        <w:tc>
          <w:tcPr>
            <w:tcW w:w="828" w:type="dxa"/>
            <w:vAlign w:val="center"/>
          </w:tcPr>
          <w:p>
            <w:pPr>
              <w:spacing w:line="300" w:lineRule="exact"/>
              <w:jc w:val="center"/>
              <w:rPr>
                <w:rFonts w:ascii="仿宋_GB2312" w:eastAsia="仿宋_GB2312"/>
                <w:color w:val="000000"/>
                <w:sz w:val="24"/>
                <w:highlight w:val="none"/>
              </w:rPr>
            </w:pPr>
            <w:r>
              <w:rPr>
                <w:rFonts w:hint="eastAsia" w:ascii="仿宋_GB2312" w:eastAsia="仿宋_GB2312"/>
                <w:color w:val="000000"/>
                <w:sz w:val="24"/>
                <w:highlight w:val="none"/>
              </w:rPr>
              <w:t>2</w:t>
            </w:r>
          </w:p>
        </w:tc>
        <w:tc>
          <w:tcPr>
            <w:tcW w:w="3421"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公路等级</w:t>
            </w:r>
          </w:p>
        </w:tc>
        <w:tc>
          <w:tcPr>
            <w:tcW w:w="1439"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级</w:t>
            </w:r>
          </w:p>
        </w:tc>
        <w:tc>
          <w:tcPr>
            <w:tcW w:w="1261"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城市支路</w:t>
            </w:r>
          </w:p>
        </w:tc>
        <w:tc>
          <w:tcPr>
            <w:tcW w:w="1573" w:type="dxa"/>
            <w:vAlign w:val="center"/>
          </w:tcPr>
          <w:p>
            <w:pPr>
              <w:spacing w:line="300" w:lineRule="exact"/>
              <w:jc w:val="center"/>
              <w:rPr>
                <w:rFonts w:ascii="仿宋_GB2312" w:eastAsia="仿宋_GB2312"/>
                <w:color w:val="000000"/>
                <w:sz w:val="24"/>
                <w:highlight w:val="none"/>
              </w:rPr>
            </w:pPr>
            <w:r>
              <w:rPr>
                <w:rFonts w:hint="eastAsia" w:ascii="仿宋_GB2312" w:eastAsia="仿宋_GB2312"/>
                <w:color w:val="000000"/>
                <w:sz w:val="24"/>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rPr>
        <w:tc>
          <w:tcPr>
            <w:tcW w:w="828" w:type="dxa"/>
            <w:vAlign w:val="center"/>
          </w:tcPr>
          <w:p>
            <w:pPr>
              <w:spacing w:line="300" w:lineRule="exact"/>
              <w:jc w:val="center"/>
              <w:rPr>
                <w:rFonts w:ascii="仿宋_GB2312" w:eastAsia="仿宋_GB2312"/>
                <w:color w:val="000000"/>
                <w:sz w:val="24"/>
                <w:highlight w:val="none"/>
              </w:rPr>
            </w:pPr>
            <w:r>
              <w:rPr>
                <w:rFonts w:hint="eastAsia" w:ascii="仿宋_GB2312" w:eastAsia="仿宋_GB2312"/>
                <w:color w:val="000000"/>
                <w:sz w:val="24"/>
                <w:highlight w:val="none"/>
              </w:rPr>
              <w:t>3</w:t>
            </w:r>
          </w:p>
        </w:tc>
        <w:tc>
          <w:tcPr>
            <w:tcW w:w="3421"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设计行车速度</w:t>
            </w:r>
          </w:p>
        </w:tc>
        <w:tc>
          <w:tcPr>
            <w:tcW w:w="1439"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公里/小时</w:t>
            </w:r>
          </w:p>
        </w:tc>
        <w:tc>
          <w:tcPr>
            <w:tcW w:w="1261"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30</w:t>
            </w:r>
          </w:p>
        </w:tc>
        <w:tc>
          <w:tcPr>
            <w:tcW w:w="1573" w:type="dxa"/>
            <w:vAlign w:val="center"/>
          </w:tcPr>
          <w:p>
            <w:pPr>
              <w:spacing w:line="300" w:lineRule="exact"/>
              <w:jc w:val="center"/>
              <w:rPr>
                <w:rFonts w:ascii="仿宋_GB2312" w:eastAsia="仿宋_GB2312"/>
                <w:color w:val="000000"/>
                <w:sz w:val="24"/>
                <w:highlight w:val="none"/>
              </w:rPr>
            </w:pPr>
            <w:r>
              <w:rPr>
                <w:rFonts w:hint="eastAsia" w:ascii="仿宋_GB2312" w:eastAsia="仿宋_GB2312"/>
                <w:color w:val="000000"/>
                <w:sz w:val="24"/>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rPr>
        <w:tc>
          <w:tcPr>
            <w:tcW w:w="828" w:type="dxa"/>
            <w:vAlign w:val="center"/>
          </w:tcPr>
          <w:p>
            <w:pPr>
              <w:spacing w:line="300" w:lineRule="exact"/>
              <w:jc w:val="center"/>
              <w:rPr>
                <w:rFonts w:ascii="仿宋_GB2312" w:eastAsia="仿宋_GB2312"/>
                <w:color w:val="000000"/>
                <w:sz w:val="24"/>
                <w:highlight w:val="none"/>
              </w:rPr>
            </w:pPr>
            <w:r>
              <w:rPr>
                <w:rFonts w:hint="eastAsia" w:ascii="仿宋_GB2312" w:eastAsia="仿宋_GB2312"/>
                <w:color w:val="000000"/>
                <w:sz w:val="24"/>
                <w:highlight w:val="none"/>
              </w:rPr>
              <w:t>4</w:t>
            </w:r>
          </w:p>
        </w:tc>
        <w:tc>
          <w:tcPr>
            <w:tcW w:w="3421"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道路宽度</w:t>
            </w:r>
          </w:p>
        </w:tc>
        <w:tc>
          <w:tcPr>
            <w:tcW w:w="1439" w:type="dxa"/>
            <w:vAlign w:val="center"/>
          </w:tcPr>
          <w:p>
            <w:pPr>
              <w:pStyle w:val="31"/>
              <w:ind w:firstLine="0"/>
              <w:jc w:val="center"/>
              <w:rPr>
                <w:rFonts w:ascii="仿宋_GB2312" w:eastAsia="仿宋_GB2312"/>
                <w:color w:val="000000"/>
                <w:sz w:val="24"/>
                <w:highlight w:val="none"/>
              </w:rPr>
            </w:pPr>
            <w:r>
              <w:rPr>
                <w:rFonts w:hint="eastAsia" w:ascii="仿宋_GB2312" w:eastAsia="仿宋_GB2312"/>
                <w:color w:val="000000"/>
                <w:sz w:val="24"/>
                <w:highlight w:val="none"/>
              </w:rPr>
              <w:t>米</w:t>
            </w:r>
          </w:p>
        </w:tc>
        <w:tc>
          <w:tcPr>
            <w:tcW w:w="1261"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15</w:t>
            </w:r>
          </w:p>
        </w:tc>
        <w:tc>
          <w:tcPr>
            <w:tcW w:w="1573" w:type="dxa"/>
            <w:vAlign w:val="center"/>
          </w:tcPr>
          <w:p>
            <w:pPr>
              <w:spacing w:line="300" w:lineRule="exact"/>
              <w:jc w:val="center"/>
              <w:rPr>
                <w:rFonts w:ascii="仿宋_GB2312" w:eastAsia="仿宋_GB2312"/>
                <w:color w:val="000000"/>
                <w:sz w:val="24"/>
                <w:highlight w:val="none"/>
              </w:rPr>
            </w:pPr>
            <w:r>
              <w:rPr>
                <w:rFonts w:hint="eastAsia" w:ascii="仿宋_GB2312" w:eastAsia="仿宋_GB2312"/>
                <w:color w:val="000000"/>
                <w:sz w:val="24"/>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PrEx>
        <w:trPr>
          <w:trHeight w:val="397" w:hRule="exact"/>
        </w:trPr>
        <w:tc>
          <w:tcPr>
            <w:tcW w:w="828"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5</w:t>
            </w:r>
          </w:p>
        </w:tc>
        <w:tc>
          <w:tcPr>
            <w:tcW w:w="3421"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总投资</w:t>
            </w:r>
          </w:p>
        </w:tc>
        <w:tc>
          <w:tcPr>
            <w:tcW w:w="1439"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万元</w:t>
            </w:r>
          </w:p>
        </w:tc>
        <w:tc>
          <w:tcPr>
            <w:tcW w:w="1261" w:type="dxa"/>
            <w:vAlign w:val="center"/>
          </w:tcPr>
          <w:p>
            <w:pPr>
              <w:pStyle w:val="10"/>
              <w:ind w:firstLine="0" w:firstLineChars="0"/>
              <w:jc w:val="center"/>
              <w:rPr>
                <w:rFonts w:hint="eastAsia" w:ascii="仿宋_GB2312" w:eastAsia="仿宋_GB2312"/>
                <w:color w:val="000000" w:themeColor="text1"/>
                <w:sz w:val="24"/>
                <w:highlight w:val="none"/>
                <w:lang w:eastAsia="zh-CN"/>
              </w:rPr>
            </w:pPr>
            <w:r>
              <w:rPr>
                <w:rFonts w:hint="eastAsia" w:ascii="仿宋_GB2312" w:eastAsia="仿宋_GB2312"/>
                <w:color w:val="000000" w:themeColor="text1"/>
                <w:sz w:val="24"/>
                <w:highlight w:val="none"/>
                <w:lang w:eastAsia="zh-CN"/>
              </w:rPr>
              <w:t>2672.65</w:t>
            </w:r>
          </w:p>
        </w:tc>
        <w:tc>
          <w:tcPr>
            <w:tcW w:w="1573" w:type="dxa"/>
            <w:vAlign w:val="center"/>
          </w:tcPr>
          <w:p>
            <w:pPr>
              <w:pStyle w:val="10"/>
              <w:ind w:firstLine="0" w:firstLineChars="0"/>
              <w:jc w:val="center"/>
              <w:rPr>
                <w:rFonts w:ascii="仿宋_GB2312" w:eastAsia="仿宋_GB2312"/>
                <w:color w:val="000000"/>
                <w:sz w:val="24"/>
                <w:highlight w:val="none"/>
              </w:rPr>
            </w:pPr>
            <w:r>
              <w:rPr>
                <w:rFonts w:hint="eastAsia" w:ascii="仿宋_GB2312" w:eastAsia="仿宋_GB2312"/>
                <w:color w:val="000000"/>
                <w:sz w:val="24"/>
                <w:highlight w:val="none"/>
              </w:rPr>
              <w:t>/</w:t>
            </w:r>
          </w:p>
        </w:tc>
      </w:tr>
    </w:tbl>
    <w:p>
      <w:pPr>
        <w:pStyle w:val="3"/>
        <w:spacing w:before="50" w:after="50" w:line="540" w:lineRule="exact"/>
        <w:rPr>
          <w:rFonts w:ascii="仿宋_GB2312" w:eastAsia="仿宋_GB2312" w:cs="Arial"/>
          <w:color w:val="000000"/>
          <w:sz w:val="28"/>
          <w:szCs w:val="28"/>
        </w:rPr>
      </w:pPr>
      <w:bookmarkStart w:id="12" w:name="_Toc464510798"/>
      <w:r>
        <w:rPr>
          <w:rFonts w:hint="eastAsia" w:ascii="仿宋_GB2312" w:eastAsia="仿宋_GB2312" w:cs="Arial"/>
          <w:color w:val="000000"/>
          <w:sz w:val="28"/>
          <w:szCs w:val="28"/>
        </w:rPr>
        <w:t>1.3 结论与建议</w:t>
      </w:r>
      <w:bookmarkEnd w:id="11"/>
      <w:bookmarkEnd w:id="12"/>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ascii="仿宋_GB2312" w:hAnsi="Arial" w:eastAsia="仿宋_GB2312"/>
          <w:color w:val="000000"/>
          <w:sz w:val="28"/>
          <w:szCs w:val="28"/>
        </w:rPr>
      </w:pPr>
      <w:r>
        <w:rPr>
          <w:rFonts w:hint="eastAsia" w:ascii="仿宋_GB2312" w:hAnsi="Arial" w:eastAsia="仿宋_GB2312"/>
          <w:color w:val="000000"/>
          <w:sz w:val="28"/>
          <w:szCs w:val="28"/>
        </w:rPr>
        <w:t>本项目的建设符合</w:t>
      </w:r>
      <w:r>
        <w:rPr>
          <w:rFonts w:hint="eastAsia" w:ascii="仿宋_GB2312" w:eastAsia="仿宋_GB2312"/>
          <w:color w:val="000000"/>
          <w:sz w:val="28"/>
          <w:szCs w:val="28"/>
        </w:rPr>
        <w:t>汕头市总体发展规划</w:t>
      </w:r>
      <w:r>
        <w:rPr>
          <w:rFonts w:hint="eastAsia" w:ascii="仿宋_GB2312" w:hAnsi="Arial" w:eastAsia="仿宋_GB2312"/>
          <w:color w:val="000000"/>
          <w:sz w:val="28"/>
          <w:szCs w:val="28"/>
        </w:rPr>
        <w:t>，完善片区交通网络系统，</w:t>
      </w:r>
      <w:r>
        <w:rPr>
          <w:rFonts w:hint="eastAsia" w:ascii="仿宋_GB2312" w:eastAsia="仿宋_GB2312"/>
          <w:color w:val="000000"/>
          <w:sz w:val="28"/>
          <w:szCs w:val="28"/>
        </w:rPr>
        <w:t>解决片区内的交通连接、与外部路网的接驳问题，</w:t>
      </w:r>
      <w:r>
        <w:rPr>
          <w:rFonts w:hint="eastAsia" w:ascii="仿宋_GB2312" w:hAnsi="Arial" w:eastAsia="仿宋_GB2312"/>
          <w:color w:val="000000"/>
          <w:sz w:val="28"/>
          <w:szCs w:val="28"/>
        </w:rPr>
        <w:t>加速当地城市化进程，带动区域经济社会的发展。项目的建设规模合理，建设工程技术问题完全可以解决，资金来源渠道明确。该项目是基础设施建设项目，社会效益良好，对促进汕头市的经济发展有着积极作用，</w:t>
      </w:r>
      <w:r>
        <w:rPr>
          <w:rFonts w:hint="eastAsia" w:ascii="仿宋_GB2312" w:eastAsia="仿宋_GB2312"/>
          <w:color w:val="000000"/>
          <w:sz w:val="28"/>
          <w:szCs w:val="28"/>
        </w:rPr>
        <w:t>建议政府有关部门在政策上予以大力支持，加快资金的落实，使本项目尽快实施。</w:t>
      </w:r>
    </w:p>
    <w:p>
      <w:pPr>
        <w:pStyle w:val="2"/>
        <w:spacing w:beforeLines="50" w:afterLines="50" w:line="540" w:lineRule="exact"/>
        <w:jc w:val="center"/>
        <w:rPr>
          <w:rFonts w:ascii="仿宋_GB2312" w:eastAsia="仿宋_GB2312"/>
          <w:color w:val="000000"/>
          <w:sz w:val="32"/>
          <w:szCs w:val="32"/>
        </w:rPr>
      </w:pPr>
      <w:r>
        <w:rPr>
          <w:rFonts w:hint="eastAsia" w:ascii="仿宋_GB2312" w:eastAsia="仿宋_GB2312"/>
          <w:color w:val="FF0000"/>
          <w:sz w:val="32"/>
          <w:szCs w:val="32"/>
        </w:rPr>
        <w:br w:type="page"/>
      </w:r>
      <w:bookmarkStart w:id="13" w:name="_Toc464510799"/>
      <w:r>
        <w:rPr>
          <w:rFonts w:hint="eastAsia" w:ascii="仿宋_GB2312" w:eastAsia="仿宋_GB2312"/>
          <w:color w:val="000000"/>
          <w:sz w:val="32"/>
          <w:szCs w:val="32"/>
        </w:rPr>
        <w:t xml:space="preserve">第二章 </w:t>
      </w:r>
      <w:r>
        <w:rPr>
          <w:rFonts w:hint="eastAsia" w:ascii="仿宋_GB2312" w:eastAsia="仿宋_GB2312"/>
          <w:color w:val="000000"/>
          <w:sz w:val="32"/>
          <w:szCs w:val="32"/>
          <w:lang w:val="en-US" w:eastAsia="zh-CN"/>
        </w:rPr>
        <w:t xml:space="preserve"> </w:t>
      </w:r>
      <w:r>
        <w:rPr>
          <w:rFonts w:hint="eastAsia" w:ascii="仿宋_GB2312" w:eastAsia="仿宋_GB2312"/>
          <w:color w:val="000000"/>
          <w:sz w:val="32"/>
          <w:szCs w:val="32"/>
        </w:rPr>
        <w:t>项目建设背景和必要性</w:t>
      </w:r>
      <w:bookmarkEnd w:id="13"/>
    </w:p>
    <w:p>
      <w:pPr>
        <w:pStyle w:val="3"/>
        <w:rPr>
          <w:rFonts w:ascii="仿宋_GB2312" w:eastAsia="仿宋_GB2312" w:cs="Arial"/>
          <w:color w:val="000000"/>
          <w:sz w:val="28"/>
          <w:szCs w:val="28"/>
        </w:rPr>
      </w:pPr>
      <w:bookmarkStart w:id="14" w:name="_Toc464510800"/>
      <w:r>
        <w:rPr>
          <w:rFonts w:hint="eastAsia" w:ascii="仿宋_GB2312" w:eastAsia="仿宋_GB2312" w:cs="Arial"/>
          <w:color w:val="000000"/>
          <w:sz w:val="28"/>
          <w:szCs w:val="28"/>
        </w:rPr>
        <w:t>2.1 建设背景</w:t>
      </w:r>
      <w:bookmarkEnd w:id="14"/>
    </w:p>
    <w:p>
      <w:pPr>
        <w:outlineLvl w:val="2"/>
        <w:rPr>
          <w:rFonts w:ascii="仿宋_GB2312" w:eastAsia="仿宋_GB2312"/>
          <w:b/>
          <w:color w:val="000000"/>
          <w:sz w:val="28"/>
          <w:szCs w:val="28"/>
        </w:rPr>
      </w:pPr>
      <w:bookmarkStart w:id="15" w:name="_Toc425499420"/>
      <w:r>
        <w:rPr>
          <w:rFonts w:hint="eastAsia" w:ascii="仿宋_GB2312" w:eastAsia="仿宋_GB2312"/>
          <w:b/>
          <w:color w:val="000000"/>
          <w:sz w:val="28"/>
          <w:szCs w:val="28"/>
        </w:rPr>
        <w:t xml:space="preserve">2.1.1 </w:t>
      </w:r>
      <w:bookmarkEnd w:id="15"/>
      <w:r>
        <w:rPr>
          <w:rFonts w:hint="eastAsia" w:ascii="仿宋_GB2312" w:eastAsia="仿宋_GB2312"/>
          <w:b/>
          <w:color w:val="000000"/>
          <w:sz w:val="28"/>
          <w:szCs w:val="28"/>
        </w:rPr>
        <w:t>汕头市经济发展现状</w:t>
      </w:r>
    </w:p>
    <w:p>
      <w:pPr>
        <w:spacing w:line="360" w:lineRule="auto"/>
        <w:ind w:firstLine="562"/>
        <w:rPr>
          <w:rFonts w:ascii="仿宋_GB2312" w:eastAsia="仿宋_GB2312"/>
          <w:color w:val="000000"/>
          <w:sz w:val="28"/>
          <w:szCs w:val="28"/>
        </w:rPr>
      </w:pPr>
      <w:r>
        <w:rPr>
          <w:rFonts w:hint="eastAsia" w:ascii="仿宋_GB2312" w:eastAsia="仿宋_GB2312"/>
          <w:color w:val="000000"/>
          <w:sz w:val="28"/>
          <w:szCs w:val="28"/>
        </w:rPr>
        <w:t>汕头市位于广东省东部，韩江三角洲南端，素有“华南要冲，岭东门户”之美称，是全国五大经济特区之一和沿海开放港口城市，也是全国著名侨乡。全市总面积2064平方公里，2015年汕头市常住人口为555.21万人；市区建成区面积250.42平方公里，现辖龙湖、金平、濠江、澄海、潮阳、潮南六个区和南澳县。汕头是全国著名侨乡，是近代中国最大的移民口岸之一。</w:t>
      </w:r>
    </w:p>
    <w:p>
      <w:pPr>
        <w:spacing w:line="360" w:lineRule="auto"/>
        <w:ind w:firstLine="562"/>
        <w:rPr>
          <w:rFonts w:ascii="仿宋_GB2312" w:eastAsia="仿宋_GB2312"/>
          <w:color w:val="000000"/>
          <w:sz w:val="28"/>
          <w:szCs w:val="28"/>
        </w:rPr>
      </w:pPr>
      <w:r>
        <w:rPr>
          <w:rFonts w:hint="eastAsia" w:ascii="仿宋_GB2312" w:eastAsia="仿宋_GB2312"/>
          <w:color w:val="000000"/>
          <w:sz w:val="28"/>
          <w:szCs w:val="28"/>
        </w:rPr>
        <w:t>经过多年的建设，汕头经济社会发展取得了显著成就。荣获“国家卫生城市”、“国家环境保护模范城市”、“中国优秀旅游城市”、“广东省文明城市”等称号。全市形成电子信息、机械装备、纺织服装、工艺玩具、化工塑料、食品医药、印刷包装、音像材料等8大支柱产业和17个产业集群，是中国最大的内衣产业基地，工艺玩具三大生产基地之一、文具用品三大生产基地之一、印刷和包装机械设备四大生产基地之一，澄海区玩具产量约占全世界的30%，潮南区内衣家居服产量约占全国35%。</w:t>
      </w:r>
    </w:p>
    <w:p>
      <w:pPr>
        <w:spacing w:line="360" w:lineRule="auto"/>
        <w:ind w:firstLine="562"/>
        <w:rPr>
          <w:rFonts w:ascii="仿宋_GB2312" w:eastAsia="仿宋_GB2312"/>
          <w:color w:val="000000"/>
          <w:sz w:val="28"/>
          <w:szCs w:val="28"/>
        </w:rPr>
      </w:pPr>
      <w:r>
        <w:rPr>
          <w:rFonts w:hint="eastAsia" w:ascii="仿宋_GB2312" w:eastAsia="仿宋_GB2312"/>
          <w:color w:val="000000"/>
          <w:sz w:val="28"/>
          <w:szCs w:val="28"/>
        </w:rPr>
        <w:t>近年来，汕头市委、市政府认真贯彻落实中央和省委、省政府的各项决策部署，团结带领全市广大党员和干部群众，振奋精神、真抓实干，加快发展、赶超进位，全市经济社会保持平稳较快增长，各项工作取得了新的成绩。2015年，全市GDP达到1850亿元，人均生产总值33406元，比上年增长8.4%，增速高于全国、全省水平，分别比全国、全省高出1.5和0.4个百分点，增速列全省第九。目前汕头市委市政府正带领全市人民贯彻落实省第十一次党代会报告和中共中央政治局委员、广东省委书记胡春华同志莅汕调研的讲话精神，贯彻落实“四个全面”战略布局、奋力实现“三个定位、两个率先”，擦亮特区牌子，加快汕头港口建设，打造区域中心城市，努力早日实现汕头的振兴发展。</w:t>
      </w:r>
    </w:p>
    <w:p>
      <w:pPr>
        <w:outlineLvl w:val="2"/>
        <w:rPr>
          <w:rFonts w:ascii="仿宋_GB2312" w:eastAsia="仿宋_GB2312"/>
          <w:b/>
          <w:color w:val="000000"/>
          <w:sz w:val="28"/>
          <w:szCs w:val="28"/>
        </w:rPr>
      </w:pPr>
      <w:r>
        <w:rPr>
          <w:rFonts w:hint="eastAsia" w:ascii="仿宋_GB2312" w:eastAsia="仿宋_GB2312"/>
          <w:b/>
          <w:color w:val="000000"/>
          <w:sz w:val="28"/>
          <w:szCs w:val="28"/>
        </w:rPr>
        <w:t>2.1.2</w:t>
      </w:r>
      <w:r>
        <w:rPr>
          <w:rFonts w:hint="eastAsia" w:ascii="仿宋_GB2312" w:eastAsia="仿宋_GB2312"/>
          <w:b/>
          <w:color w:val="000000"/>
          <w:sz w:val="28"/>
          <w:szCs w:val="28"/>
          <w:lang w:val="en-US" w:eastAsia="zh-CN"/>
        </w:rPr>
        <w:t xml:space="preserve"> </w:t>
      </w:r>
      <w:r>
        <w:rPr>
          <w:rFonts w:hint="eastAsia" w:ascii="仿宋_GB2312" w:eastAsia="仿宋_GB2312"/>
          <w:b/>
          <w:color w:val="000000"/>
          <w:sz w:val="28"/>
          <w:szCs w:val="28"/>
        </w:rPr>
        <w:t>金平区基本情况</w:t>
      </w:r>
    </w:p>
    <w:p>
      <w:pPr>
        <w:spacing w:line="360" w:lineRule="auto"/>
        <w:ind w:firstLine="562"/>
        <w:rPr>
          <w:rFonts w:ascii="仿宋_GB2312" w:eastAsia="仿宋_GB2312"/>
          <w:color w:val="000000"/>
          <w:sz w:val="28"/>
          <w:szCs w:val="28"/>
        </w:rPr>
      </w:pPr>
      <w:r>
        <w:rPr>
          <w:rFonts w:hint="eastAsia" w:ascii="仿宋_GB2312" w:eastAsia="仿宋_GB2312"/>
          <w:color w:val="000000"/>
          <w:sz w:val="28"/>
          <w:szCs w:val="28"/>
        </w:rPr>
        <w:t>金平区位于汕头市内海湾北岸中西部，地处汕潮揭三市交界的“金三角”，东接龙湖区，南至濠江区、潮阳区，西连揭阳市榕城区地都镇，北邻潮州市潮安区。</w:t>
      </w:r>
    </w:p>
    <w:p>
      <w:pPr>
        <w:spacing w:line="360" w:lineRule="auto"/>
        <w:ind w:firstLine="562"/>
        <w:rPr>
          <w:rFonts w:ascii="仿宋_GB2312" w:eastAsia="仿宋_GB2312"/>
          <w:color w:val="000000"/>
          <w:sz w:val="28"/>
          <w:szCs w:val="28"/>
        </w:rPr>
      </w:pPr>
      <w:r>
        <w:rPr>
          <w:rFonts w:hint="eastAsia" w:ascii="仿宋_GB2312" w:eastAsia="仿宋_GB2312"/>
          <w:color w:val="000000"/>
          <w:sz w:val="28"/>
          <w:szCs w:val="28"/>
        </w:rPr>
        <w:t>2015年，该区完成地区生产总值381.28亿元，比增8.5%；社会消费品零售总额465.73亿元，比增15.3%，占全市总量34.8%，总量及增速继续居全市各区县首位</w:t>
      </w:r>
      <w:r>
        <w:rPr>
          <w:rFonts w:ascii="仿宋_GB2312" w:eastAsia="仿宋_GB2312"/>
          <w:color w:val="000000"/>
          <w:sz w:val="28"/>
          <w:szCs w:val="28"/>
        </w:rPr>
        <w:t>。中心城区城镇常住居民人均可支配收入27237元，增长9.0%；农村常住居民人均可支配收入12857元，增长10.8%。</w:t>
      </w:r>
    </w:p>
    <w:p>
      <w:pPr>
        <w:spacing w:line="360" w:lineRule="auto"/>
        <w:ind w:firstLine="562"/>
        <w:rPr>
          <w:rFonts w:ascii="仿宋_GB2312" w:eastAsia="仿宋_GB2312"/>
          <w:color w:val="000000" w:themeColor="text1"/>
          <w:sz w:val="28"/>
          <w:szCs w:val="28"/>
        </w:rPr>
      </w:pPr>
      <w:r>
        <w:rPr>
          <w:rFonts w:hint="eastAsia" w:ascii="仿宋_GB2312" w:eastAsia="仿宋_GB2312"/>
          <w:color w:val="000000" w:themeColor="text1"/>
          <w:sz w:val="28"/>
          <w:szCs w:val="28"/>
        </w:rPr>
        <w:t>《汕头市金平区国民经济和社会发展第十三个五年规划纲要》（2016—2020年）指出，在规划期内，“统筹规划生产、生活和生态空间，优化城区功能布局”、“打造城市精品文化组团”，而桑浦山生态文化旅游带作为三条旅游产业带之一，将“集生态旅游、礼佛祭祀、革命纪念、康体休闲、古村落等功能为一体”作为发展目标，重塑汕头文化特质，带动全区旅游文化发展，提升城市文化品位。</w:t>
      </w:r>
    </w:p>
    <w:p>
      <w:pPr>
        <w:outlineLvl w:val="2"/>
        <w:rPr>
          <w:rFonts w:ascii="仿宋_GB2312" w:eastAsia="仿宋_GB2312"/>
          <w:b/>
          <w:color w:val="000000"/>
          <w:sz w:val="28"/>
          <w:szCs w:val="28"/>
        </w:rPr>
      </w:pPr>
      <w:r>
        <w:rPr>
          <w:rFonts w:hint="eastAsia" w:ascii="仿宋_GB2312" w:eastAsia="仿宋_GB2312"/>
          <w:b/>
          <w:color w:val="000000"/>
          <w:sz w:val="28"/>
          <w:szCs w:val="28"/>
        </w:rPr>
        <w:t>2.1.3</w:t>
      </w:r>
      <w:r>
        <w:rPr>
          <w:rFonts w:hint="eastAsia" w:ascii="仿宋_GB2312" w:eastAsia="仿宋_GB2312"/>
          <w:b/>
          <w:color w:val="000000"/>
          <w:sz w:val="28"/>
          <w:szCs w:val="28"/>
          <w:lang w:val="en-US" w:eastAsia="zh-CN"/>
        </w:rPr>
        <w:t xml:space="preserve"> </w:t>
      </w:r>
      <w:r>
        <w:rPr>
          <w:rFonts w:hint="eastAsia" w:ascii="仿宋_GB2312" w:eastAsia="仿宋_GB2312"/>
          <w:b/>
          <w:color w:val="000000"/>
          <w:sz w:val="28"/>
          <w:szCs w:val="28"/>
        </w:rPr>
        <w:t>龙泉岩片区基本情况</w:t>
      </w:r>
    </w:p>
    <w:p>
      <w:pPr>
        <w:spacing w:line="360" w:lineRule="auto"/>
        <w:ind w:firstLine="562"/>
        <w:rPr>
          <w:rFonts w:ascii="仿宋_GB2312" w:eastAsia="仿宋_GB2312"/>
          <w:color w:val="000000"/>
          <w:sz w:val="28"/>
          <w:szCs w:val="28"/>
        </w:rPr>
      </w:pPr>
      <w:r>
        <w:rPr>
          <w:rFonts w:hint="eastAsia" w:ascii="仿宋_GB2312" w:eastAsia="仿宋_GB2312"/>
          <w:color w:val="000000"/>
          <w:sz w:val="28"/>
          <w:szCs w:val="28"/>
        </w:rPr>
        <w:t>龙泉岩片区隶属汕头市金平区辖区内，位于潮汕三市的绿色核心——桑浦山之东南部，东临规划的西快速环路，南至大学路和汕头大学北侧，西、北直抵市界，属于汕头市自然生态保护区</w:t>
      </w:r>
      <w:r>
        <w:rPr>
          <w:rFonts w:hint="eastAsia" w:ascii="宋体" w:hAnsi="宋体" w:cs="宋体"/>
          <w:color w:val="000000"/>
          <w:sz w:val="28"/>
          <w:szCs w:val="28"/>
        </w:rPr>
        <w:t>鮀</w:t>
      </w:r>
      <w:r>
        <w:rPr>
          <w:rFonts w:hint="eastAsia" w:ascii="仿宋_GB2312" w:hAnsi="仿宋_GB2312" w:eastAsia="仿宋_GB2312" w:cs="仿宋_GB2312"/>
          <w:color w:val="000000"/>
          <w:sz w:val="28"/>
          <w:szCs w:val="28"/>
        </w:rPr>
        <w:t>浦片区范围之内，总面积</w:t>
      </w:r>
      <w:r>
        <w:rPr>
          <w:rFonts w:hint="eastAsia" w:ascii="仿宋_GB2312" w:eastAsia="仿宋_GB2312"/>
          <w:color w:val="000000"/>
          <w:sz w:val="28"/>
          <w:szCs w:val="28"/>
        </w:rPr>
        <w:t>400.34公顷。片区与汕头城市中心的空间距离约9公里，与揭阳、潮州的关系也十分紧密，距离揭阳市界约6公里，距离潮州市界约2公里。通过毗邻大学路以及规划的西快速路，片区可以便捷的与汕头城市中心、揭阳、潮州产生联系，地理区位优势突出。</w:t>
      </w:r>
    </w:p>
    <w:p>
      <w:pPr>
        <w:spacing w:line="360" w:lineRule="auto"/>
        <w:ind w:firstLine="562"/>
        <w:rPr>
          <w:rFonts w:ascii="仿宋_GB2312" w:eastAsia="仿宋_GB2312"/>
          <w:color w:val="000000"/>
          <w:sz w:val="28"/>
          <w:szCs w:val="28"/>
        </w:rPr>
      </w:pPr>
      <w:r>
        <w:rPr>
          <w:rFonts w:hint="eastAsia" w:ascii="仿宋_GB2312" w:eastAsia="仿宋_GB2312"/>
          <w:color w:val="000000"/>
          <w:sz w:val="28"/>
          <w:szCs w:val="28"/>
        </w:rPr>
        <w:t>片区现状用地以山体形成的自然林地为主，约占片区总面积的65%。建设用地66.94公顷，占片区总面积的16.59%。其中以绿地和宗教活动场所用地为主，共占片区建设用地总面积的72%。绿地中大部分是七日红公园的用地，但其中部分用地尚没有进行建设，仍保留天然的林地性质。宗教活动场所主要是各个寺庙的用地，也是建设量最集中的区域。道路用地主要以现状的大学路和上山串联各个寺庙的龙泉大道为主。</w:t>
      </w:r>
    </w:p>
    <w:p>
      <w:pPr>
        <w:pStyle w:val="3"/>
        <w:rPr>
          <w:rFonts w:ascii="仿宋_GB2312" w:eastAsia="仿宋_GB2312" w:cs="Arial"/>
          <w:color w:val="000000"/>
          <w:sz w:val="28"/>
          <w:szCs w:val="28"/>
        </w:rPr>
      </w:pPr>
      <w:bookmarkStart w:id="16" w:name="_Toc464510801"/>
      <w:r>
        <w:rPr>
          <w:rFonts w:hint="eastAsia" w:ascii="仿宋_GB2312" w:eastAsia="仿宋_GB2312" w:cs="Arial"/>
          <w:color w:val="000000"/>
          <w:sz w:val="28"/>
          <w:szCs w:val="28"/>
        </w:rPr>
        <w:t>2.2 建设必要性</w:t>
      </w:r>
      <w:bookmarkEnd w:id="16"/>
    </w:p>
    <w:p>
      <w:pPr>
        <w:spacing w:beforeLines="50" w:afterLines="50" w:line="540" w:lineRule="exact"/>
        <w:outlineLvl w:val="2"/>
        <w:rPr>
          <w:rFonts w:ascii="仿宋" w:hAnsi="仿宋" w:eastAsia="仿宋"/>
          <w:sz w:val="30"/>
          <w:szCs w:val="30"/>
        </w:rPr>
      </w:pPr>
      <w:r>
        <w:rPr>
          <w:rFonts w:hint="eastAsia" w:ascii="仿宋_GB2312" w:hAnsi="Arial" w:eastAsia="仿宋_GB2312" w:cs="Arial"/>
          <w:b/>
          <w:bCs/>
          <w:color w:val="000000"/>
          <w:sz w:val="28"/>
          <w:szCs w:val="28"/>
        </w:rPr>
        <w:t>2.2.1 本项目是实现“汕头市十三五规划”中加快“中以（汕头）科技创新合作区”建设目标的需要。</w:t>
      </w:r>
    </w:p>
    <w:p>
      <w:pPr>
        <w:autoSpaceDE w:val="0"/>
        <w:autoSpaceDN w:val="0"/>
        <w:adjustRightInd w:val="0"/>
        <w:spacing w:before="156" w:after="156"/>
        <w:ind w:firstLine="560" w:firstLineChars="200"/>
        <w:jc w:val="left"/>
        <w:rPr>
          <w:rFonts w:hint="eastAsia" w:ascii="仿宋_GB2312" w:eastAsia="仿宋_GB2312" w:cs="宋体"/>
          <w:color w:val="000000"/>
          <w:kern w:val="0"/>
          <w:sz w:val="28"/>
          <w:szCs w:val="28"/>
        </w:rPr>
      </w:pPr>
      <w:r>
        <w:rPr>
          <w:rFonts w:hint="eastAsia" w:ascii="仿宋_GB2312" w:eastAsia="仿宋_GB2312" w:cs="宋体"/>
          <w:color w:val="000000"/>
          <w:kern w:val="0"/>
          <w:sz w:val="28"/>
          <w:szCs w:val="28"/>
        </w:rPr>
        <w:t>《汕头市国民经济和社会发展第十三个五年规划纲要》指出，在“十三五”时期（2016—2020年），将依托广东以色列理工学院、汕头大学和汕头高新区西片区，规划建设“中以创新合作区”，中以（汕头）科技创新合作区将作为汕头市重点建设的两大平台之一，将促进中以在政府、高校、科研机构、企业、行业组织等不同层面，开展经济技术交流与应用合作，积极对接转化以色列、欧美科技创新成果，吸引国内外著名高校、大型企业和各种投资基金进入，推进以色列风情居住区建设，力争打造成为国家“一带一路”国际科技创新合作引领区、广东省实施创新驱动发展战略平台、粤东地区高端产业发展新兴基地和国际化田园生态智慧城区。</w:t>
      </w:r>
    </w:p>
    <w:p>
      <w:pPr>
        <w:autoSpaceDE w:val="0"/>
        <w:autoSpaceDN w:val="0"/>
        <w:adjustRightInd w:val="0"/>
        <w:spacing w:before="156" w:after="156"/>
        <w:ind w:firstLine="560" w:firstLineChars="200"/>
        <w:jc w:val="left"/>
        <w:rPr>
          <w:rFonts w:ascii="仿宋_GB2312" w:eastAsia="仿宋_GB2312" w:cs="宋体"/>
          <w:color w:val="000000"/>
          <w:kern w:val="0"/>
          <w:sz w:val="28"/>
          <w:szCs w:val="28"/>
        </w:rPr>
      </w:pPr>
      <w:r>
        <w:rPr>
          <w:rFonts w:hint="eastAsia" w:ascii="仿宋_GB2312" w:eastAsia="仿宋_GB2312" w:cs="宋体"/>
          <w:color w:val="000000"/>
          <w:kern w:val="0"/>
          <w:sz w:val="28"/>
          <w:szCs w:val="28"/>
        </w:rPr>
        <w:t>“十三五”规划还指出，在规划期内将全面推进“中以创新合作区”基础设施项目，而桑浦山人文生态景观区作为合作区内重要的功能分区，其道路基础设施的完善程度将直接影响中以创新合作区的建设。本项目是合作区重要的基础设施，科学、有序、稳步推进开发建设，有助于高效率地实现中以创新合作区的发展规划目标。</w:t>
      </w:r>
    </w:p>
    <w:p>
      <w:pPr>
        <w:spacing w:beforeLines="50" w:afterLines="50" w:line="540" w:lineRule="exact"/>
        <w:outlineLvl w:val="2"/>
        <w:rPr>
          <w:rFonts w:ascii="仿宋_GB2312" w:hAnsi="Arial" w:eastAsia="仿宋_GB2312" w:cs="Arial"/>
          <w:b/>
          <w:bCs/>
          <w:color w:val="000000"/>
          <w:sz w:val="28"/>
          <w:szCs w:val="28"/>
        </w:rPr>
      </w:pPr>
      <w:r>
        <w:rPr>
          <w:rFonts w:hint="eastAsia" w:ascii="仿宋_GB2312" w:hAnsi="Arial" w:eastAsia="仿宋_GB2312" w:cs="Arial"/>
          <w:b/>
          <w:bCs/>
          <w:color w:val="000000"/>
          <w:sz w:val="28"/>
          <w:szCs w:val="28"/>
        </w:rPr>
        <w:t>2.2.2</w:t>
      </w:r>
      <w:r>
        <w:rPr>
          <w:rFonts w:hint="eastAsia" w:ascii="仿宋_GB2312" w:hAnsi="Arial" w:eastAsia="仿宋_GB2312" w:cs="Arial"/>
          <w:b/>
          <w:bCs/>
          <w:color w:val="000000"/>
          <w:sz w:val="28"/>
          <w:szCs w:val="28"/>
          <w:lang w:val="en-US" w:eastAsia="zh-CN"/>
        </w:rPr>
        <w:t xml:space="preserve"> </w:t>
      </w:r>
      <w:r>
        <w:rPr>
          <w:rFonts w:hint="eastAsia" w:ascii="仿宋_GB2312" w:hAnsi="Arial" w:eastAsia="仿宋_GB2312" w:cs="Arial"/>
          <w:b/>
          <w:bCs/>
          <w:color w:val="000000"/>
          <w:sz w:val="28"/>
          <w:szCs w:val="28"/>
        </w:rPr>
        <w:t>本项目是打通桑浦山龙泉岩景区，形成骨架路网的需要。</w:t>
      </w:r>
    </w:p>
    <w:p>
      <w:pPr>
        <w:autoSpaceDE w:val="0"/>
        <w:autoSpaceDN w:val="0"/>
        <w:adjustRightInd w:val="0"/>
        <w:ind w:firstLine="560" w:firstLineChars="200"/>
        <w:jc w:val="left"/>
        <w:rPr>
          <w:rFonts w:ascii="仿宋_GB2312" w:eastAsia="仿宋_GB2312" w:cs="宋体"/>
          <w:color w:val="000000"/>
          <w:kern w:val="0"/>
          <w:sz w:val="28"/>
          <w:szCs w:val="28"/>
        </w:rPr>
      </w:pPr>
      <w:r>
        <w:rPr>
          <w:rFonts w:hint="eastAsia" w:ascii="仿宋_GB2312" w:eastAsia="仿宋_GB2312" w:cs="宋体"/>
          <w:color w:val="000000"/>
          <w:kern w:val="0"/>
          <w:sz w:val="28"/>
          <w:szCs w:val="28"/>
        </w:rPr>
        <w:t>桑浦山龙泉岩景区出入口及该片区森林消防应急通道道路陡峭，转弯半径小，加上缺乏规范管理，“脏乱差”现象严重，存在较大的交通、防火安全隐患。通往龙泉禅寺、铁林禅寺伯公庙旅游景区的道路目前只有慈园路旧道，区内静态交通设施例如停车场布局和规模不足，对动态交通影响较大。同时也缺乏考虑货运交通与一般机动车交通、非机动车交通、步行交通的关系，各类交通交叉混杂，安全性及通畅性受到一定的负面影响。</w:t>
      </w:r>
    </w:p>
    <w:p>
      <w:pPr>
        <w:autoSpaceDE w:val="0"/>
        <w:autoSpaceDN w:val="0"/>
        <w:adjustRightInd w:val="0"/>
        <w:ind w:firstLine="560" w:firstLineChars="200"/>
        <w:jc w:val="left"/>
        <w:rPr>
          <w:rFonts w:ascii="仿宋_GB2312" w:eastAsia="仿宋_GB2312" w:cs="宋体"/>
          <w:color w:val="000000"/>
          <w:kern w:val="0"/>
          <w:sz w:val="28"/>
          <w:szCs w:val="28"/>
          <w:highlight w:val="cyan"/>
        </w:rPr>
      </w:pPr>
      <w:r>
        <w:rPr>
          <w:rFonts w:hint="eastAsia" w:ascii="仿宋_GB2312" w:hAnsi="宋体" w:eastAsia="仿宋_GB2312"/>
          <w:color w:val="000000"/>
          <w:sz w:val="28"/>
          <w:szCs w:val="28"/>
        </w:rPr>
        <w:t>桑浦山龙泉岩森林消防应急通道上山段（慈园路）工程</w:t>
      </w:r>
      <w:r>
        <w:rPr>
          <w:rFonts w:hint="eastAsia" w:ascii="仿宋_GB2312" w:hAnsi="Arial" w:eastAsia="仿宋_GB2312" w:cs="Arial"/>
          <w:bCs/>
          <w:color w:val="000000"/>
          <w:sz w:val="28"/>
          <w:szCs w:val="28"/>
        </w:rPr>
        <w:t>在原慈园路旧道的基础上进行升级改造，该道路的建设</w:t>
      </w:r>
      <w:r>
        <w:rPr>
          <w:rFonts w:hint="eastAsia" w:ascii="仿宋_GB2312" w:eastAsia="仿宋_GB2312"/>
          <w:color w:val="000000"/>
          <w:sz w:val="28"/>
          <w:szCs w:val="28"/>
        </w:rPr>
        <w:t>能解决片区内的交通连接和部分路网的沟通问题，其建设将大大加快旅游区的开发进度。</w:t>
      </w:r>
    </w:p>
    <w:p>
      <w:pPr>
        <w:spacing w:beforeLines="50" w:afterLines="50" w:line="540" w:lineRule="exact"/>
        <w:outlineLvl w:val="2"/>
        <w:rPr>
          <w:rFonts w:ascii="仿宋_GB2312" w:hAnsi="Arial" w:eastAsia="仿宋_GB2312" w:cs="Arial"/>
          <w:b/>
          <w:bCs/>
          <w:color w:val="000000"/>
          <w:sz w:val="28"/>
          <w:szCs w:val="28"/>
        </w:rPr>
      </w:pPr>
      <w:r>
        <w:rPr>
          <w:rFonts w:hint="eastAsia" w:ascii="仿宋_GB2312" w:hAnsi="Arial" w:eastAsia="仿宋_GB2312" w:cs="Arial"/>
          <w:b/>
          <w:bCs/>
          <w:color w:val="000000"/>
          <w:sz w:val="28"/>
          <w:szCs w:val="28"/>
        </w:rPr>
        <w:t>2.2.3</w:t>
      </w:r>
      <w:r>
        <w:rPr>
          <w:rFonts w:hint="eastAsia" w:ascii="仿宋_GB2312" w:hAnsi="Arial" w:eastAsia="仿宋_GB2312" w:cs="Arial"/>
          <w:b/>
          <w:bCs/>
          <w:color w:val="000000"/>
          <w:sz w:val="28"/>
          <w:szCs w:val="28"/>
          <w:lang w:val="en-US" w:eastAsia="zh-CN"/>
        </w:rPr>
        <w:t xml:space="preserve"> </w:t>
      </w:r>
      <w:r>
        <w:rPr>
          <w:rFonts w:hint="eastAsia" w:ascii="仿宋_GB2312" w:hAnsi="宋体" w:eastAsia="仿宋_GB2312"/>
          <w:b/>
          <w:color w:val="000000"/>
          <w:sz w:val="28"/>
          <w:szCs w:val="28"/>
        </w:rPr>
        <w:t>桑浦山龙泉岩森林消防应急通道上山段（慈园路）工程</w:t>
      </w:r>
      <w:r>
        <w:rPr>
          <w:rFonts w:hint="eastAsia" w:ascii="仿宋_GB2312" w:hAnsi="Arial" w:eastAsia="仿宋_GB2312" w:cs="Arial"/>
          <w:b/>
          <w:bCs/>
          <w:color w:val="000000"/>
          <w:sz w:val="28"/>
          <w:szCs w:val="28"/>
        </w:rPr>
        <w:t>是区域经济、旅游发展的需要</w:t>
      </w:r>
      <w:r>
        <w:rPr>
          <w:rFonts w:hint="eastAsia" w:ascii="仿宋_GB2312" w:hAnsi="Arial" w:eastAsia="仿宋_GB2312" w:cs="Arial"/>
          <w:b/>
          <w:bCs/>
          <w:color w:val="000000"/>
          <w:sz w:val="28"/>
          <w:szCs w:val="28"/>
          <w:lang w:eastAsia="zh-CN"/>
        </w:rPr>
        <w:t>。</w:t>
      </w:r>
    </w:p>
    <w:p>
      <w:pPr>
        <w:ind w:firstLine="555"/>
        <w:rPr>
          <w:rFonts w:ascii="仿宋_GB2312" w:eastAsia="仿宋_GB2312"/>
          <w:color w:val="000000"/>
          <w:sz w:val="28"/>
          <w:szCs w:val="28"/>
        </w:rPr>
      </w:pPr>
      <w:r>
        <w:rPr>
          <w:rFonts w:hint="eastAsia" w:ascii="仿宋_GB2312" w:eastAsia="仿宋_GB2312"/>
          <w:color w:val="000000"/>
          <w:sz w:val="28"/>
          <w:szCs w:val="28"/>
        </w:rPr>
        <w:t>随着该片区广东以色列理工学院、中以科技创新合作园区等一系列重点项目的落地和建设，将会吸引更多的旅游以及高新科技、文化、科研等方面的企业进驻，交通需求将会超出现有道路的承载力，薄弱的交通基础设施是区域发展的“瓶颈”，严重制约区域的开发实施，因此规划建设桑浦山龙泉岩片区森林消防应急道路时机成熟，十分迫切。</w:t>
      </w:r>
    </w:p>
    <w:p>
      <w:pPr>
        <w:ind w:firstLine="555"/>
        <w:rPr>
          <w:rFonts w:ascii="仿宋_GB2312" w:eastAsia="仿宋_GB2312"/>
          <w:color w:val="000000"/>
          <w:sz w:val="28"/>
          <w:szCs w:val="28"/>
        </w:rPr>
      </w:pPr>
      <w:r>
        <w:rPr>
          <w:rFonts w:hint="eastAsia" w:ascii="仿宋_GB2312" w:eastAsia="仿宋_GB2312"/>
          <w:color w:val="000000"/>
          <w:sz w:val="28"/>
          <w:szCs w:val="28"/>
        </w:rPr>
        <w:t>建立高效便捷的交通系统，缓解交通不畅、运输压力等问题，是优化旅游环境的重要措施。本项目的建设有利提高道路沿线地域经济价值，对促进土地开发利用将发挥重要的作用。本项目的建设是区域建设的先锋，更是全市经济发展的战略要素。</w:t>
      </w:r>
    </w:p>
    <w:p>
      <w:pPr>
        <w:spacing w:beforeLines="50" w:afterLines="50" w:line="540" w:lineRule="exact"/>
        <w:outlineLvl w:val="2"/>
        <w:rPr>
          <w:rFonts w:ascii="仿宋_GB2312" w:hAnsi="Arial" w:eastAsia="仿宋_GB2312" w:cs="Arial"/>
          <w:b/>
          <w:bCs/>
          <w:color w:val="000000"/>
          <w:sz w:val="28"/>
          <w:szCs w:val="28"/>
        </w:rPr>
      </w:pPr>
      <w:r>
        <w:rPr>
          <w:rFonts w:hint="eastAsia" w:ascii="仿宋_GB2312" w:hAnsi="Arial" w:eastAsia="仿宋_GB2312" w:cs="Arial"/>
          <w:b/>
          <w:bCs/>
          <w:color w:val="000000"/>
          <w:sz w:val="28"/>
          <w:szCs w:val="28"/>
        </w:rPr>
        <w:t>2.2.4</w:t>
      </w:r>
      <w:r>
        <w:rPr>
          <w:rFonts w:hint="eastAsia" w:ascii="仿宋_GB2312" w:hAnsi="Arial" w:eastAsia="仿宋_GB2312" w:cs="Arial"/>
          <w:b/>
          <w:bCs/>
          <w:color w:val="000000"/>
          <w:sz w:val="28"/>
          <w:szCs w:val="28"/>
          <w:lang w:val="en-US" w:eastAsia="zh-CN"/>
        </w:rPr>
        <w:t xml:space="preserve"> </w:t>
      </w:r>
      <w:r>
        <w:rPr>
          <w:rFonts w:hint="eastAsia" w:ascii="仿宋_GB2312" w:hAnsi="宋体" w:eastAsia="仿宋_GB2312"/>
          <w:b/>
          <w:color w:val="000000"/>
          <w:sz w:val="28"/>
          <w:szCs w:val="28"/>
        </w:rPr>
        <w:t>桑浦山龙泉岩森林消防应急通道上山段（慈园路）工程</w:t>
      </w:r>
      <w:r>
        <w:rPr>
          <w:rFonts w:hint="eastAsia" w:ascii="仿宋_GB2312" w:hAnsi="Arial" w:eastAsia="仿宋_GB2312" w:cs="Arial"/>
          <w:b/>
          <w:bCs/>
          <w:color w:val="000000"/>
          <w:sz w:val="28"/>
          <w:szCs w:val="28"/>
        </w:rPr>
        <w:t>有利于《汕头市桑浦山龙泉岩片区专项控制规划》的实施。</w:t>
      </w:r>
    </w:p>
    <w:p>
      <w:pPr>
        <w:ind w:firstLine="555"/>
        <w:rPr>
          <w:rFonts w:ascii="仿宋_GB2312" w:eastAsia="仿宋_GB2312"/>
          <w:color w:val="000000"/>
          <w:sz w:val="28"/>
          <w:szCs w:val="28"/>
        </w:rPr>
      </w:pPr>
      <w:r>
        <w:rPr>
          <w:rFonts w:hint="eastAsia" w:ascii="仿宋_GB2312" w:eastAsia="仿宋_GB2312"/>
          <w:color w:val="000000"/>
          <w:sz w:val="28"/>
          <w:szCs w:val="28"/>
        </w:rPr>
        <w:t>根据《汕头市桑浦山龙泉岩片区专项控制规划》中期目标，2014—2020年将全面启动山林、寺庙群、七日红和其他景区的建设，开展山地植被的改造工作，完善风景区的功能，促使风景区进一步发展，使其成为广东省内具有一定知名度的风景名胜区。</w:t>
      </w:r>
    </w:p>
    <w:p>
      <w:pPr>
        <w:ind w:firstLine="555"/>
        <w:rPr>
          <w:rFonts w:ascii="仿宋_GB2312" w:eastAsia="仿宋_GB2312"/>
          <w:color w:val="000000"/>
          <w:sz w:val="28"/>
          <w:szCs w:val="28"/>
        </w:rPr>
      </w:pPr>
      <w:r>
        <w:rPr>
          <w:rFonts w:hint="eastAsia" w:ascii="仿宋_GB2312" w:hAnsi="宋体" w:eastAsia="仿宋_GB2312"/>
          <w:color w:val="000000"/>
          <w:sz w:val="28"/>
          <w:szCs w:val="28"/>
        </w:rPr>
        <w:t>桑浦山龙泉岩森林消防应急通道上山段（慈园路）工程</w:t>
      </w:r>
      <w:r>
        <w:rPr>
          <w:rFonts w:hint="eastAsia" w:ascii="仿宋_GB2312" w:eastAsia="仿宋_GB2312"/>
          <w:color w:val="000000"/>
          <w:sz w:val="28"/>
          <w:szCs w:val="28"/>
        </w:rPr>
        <w:t>的建设，将会大大提升片区内的交通路网的通行能力，完善片区内的交通基础设施建设，为实现专项控制规划打下坚实基础。</w:t>
      </w:r>
    </w:p>
    <w:p>
      <w:pPr>
        <w:spacing w:line="360" w:lineRule="auto"/>
        <w:ind w:firstLine="562"/>
        <w:rPr>
          <w:rFonts w:ascii="仿宋_GB2312" w:eastAsia="仿宋_GB2312"/>
          <w:b/>
          <w:color w:val="000000"/>
          <w:sz w:val="28"/>
          <w:szCs w:val="28"/>
        </w:rPr>
      </w:pPr>
      <w:r>
        <w:rPr>
          <w:rFonts w:hint="eastAsia" w:ascii="仿宋_GB2312" w:eastAsia="仿宋_GB2312"/>
          <w:b/>
          <w:color w:val="000000"/>
          <w:sz w:val="28"/>
          <w:szCs w:val="28"/>
        </w:rPr>
        <w:t>综上所述，本项目建设是十分必要的。</w:t>
      </w:r>
    </w:p>
    <w:p>
      <w:pPr>
        <w:ind w:firstLine="555"/>
        <w:rPr>
          <w:rFonts w:ascii="仿宋_GB2312" w:eastAsia="仿宋_GB2312"/>
          <w:color w:val="000000"/>
          <w:sz w:val="28"/>
          <w:szCs w:val="28"/>
        </w:rPr>
      </w:pPr>
    </w:p>
    <w:p>
      <w:pPr>
        <w:pStyle w:val="3"/>
        <w:rPr>
          <w:rFonts w:ascii="仿宋_GB2312" w:eastAsia="仿宋_GB2312" w:cs="Arial"/>
          <w:color w:val="000000"/>
          <w:sz w:val="28"/>
          <w:szCs w:val="28"/>
        </w:rPr>
      </w:pPr>
      <w:r>
        <w:rPr>
          <w:rFonts w:hint="eastAsia" w:ascii="仿宋_GB2312" w:eastAsia="仿宋_GB2312"/>
          <w:color w:val="FF0000"/>
        </w:rPr>
        <w:br w:type="page"/>
      </w:r>
      <w:bookmarkStart w:id="17" w:name="_Toc464510802"/>
      <w:r>
        <w:rPr>
          <w:rFonts w:hint="eastAsia" w:ascii="仿宋_GB2312" w:eastAsia="仿宋_GB2312" w:cs="Arial"/>
          <w:color w:val="000000"/>
          <w:sz w:val="28"/>
          <w:szCs w:val="28"/>
        </w:rPr>
        <w:t>2.3 项目交通需求分析</w:t>
      </w:r>
      <w:bookmarkEnd w:id="17"/>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2.3.1 影响区域</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本项目建设道路位于汕头市桑浦山山脚下，项目道路连接烟汕线呈南北走向，路线全长1180米。其影响区域主要为通向龙泉禅寺、铁林禅寺、伯公庙旅游区内部区域。</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2.3.2 道路级别确定</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根据汕头市道路交通规划，桑浦山龙泉岩森林消防应急通道上山段（慈园路）工程按城市支路标准建设，设计车速为30公里/小时，总计长度1180米，规划道路路宽为15米。项目道路总体沿南北走向；全线中间含6个交叉口。</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另外，本项目的道路建成后，</w:t>
      </w:r>
      <w:r>
        <w:rPr>
          <w:rFonts w:hint="eastAsia" w:ascii="仿宋_GB2312" w:hAnsi="华文仿宋" w:eastAsia="仿宋_GB2312"/>
          <w:color w:val="000000"/>
          <w:sz w:val="28"/>
          <w:szCs w:val="28"/>
        </w:rPr>
        <w:t>项目的建成，有利片区内交通路网的连通，缓解周边地域道路的运输压力，同时促进当地旅游业的发展。</w:t>
      </w:r>
      <w:r>
        <w:rPr>
          <w:rFonts w:hint="eastAsia" w:ascii="仿宋_GB2312" w:hAnsi="宋体" w:eastAsia="仿宋_GB2312"/>
          <w:color w:val="000000"/>
          <w:sz w:val="28"/>
          <w:szCs w:val="28"/>
        </w:rPr>
        <w:t>交通车流主要为游客的出入车流，符合设计规范中支路的交通流量。</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综合以上，本项目道路级别确定为支路等级。其道路各方面设计的标准参照相关道路交通规划设计要求。</w:t>
      </w:r>
    </w:p>
    <w:p>
      <w:pPr>
        <w:spacing w:beforeLines="50" w:afterLines="50" w:line="540" w:lineRule="exact"/>
        <w:ind w:firstLine="560" w:firstLineChars="200"/>
        <w:rPr>
          <w:rFonts w:ascii="仿宋_GB2312" w:hAnsi="宋体" w:eastAsia="仿宋_GB2312"/>
          <w:color w:val="FF0000"/>
          <w:sz w:val="28"/>
          <w:szCs w:val="28"/>
        </w:rPr>
      </w:pPr>
    </w:p>
    <w:p>
      <w:pPr>
        <w:spacing w:beforeLines="50" w:afterLines="50" w:line="540" w:lineRule="exact"/>
        <w:ind w:firstLine="560" w:firstLineChars="200"/>
        <w:rPr>
          <w:rFonts w:ascii="仿宋_GB2312" w:hAnsi="宋体" w:eastAsia="仿宋_GB2312"/>
          <w:color w:val="FF0000"/>
          <w:sz w:val="28"/>
          <w:szCs w:val="28"/>
        </w:rPr>
        <w:sectPr>
          <w:headerReference r:id="rId8" w:type="first"/>
          <w:footerReference r:id="rId9" w:type="default"/>
          <w:footerReference r:id="rId10" w:type="even"/>
          <w:pgSz w:w="11906" w:h="16838"/>
          <w:pgMar w:top="1440" w:right="1800" w:bottom="1440" w:left="1800" w:header="851" w:footer="840" w:gutter="0"/>
          <w:pgNumType w:start="1"/>
          <w:cols w:space="425" w:num="1"/>
          <w:docGrid w:type="lines" w:linePitch="312" w:charSpace="0"/>
        </w:sectPr>
      </w:pPr>
    </w:p>
    <w:p>
      <w:pPr>
        <w:pStyle w:val="2"/>
        <w:spacing w:beforeLines="50" w:afterLines="50" w:line="540" w:lineRule="exact"/>
        <w:jc w:val="center"/>
        <w:rPr>
          <w:rFonts w:ascii="仿宋_GB2312" w:eastAsia="仿宋_GB2312"/>
          <w:color w:val="000000"/>
        </w:rPr>
      </w:pPr>
      <w:bookmarkStart w:id="18" w:name="_Toc464510803"/>
      <w:r>
        <w:rPr>
          <w:rFonts w:hint="eastAsia" w:ascii="仿宋_GB2312" w:eastAsia="仿宋_GB2312"/>
          <w:color w:val="000000"/>
          <w:sz w:val="32"/>
          <w:szCs w:val="32"/>
        </w:rPr>
        <w:t>第三章  项目选址</w:t>
      </w:r>
      <w:bookmarkEnd w:id="18"/>
    </w:p>
    <w:p>
      <w:pPr>
        <w:pStyle w:val="3"/>
        <w:rPr>
          <w:rFonts w:ascii="仿宋_GB2312" w:eastAsia="仿宋_GB2312" w:cs="Arial"/>
          <w:color w:val="000000"/>
          <w:sz w:val="28"/>
          <w:szCs w:val="28"/>
        </w:rPr>
      </w:pPr>
      <w:bookmarkStart w:id="19" w:name="_Toc464510804"/>
      <w:r>
        <w:rPr>
          <w:rFonts w:hint="eastAsia" w:ascii="仿宋_GB2312" w:eastAsia="仿宋_GB2312" w:cs="Arial"/>
          <w:color w:val="000000"/>
          <w:sz w:val="28"/>
          <w:szCs w:val="28"/>
        </w:rPr>
        <w:t>3.1 场址现状</w:t>
      </w:r>
      <w:bookmarkEnd w:id="19"/>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3.1.1 地点与地理位置</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1、建设地点</w:t>
      </w:r>
    </w:p>
    <w:p>
      <w:pPr>
        <w:spacing w:beforeLines="50" w:afterLines="50" w:line="540" w:lineRule="exact"/>
        <w:ind w:firstLine="560" w:firstLineChars="200"/>
        <w:rPr>
          <w:rFonts w:ascii="仿宋_GB2312" w:hAnsi="宋体" w:eastAsia="仿宋_GB2312"/>
          <w:color w:val="000000"/>
          <w:sz w:val="28"/>
          <w:szCs w:val="28"/>
        </w:rPr>
      </w:pPr>
      <w:r>
        <w:rPr>
          <w:rFonts w:ascii="仿宋_GB2312" w:hAnsi="宋体" w:eastAsia="仿宋_GB2312"/>
          <w:color w:val="000000"/>
          <w:sz w:val="28"/>
          <w:szCs w:val="28"/>
        </w:rPr>
        <w:pict>
          <v:shape id="_x0000_s1080" o:spid="_x0000_s1080" o:spt="61" type="#_x0000_t61" style="position:absolute;left:0pt;margin-left:184.9pt;margin-top:143.85pt;height:29pt;width:60.5pt;z-index:251660288;mso-width-relative:page;mso-height-relative:page;" fillcolor="#C0504D" filled="t" stroked="f" coordsize="21600,21600" adj="1214">
            <v:path/>
            <v:fill on="t" focussize="0,0"/>
            <v:stroke on="f" weight="3pt" color="#F2F2F2" joinstyle="miter"/>
            <v:imagedata o:title=""/>
            <o:lock v:ext="edit"/>
            <v:shadow on="t" type="perspective" color="#622423" opacity="32768f" offset="1pt,2pt" offset2="-1pt,-2pt"/>
            <v:textbox>
              <w:txbxContent>
                <w:p>
                  <w:pPr>
                    <w:rPr>
                      <w:rFonts w:ascii="宋体" w:hAnsi="宋体"/>
                      <w:b/>
                    </w:rPr>
                  </w:pPr>
                  <w:r>
                    <w:rPr>
                      <w:rFonts w:hint="eastAsia" w:ascii="宋体" w:hAnsi="宋体"/>
                      <w:b/>
                    </w:rPr>
                    <w:t>项目地址</w:t>
                  </w:r>
                </w:p>
              </w:txbxContent>
            </v:textbox>
          </v:shape>
        </w:pict>
      </w:r>
      <w:r>
        <w:rPr>
          <w:rFonts w:hint="eastAsia" w:ascii="仿宋_GB2312" w:hAnsi="宋体" w:eastAsia="仿宋_GB2312"/>
          <w:color w:val="000000"/>
          <w:sz w:val="28"/>
          <w:szCs w:val="28"/>
        </w:rPr>
        <w:t>该项目位于汕头市桑浦山山脚下。</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drawing>
          <wp:anchor distT="0" distB="0" distL="114300" distR="114300" simplePos="0" relativeHeight="251659264" behindDoc="0" locked="0" layoutInCell="1" allowOverlap="1">
            <wp:simplePos x="0" y="0"/>
            <wp:positionH relativeFrom="column">
              <wp:posOffset>241300</wp:posOffset>
            </wp:positionH>
            <wp:positionV relativeFrom="paragraph">
              <wp:posOffset>24765</wp:posOffset>
            </wp:positionV>
            <wp:extent cx="5263515" cy="3646170"/>
            <wp:effectExtent l="19050" t="0" r="0" b="0"/>
            <wp:wrapSquare wrapText="bothSides"/>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15"/>
                    <a:srcRect/>
                    <a:stretch>
                      <a:fillRect/>
                    </a:stretch>
                  </pic:blipFill>
                  <pic:spPr>
                    <a:xfrm>
                      <a:off x="0" y="0"/>
                      <a:ext cx="5263515" cy="3646170"/>
                    </a:xfrm>
                    <a:prstGeom prst="rect">
                      <a:avLst/>
                    </a:prstGeom>
                    <a:noFill/>
                    <a:ln w="9525">
                      <a:noFill/>
                      <a:miter lim="800000"/>
                      <a:headEnd/>
                      <a:tailEnd/>
                    </a:ln>
                  </pic:spPr>
                </pic:pic>
              </a:graphicData>
            </a:graphic>
          </wp:anchor>
        </w:drawing>
      </w:r>
      <w:r>
        <w:rPr>
          <w:rFonts w:hint="eastAsia" w:ascii="仿宋_GB2312" w:hAnsi="Arial" w:eastAsia="仿宋_GB2312" w:cs="Arial"/>
          <w:bCs/>
          <w:color w:val="000000"/>
          <w:sz w:val="28"/>
          <w:szCs w:val="28"/>
        </w:rPr>
        <w:t>3.1.2 土地权属类别与占地面积</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本项目用地为市政道路用地及部分集体用地，土地权属类别为国有土地。项目道路红线宽15米，长1180米，建设总面积为20216平方米。</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3.1.3 用地现状</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项目用地所在区域含原慈园路旧道及部分村道，需征地约5亩。</w:t>
      </w:r>
    </w:p>
    <w:p>
      <w:pPr>
        <w:pStyle w:val="3"/>
        <w:rPr>
          <w:rFonts w:ascii="仿宋_GB2312" w:eastAsia="仿宋_GB2312" w:cs="Arial"/>
          <w:color w:val="000000"/>
          <w:sz w:val="28"/>
          <w:szCs w:val="28"/>
        </w:rPr>
      </w:pPr>
      <w:bookmarkStart w:id="20" w:name="_Toc464510805"/>
      <w:r>
        <w:rPr>
          <w:rFonts w:hint="eastAsia" w:ascii="仿宋_GB2312" w:eastAsia="仿宋_GB2312" w:cs="Arial"/>
          <w:color w:val="000000"/>
          <w:sz w:val="28"/>
          <w:szCs w:val="28"/>
        </w:rPr>
        <w:t>3.2 建设条件</w:t>
      </w:r>
      <w:bookmarkEnd w:id="20"/>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3.2.1 地形、地貌情况</w:t>
      </w:r>
    </w:p>
    <w:p>
      <w:pPr>
        <w:spacing w:line="360" w:lineRule="auto"/>
        <w:ind w:firstLine="437"/>
        <w:rPr>
          <w:rFonts w:ascii="仿宋_GB2312" w:eastAsia="仿宋_GB2312"/>
          <w:color w:val="000000"/>
          <w:sz w:val="28"/>
          <w:szCs w:val="28"/>
        </w:rPr>
      </w:pPr>
      <w:r>
        <w:rPr>
          <w:rFonts w:hint="eastAsia" w:ascii="仿宋_GB2312" w:eastAsia="仿宋_GB2312"/>
          <w:color w:val="000000"/>
          <w:sz w:val="28"/>
          <w:szCs w:val="28"/>
        </w:rPr>
        <w:t>本项目所在片区大部分土质为湿黏土、湿沙土和砾砂等，地质为砾砂、粒砂和细砂，地质条件良好，地表水系发达。根据本地区经验资料及区域地质资料，场区内地下水对混凝土不具腐蚀性，适宜建设。</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3.2.2</w:t>
      </w: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气候、气象条件</w:t>
      </w:r>
    </w:p>
    <w:p>
      <w:pPr>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 xml:space="preserve">汕头位于亚热带，处于赤道低气压带和副热带高气压带之间，在东北信风带的南缘。汕头市地处亚欧大陆的东南端、太平洋西岸，濒临南海。冬季常吹偏北风，夏季常吹偏南风或东南风，具有明显的季风气候特征。   </w:t>
      </w:r>
    </w:p>
    <w:p>
      <w:pPr>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北回归线从汕头市区北域通过。全市温和湿润，阳光充足，雨水充沛，无霜期长，春季潮湿，阴雨日多；初夏气温回升，冷暖多变，常有暴雨，盛夏虽高温而少酷暑，常受台风袭击；秋季凉爽干燥，天气晴朗，气温下降明显；冬无严寒，但有短期寒冷。 　　</w:t>
      </w:r>
    </w:p>
    <w:p>
      <w:pPr>
        <w:spacing w:line="360" w:lineRule="auto"/>
        <w:ind w:firstLine="560" w:firstLineChars="200"/>
        <w:rPr>
          <w:rFonts w:ascii="仿宋_GB2312" w:hAnsi="宋体" w:eastAsia="仿宋_GB2312"/>
          <w:color w:val="FF0000"/>
          <w:sz w:val="28"/>
          <w:szCs w:val="28"/>
        </w:rPr>
      </w:pPr>
      <w:r>
        <w:rPr>
          <w:rFonts w:hint="eastAsia" w:ascii="仿宋_GB2312" w:eastAsia="仿宋_GB2312"/>
          <w:color w:val="000000"/>
          <w:sz w:val="28"/>
          <w:szCs w:val="28"/>
        </w:rPr>
        <w:t>年日照2000--2500小时，日照最短为3月份。年降雨量1300—1800毫米，多集中在4—9月份。年平均气温18℃--22℃，最低气温在0℃以上；最高气温35℃—38℃，多出现于7月中旬至8月初受太平洋副热带高压控制期间。冬季偶有短时霜冻。</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3.2.3 交通运输条件</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目前的汕头，已形成海陆空交通综合配套、电力供应充足、通信发达的现代化基础设施体系。汕头港是全国25个主要港口之一，与国际260多个港口有货运往来，已开通至地中海、南美、东南亚、日韩、西非等多条国际集装箱班轮航线。广澳港区防波堤、海门港区华能煤炭中转基地正加快建设。广梅汕铁路连接全国铁路网；是全国45个公路主枢纽城市，以高速公路（深汕、汕汾、汕梅）、国道（324、206线）、省道组成的公路网四通八达。开展交通基础设施建设大会战，汕揭梅高速公路全线建成通车，汕湛、潮惠、揭惠高速汕头段正加紧建设，潮汕环线高速公路计划2015年开工；厦深铁路开通运行，厦深联络线动工建设；全长11.08公里的南澳大桥建成通车。在空运方面，潮汕机场距离汕头28.5公里，可满足B767型等级飞机的起降要求，满足年旅客吞吐量450万人次。在公共交通方面，中心城区年末拥有出租汽车1015辆，公共交通线路69条，客运量10078万人次，公共轮渡营运船只7艘，客运量309万人次。</w:t>
      </w:r>
    </w:p>
    <w:p>
      <w:pPr>
        <w:spacing w:beforeLines="50" w:afterLines="50" w:line="540" w:lineRule="exact"/>
        <w:ind w:firstLine="560" w:firstLineChars="200"/>
        <w:rPr>
          <w:rFonts w:ascii="仿宋_GB2312" w:hAnsi="宋体" w:eastAsia="仿宋_GB2312" w:cs="宋体"/>
          <w:color w:val="000000"/>
          <w:kern w:val="0"/>
          <w:sz w:val="28"/>
          <w:szCs w:val="28"/>
        </w:rPr>
      </w:pPr>
      <w:r>
        <w:rPr>
          <w:rFonts w:hint="eastAsia" w:ascii="仿宋_GB2312" w:hAnsi="宋体" w:eastAsia="仿宋_GB2312"/>
          <w:color w:val="000000"/>
          <w:sz w:val="28"/>
          <w:szCs w:val="28"/>
        </w:rPr>
        <w:t>项目连接烟汕线，用地周边有多个公交站点，方便市民到达。烟汕线为市区纵向主要交通干道，交通便利。</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3.2.4</w:t>
      </w: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施工条件</w:t>
      </w:r>
    </w:p>
    <w:p>
      <w:pPr>
        <w:spacing w:beforeLines="50" w:afterLines="50" w:line="540" w:lineRule="exact"/>
        <w:ind w:firstLine="560" w:firstLineChars="200"/>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本项目所在地有道路可通达，附近有足够的水源和电源，保证施工需要，当地劳动力、建筑施工材料充足，施工机械设备运送方便，为项目建设的按期完成奠定了坚实基础。</w:t>
      </w:r>
    </w:p>
    <w:p>
      <w:pPr>
        <w:ind w:firstLine="560" w:firstLineChars="200"/>
        <w:rPr>
          <w:rFonts w:ascii="仿宋_GB2312" w:hAnsi="Arial" w:eastAsia="仿宋_GB2312"/>
          <w:color w:val="FF0000"/>
          <w:sz w:val="28"/>
          <w:szCs w:val="28"/>
        </w:rPr>
        <w:sectPr>
          <w:pgSz w:w="11906" w:h="16838"/>
          <w:pgMar w:top="1440" w:right="1800" w:bottom="1440" w:left="1800" w:header="851" w:footer="840" w:gutter="0"/>
          <w:cols w:space="425" w:num="1"/>
          <w:docGrid w:type="lines" w:linePitch="312" w:charSpace="0"/>
        </w:sectPr>
      </w:pPr>
    </w:p>
    <w:p>
      <w:pPr>
        <w:pStyle w:val="2"/>
        <w:jc w:val="center"/>
        <w:rPr>
          <w:rFonts w:ascii="仿宋_GB2312" w:eastAsia="仿宋_GB2312"/>
          <w:color w:val="000000"/>
          <w:sz w:val="32"/>
          <w:szCs w:val="32"/>
        </w:rPr>
      </w:pPr>
      <w:bookmarkStart w:id="21" w:name="_Toc464510806"/>
      <w:r>
        <w:rPr>
          <w:rFonts w:hint="eastAsia" w:ascii="仿宋_GB2312" w:eastAsia="仿宋_GB2312"/>
          <w:color w:val="000000"/>
          <w:sz w:val="32"/>
          <w:szCs w:val="32"/>
        </w:rPr>
        <w:t>第四章  建设规模、技术标准与设计方案</w:t>
      </w:r>
      <w:bookmarkEnd w:id="21"/>
    </w:p>
    <w:p>
      <w:pPr>
        <w:pStyle w:val="3"/>
        <w:rPr>
          <w:rFonts w:ascii="仿宋_GB2312" w:eastAsia="仿宋_GB2312" w:cs="Arial"/>
          <w:color w:val="000000"/>
          <w:sz w:val="28"/>
          <w:szCs w:val="28"/>
        </w:rPr>
      </w:pPr>
      <w:bookmarkStart w:id="22" w:name="_Toc464510807"/>
      <w:r>
        <w:rPr>
          <w:rFonts w:hint="eastAsia" w:ascii="仿宋_GB2312" w:eastAsia="仿宋_GB2312" w:cs="Arial"/>
          <w:color w:val="000000"/>
          <w:sz w:val="28"/>
          <w:szCs w:val="28"/>
        </w:rPr>
        <w:t>4.1 规范依据</w:t>
      </w:r>
      <w:bookmarkEnd w:id="22"/>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1、《城市道路交通规划设计规范》（GB50220-95）；</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2、《城市道路设计规范》（CJJ37-90）；</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3、《公路工程地质勘察规范》（JTJ064-98）；</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4、《城市道路照明设计标准》（CJJ45-2006）；</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5、《公路工程技术标准》（JTGB01-2003）；</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6、《公路路线设计规范》（JTGD20-2006）；</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7、《公路水泥混凝土路面设计规范》（JTGD40-2002）；</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8、《公路路基设计规范》（JTGD30-2004）；</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9、《公路工程抗震设计规范》（JTJ004-89）；</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10、《公路工程面基层施工技术规范》（JTJ034－2000）；</w:t>
      </w:r>
    </w:p>
    <w:p>
      <w:pPr>
        <w:spacing w:beforeLines="50" w:afterLines="50" w:line="540" w:lineRule="exact"/>
        <w:ind w:firstLine="560" w:firstLineChars="200"/>
        <w:rPr>
          <w:rFonts w:ascii="仿宋_GB2312" w:hAnsi="宋体" w:eastAsia="仿宋_GB2312"/>
          <w:color w:val="000000"/>
          <w:szCs w:val="28"/>
        </w:rPr>
      </w:pPr>
      <w:r>
        <w:rPr>
          <w:rFonts w:hint="eastAsia" w:ascii="仿宋_GB2312" w:hAnsi="宋体" w:eastAsia="仿宋_GB2312"/>
          <w:color w:val="000000"/>
          <w:sz w:val="28"/>
          <w:szCs w:val="28"/>
        </w:rPr>
        <w:t>11、《关于公路建设可行性研究的规定》。</w:t>
      </w:r>
    </w:p>
    <w:p>
      <w:pPr>
        <w:pStyle w:val="3"/>
        <w:rPr>
          <w:rFonts w:ascii="仿宋_GB2312" w:eastAsia="仿宋_GB2312" w:cs="Arial"/>
          <w:color w:val="000000"/>
          <w:sz w:val="28"/>
          <w:szCs w:val="28"/>
        </w:rPr>
      </w:pPr>
      <w:bookmarkStart w:id="23" w:name="_Toc464510808"/>
      <w:r>
        <w:rPr>
          <w:rFonts w:hint="eastAsia" w:ascii="仿宋_GB2312" w:eastAsia="仿宋_GB2312" w:cs="Arial"/>
          <w:color w:val="000000"/>
          <w:sz w:val="28"/>
          <w:szCs w:val="28"/>
        </w:rPr>
        <w:t>4.2 建设规模</w:t>
      </w:r>
      <w:bookmarkEnd w:id="23"/>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桑浦山龙泉岩森林消防应急通道上山段（慈园路）工程按城市支路标准建设，设计车速为30公里/小时，总计长度1180米，路宽15米，行车道路面宽9米。项目道路总体呈南北走向；全线中间含6个交叉口。</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道路设计起点为大学路与慈园路交叉口界限，设计终点为龙泉岩上山道路起点位置。</w:t>
      </w:r>
    </w:p>
    <w:p>
      <w:pPr>
        <w:pStyle w:val="3"/>
        <w:rPr>
          <w:rFonts w:ascii="仿宋_GB2312" w:eastAsia="仿宋_GB2312" w:cs="Arial"/>
          <w:color w:val="000000"/>
          <w:sz w:val="28"/>
          <w:szCs w:val="28"/>
        </w:rPr>
      </w:pPr>
      <w:bookmarkStart w:id="24" w:name="_Toc464510809"/>
      <w:r>
        <w:rPr>
          <w:rFonts w:hint="eastAsia" w:ascii="仿宋_GB2312" w:eastAsia="仿宋_GB2312" w:cs="Arial"/>
          <w:color w:val="000000"/>
          <w:sz w:val="28"/>
          <w:szCs w:val="28"/>
        </w:rPr>
        <w:t>4.3 技术标准</w:t>
      </w:r>
      <w:bookmarkEnd w:id="24"/>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全线主要技术标准见表4-1。</w:t>
      </w:r>
    </w:p>
    <w:p>
      <w:pPr>
        <w:jc w:val="center"/>
        <w:rPr>
          <w:rFonts w:ascii="仿宋_GB2312" w:eastAsia="仿宋_GB2312"/>
          <w:b/>
          <w:color w:val="000000"/>
          <w:sz w:val="28"/>
          <w:szCs w:val="28"/>
        </w:rPr>
      </w:pPr>
      <w:r>
        <w:rPr>
          <w:rFonts w:hint="eastAsia" w:ascii="仿宋_GB2312" w:eastAsia="仿宋_GB2312"/>
          <w:b/>
          <w:color w:val="000000"/>
          <w:sz w:val="28"/>
          <w:szCs w:val="28"/>
        </w:rPr>
        <w:t>主要技术标准</w:t>
      </w:r>
    </w:p>
    <w:p>
      <w:pPr>
        <w:pStyle w:val="10"/>
        <w:ind w:firstLine="240" w:firstLineChars="100"/>
        <w:rPr>
          <w:rFonts w:ascii="仿宋_GB2312" w:hAnsi="宋体" w:eastAsia="仿宋_GB2312"/>
          <w:color w:val="000000"/>
          <w:szCs w:val="28"/>
        </w:rPr>
      </w:pPr>
      <w:r>
        <w:rPr>
          <w:rFonts w:hint="eastAsia" w:ascii="仿宋_GB2312" w:eastAsia="仿宋_GB2312"/>
          <w:color w:val="000000"/>
          <w:sz w:val="24"/>
        </w:rPr>
        <w:t>表4-1</w:t>
      </w:r>
    </w:p>
    <w:tbl>
      <w:tblPr>
        <w:tblStyle w:val="28"/>
        <w:tblpPr w:leftFromText="180" w:rightFromText="180" w:vertAnchor="text" w:horzAnchor="margin" w:tblpY="163"/>
        <w:tblW w:w="8522"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2025"/>
        <w:gridCol w:w="1133"/>
        <w:gridCol w:w="2045"/>
        <w:gridCol w:w="240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pStyle w:val="10"/>
              <w:spacing w:line="360" w:lineRule="auto"/>
              <w:ind w:firstLine="0" w:firstLineChars="0"/>
              <w:jc w:val="center"/>
              <w:rPr>
                <w:rFonts w:ascii="仿宋_GB2312" w:eastAsia="仿宋_GB2312"/>
                <w:b/>
                <w:color w:val="000000"/>
                <w:sz w:val="24"/>
              </w:rPr>
            </w:pPr>
            <w:r>
              <w:rPr>
                <w:rFonts w:hint="eastAsia" w:ascii="仿宋_GB2312" w:eastAsia="仿宋_GB2312"/>
                <w:b/>
                <w:color w:val="000000"/>
                <w:sz w:val="24"/>
              </w:rPr>
              <w:t>序号</w:t>
            </w:r>
          </w:p>
        </w:tc>
        <w:tc>
          <w:tcPr>
            <w:tcW w:w="2025" w:type="dxa"/>
          </w:tcPr>
          <w:p>
            <w:pPr>
              <w:pStyle w:val="10"/>
              <w:spacing w:line="360" w:lineRule="auto"/>
              <w:ind w:firstLine="0" w:firstLineChars="0"/>
              <w:jc w:val="center"/>
              <w:rPr>
                <w:rFonts w:ascii="仿宋_GB2312" w:eastAsia="仿宋_GB2312"/>
                <w:b/>
                <w:color w:val="000000"/>
                <w:sz w:val="24"/>
              </w:rPr>
            </w:pPr>
            <w:r>
              <w:rPr>
                <w:rFonts w:hint="eastAsia" w:ascii="仿宋_GB2312" w:eastAsia="仿宋_GB2312"/>
                <w:b/>
                <w:color w:val="000000"/>
                <w:sz w:val="24"/>
              </w:rPr>
              <w:t>项目</w:t>
            </w:r>
          </w:p>
        </w:tc>
        <w:tc>
          <w:tcPr>
            <w:tcW w:w="1133" w:type="dxa"/>
          </w:tcPr>
          <w:p>
            <w:pPr>
              <w:pStyle w:val="10"/>
              <w:spacing w:line="360" w:lineRule="auto"/>
              <w:ind w:firstLine="0" w:firstLineChars="0"/>
              <w:jc w:val="center"/>
              <w:rPr>
                <w:rFonts w:ascii="仿宋_GB2312" w:eastAsia="仿宋_GB2312"/>
                <w:b/>
                <w:color w:val="000000"/>
                <w:sz w:val="24"/>
              </w:rPr>
            </w:pPr>
            <w:r>
              <w:rPr>
                <w:rFonts w:hint="eastAsia" w:ascii="仿宋_GB2312" w:eastAsia="仿宋_GB2312"/>
                <w:b/>
                <w:color w:val="000000"/>
                <w:sz w:val="24"/>
              </w:rPr>
              <w:t>单位</w:t>
            </w:r>
          </w:p>
        </w:tc>
        <w:tc>
          <w:tcPr>
            <w:tcW w:w="2045" w:type="dxa"/>
          </w:tcPr>
          <w:p>
            <w:pPr>
              <w:pStyle w:val="10"/>
              <w:spacing w:line="360" w:lineRule="auto"/>
              <w:ind w:firstLine="0" w:firstLineChars="0"/>
              <w:jc w:val="center"/>
              <w:rPr>
                <w:rFonts w:ascii="仿宋_GB2312" w:eastAsia="仿宋_GB2312"/>
                <w:b/>
                <w:color w:val="000000"/>
                <w:sz w:val="24"/>
              </w:rPr>
            </w:pPr>
            <w:r>
              <w:rPr>
                <w:rFonts w:hint="eastAsia" w:ascii="仿宋_GB2312" w:eastAsia="仿宋_GB2312"/>
                <w:b/>
                <w:color w:val="000000"/>
                <w:sz w:val="24"/>
              </w:rPr>
              <w:t>设计规范值</w:t>
            </w:r>
          </w:p>
        </w:tc>
        <w:tc>
          <w:tcPr>
            <w:tcW w:w="2400" w:type="dxa"/>
          </w:tcPr>
          <w:p>
            <w:pPr>
              <w:pStyle w:val="10"/>
              <w:spacing w:line="360" w:lineRule="auto"/>
              <w:ind w:firstLine="0" w:firstLineChars="0"/>
              <w:jc w:val="center"/>
              <w:rPr>
                <w:rFonts w:ascii="仿宋_GB2312" w:eastAsia="仿宋_GB2312"/>
                <w:b/>
                <w:color w:val="000000"/>
                <w:sz w:val="24"/>
              </w:rPr>
            </w:pPr>
            <w:r>
              <w:rPr>
                <w:rFonts w:hint="eastAsia" w:ascii="仿宋_GB2312" w:eastAsia="仿宋_GB2312"/>
                <w:b/>
                <w:color w:val="000000"/>
                <w:sz w:val="24"/>
              </w:rPr>
              <w:t>设计采用值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1</w:t>
            </w:r>
          </w:p>
        </w:tc>
        <w:tc>
          <w:tcPr>
            <w:tcW w:w="2025" w:type="dxa"/>
            <w:vAlign w:val="center"/>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路线总长</w:t>
            </w:r>
          </w:p>
        </w:tc>
        <w:tc>
          <w:tcPr>
            <w:tcW w:w="1133" w:type="dxa"/>
            <w:vAlign w:val="center"/>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米</w:t>
            </w:r>
          </w:p>
        </w:tc>
        <w:tc>
          <w:tcPr>
            <w:tcW w:w="2045" w:type="dxa"/>
            <w:vAlign w:val="center"/>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1180</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2</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道路等级</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城市支路</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城市支路</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3</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设计车速</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km/h</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30-40</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30</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4</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道路宽度</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m</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15-40</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15</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5</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停车视距</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m</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30</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30</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6</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最大纵坡</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8</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1.000</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7</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最小纵坡</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0.3</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0.515</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8</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路面类型</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刚性（砼）路面</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9</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路面横坡</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1-2%</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1.5%</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10</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标准轴载</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100KN轴载</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100KN轴载</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11</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设计荷载</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公路Ⅱ级</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公路Ⅱ级</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12</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交通分级</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轻</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轻</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13</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平曲线最小长度</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m</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50</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260.602</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9" w:type="dxa"/>
          </w:tcPr>
          <w:p>
            <w:pPr>
              <w:snapToGrid w:val="0"/>
              <w:spacing w:line="360" w:lineRule="auto"/>
              <w:jc w:val="center"/>
              <w:rPr>
                <w:rFonts w:ascii="仿宋_GB2312" w:hAnsi="宋体" w:eastAsia="仿宋_GB2312"/>
                <w:color w:val="000000"/>
                <w:sz w:val="24"/>
              </w:rPr>
            </w:pPr>
            <w:r>
              <w:rPr>
                <w:rFonts w:hint="eastAsia" w:ascii="仿宋_GB2312" w:hAnsi="宋体" w:eastAsia="仿宋_GB2312"/>
                <w:color w:val="000000"/>
                <w:sz w:val="24"/>
              </w:rPr>
              <w:t>14</w:t>
            </w:r>
          </w:p>
        </w:tc>
        <w:tc>
          <w:tcPr>
            <w:tcW w:w="202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路缘带宽度</w:t>
            </w:r>
          </w:p>
        </w:tc>
        <w:tc>
          <w:tcPr>
            <w:tcW w:w="1133"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m</w:t>
            </w:r>
          </w:p>
        </w:tc>
        <w:tc>
          <w:tcPr>
            <w:tcW w:w="2045"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0.25</w:t>
            </w:r>
          </w:p>
        </w:tc>
        <w:tc>
          <w:tcPr>
            <w:tcW w:w="2400" w:type="dxa"/>
          </w:tcPr>
          <w:p>
            <w:pPr>
              <w:pStyle w:val="10"/>
              <w:spacing w:line="360" w:lineRule="auto"/>
              <w:ind w:firstLine="0" w:firstLineChars="0"/>
              <w:jc w:val="center"/>
              <w:rPr>
                <w:rFonts w:ascii="仿宋_GB2312" w:eastAsia="仿宋_GB2312"/>
                <w:color w:val="000000"/>
                <w:sz w:val="24"/>
              </w:rPr>
            </w:pPr>
            <w:r>
              <w:rPr>
                <w:rFonts w:hint="eastAsia" w:ascii="仿宋_GB2312" w:eastAsia="仿宋_GB2312"/>
                <w:color w:val="000000"/>
                <w:sz w:val="24"/>
              </w:rPr>
              <w:t>0.25</w:t>
            </w:r>
          </w:p>
        </w:tc>
      </w:tr>
    </w:tbl>
    <w:p>
      <w:pPr>
        <w:pStyle w:val="3"/>
        <w:rPr>
          <w:rFonts w:ascii="仿宋_GB2312" w:eastAsia="仿宋_GB2312" w:cs="Arial"/>
          <w:color w:val="000000"/>
          <w:sz w:val="28"/>
          <w:szCs w:val="28"/>
        </w:rPr>
      </w:pPr>
      <w:bookmarkStart w:id="25" w:name="_Toc464510810"/>
      <w:r>
        <w:rPr>
          <w:rFonts w:hint="eastAsia" w:ascii="仿宋_GB2312" w:eastAsia="仿宋_GB2312" w:cs="Arial"/>
          <w:color w:val="000000"/>
          <w:sz w:val="28"/>
          <w:szCs w:val="28"/>
        </w:rPr>
        <w:t>4.4 道路工程</w:t>
      </w:r>
      <w:bookmarkEnd w:id="25"/>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4.4.1 方案选择</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1、路线走向的选择</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根据汕头市相关发展规划，本项目路线为南北走向；具体路线走向见附件1。</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2、横断面方案选择</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本项目实施的道路宽度为15米，其中，分配为3m人行道+9m（两车道）+3m人行道。车行道横坡均为1.5%，人行道，横坡均为1%。见附件2（</w:t>
      </w:r>
      <w:bookmarkStart w:id="26" w:name="OLE_LINK2"/>
      <w:r>
        <w:rPr>
          <w:rFonts w:hint="eastAsia" w:ascii="仿宋_GB2312" w:hAnsi="宋体" w:eastAsia="仿宋_GB2312"/>
          <w:color w:val="000000"/>
          <w:sz w:val="28"/>
          <w:szCs w:val="28"/>
        </w:rPr>
        <w:t>配套道路横断面示意图</w:t>
      </w:r>
      <w:bookmarkEnd w:id="26"/>
      <w:r>
        <w:rPr>
          <w:rFonts w:hint="eastAsia" w:ascii="仿宋_GB2312" w:hAnsi="宋体" w:eastAsia="仿宋_GB2312"/>
          <w:color w:val="000000"/>
          <w:sz w:val="28"/>
          <w:szCs w:val="28"/>
        </w:rPr>
        <w:t>）。</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3、路面结构的选择</w:t>
      </w:r>
    </w:p>
    <w:p>
      <w:pPr>
        <w:autoSpaceDE w:val="0"/>
        <w:autoSpaceDN w:val="0"/>
        <w:adjustRightInd w:val="0"/>
        <w:spacing w:before="18" w:line="348" w:lineRule="exact"/>
        <w:ind w:right="-23"/>
        <w:jc w:val="center"/>
        <w:rPr>
          <w:rFonts w:ascii="仿宋_GB2312" w:eastAsia="仿宋_GB2312" w:cs="新宋体"/>
          <w:kern w:val="0"/>
          <w:sz w:val="24"/>
        </w:rPr>
      </w:pPr>
      <w:r>
        <w:rPr>
          <w:rFonts w:hint="eastAsia" w:ascii="仿宋_GB2312" w:eastAsia="仿宋_GB2312" w:cs="新宋体"/>
          <w:spacing w:val="-15"/>
          <w:w w:val="106"/>
          <w:kern w:val="0"/>
          <w:position w:val="-4"/>
          <w:sz w:val="24"/>
        </w:rPr>
        <w:t>路面方案</w:t>
      </w:r>
      <w:r>
        <w:rPr>
          <w:rFonts w:hint="eastAsia" w:ascii="仿宋_GB2312" w:eastAsia="仿宋_GB2312" w:cs="新宋体"/>
          <w:w w:val="106"/>
          <w:kern w:val="0"/>
          <w:position w:val="-4"/>
          <w:sz w:val="24"/>
        </w:rPr>
        <w:t>论证</w:t>
      </w:r>
    </w:p>
    <w:p>
      <w:pPr>
        <w:autoSpaceDE w:val="0"/>
        <w:autoSpaceDN w:val="0"/>
        <w:adjustRightInd w:val="0"/>
        <w:spacing w:before="6" w:line="70" w:lineRule="exact"/>
        <w:jc w:val="left"/>
        <w:rPr>
          <w:rFonts w:ascii="新宋体" w:eastAsia="新宋体" w:cs="新宋体"/>
          <w:kern w:val="0"/>
          <w:sz w:val="7"/>
          <w:szCs w:val="7"/>
        </w:rPr>
      </w:pPr>
    </w:p>
    <w:tbl>
      <w:tblPr>
        <w:tblStyle w:val="28"/>
        <w:tblW w:w="9072" w:type="dxa"/>
        <w:jc w:val="center"/>
        <w:tblInd w:w="350" w:type="dxa"/>
        <w:tblLayout w:type="fixed"/>
        <w:tblCellMar>
          <w:top w:w="0" w:type="dxa"/>
          <w:left w:w="0" w:type="dxa"/>
          <w:bottom w:w="0" w:type="dxa"/>
          <w:right w:w="0" w:type="dxa"/>
        </w:tblCellMar>
      </w:tblPr>
      <w:tblGrid>
        <w:gridCol w:w="1215"/>
        <w:gridCol w:w="4122"/>
        <w:gridCol w:w="3735"/>
      </w:tblGrid>
      <w:tr>
        <w:tblPrEx>
          <w:tblLayout w:type="fixed"/>
          <w:tblCellMar>
            <w:top w:w="0" w:type="dxa"/>
            <w:left w:w="0" w:type="dxa"/>
            <w:bottom w:w="0" w:type="dxa"/>
            <w:right w:w="0" w:type="dxa"/>
          </w:tblCellMar>
        </w:tblPrEx>
        <w:trPr>
          <w:trHeight w:val="405" w:hRule="exact"/>
          <w:jc w:val="center"/>
        </w:trPr>
        <w:tc>
          <w:tcPr>
            <w:tcW w:w="1215" w:type="dxa"/>
            <w:tcBorders>
              <w:top w:val="single" w:color="000000" w:sz="6" w:space="0"/>
              <w:left w:val="single" w:color="000000" w:sz="6" w:space="0"/>
              <w:bottom w:val="single" w:color="000000" w:sz="6" w:space="0"/>
              <w:right w:val="single" w:color="000000" w:sz="6" w:space="0"/>
            </w:tcBorders>
          </w:tcPr>
          <w:p>
            <w:pPr>
              <w:autoSpaceDE w:val="0"/>
              <w:autoSpaceDN w:val="0"/>
              <w:adjustRightInd w:val="0"/>
              <w:spacing w:before="34"/>
              <w:ind w:right="-20"/>
              <w:jc w:val="left"/>
              <w:rPr>
                <w:rFonts w:ascii="仿宋_GB2312" w:eastAsia="仿宋_GB2312"/>
                <w:kern w:val="0"/>
                <w:sz w:val="24"/>
              </w:rPr>
            </w:pPr>
            <w:r>
              <w:rPr>
                <w:rFonts w:hint="eastAsia" w:ascii="仿宋_GB2312" w:eastAsia="仿宋_GB2312" w:cs="宋体"/>
                <w:kern w:val="0"/>
                <w:sz w:val="24"/>
              </w:rPr>
              <w:t>路面类型</w:t>
            </w:r>
          </w:p>
        </w:tc>
        <w:tc>
          <w:tcPr>
            <w:tcW w:w="4122" w:type="dxa"/>
            <w:tcBorders>
              <w:top w:val="single" w:color="000000" w:sz="6" w:space="0"/>
              <w:left w:val="single" w:color="000000" w:sz="6" w:space="0"/>
              <w:bottom w:val="single" w:color="000000" w:sz="6" w:space="0"/>
              <w:right w:val="single" w:color="000000" w:sz="6" w:space="0"/>
            </w:tcBorders>
          </w:tcPr>
          <w:p>
            <w:pPr>
              <w:autoSpaceDE w:val="0"/>
              <w:autoSpaceDN w:val="0"/>
              <w:adjustRightInd w:val="0"/>
              <w:spacing w:before="34"/>
              <w:ind w:left="1613" w:right="1609"/>
              <w:jc w:val="center"/>
              <w:rPr>
                <w:rFonts w:ascii="仿宋_GB2312" w:eastAsia="仿宋_GB2312" w:cs="宋体"/>
                <w:kern w:val="0"/>
                <w:sz w:val="24"/>
              </w:rPr>
            </w:pPr>
            <w:r>
              <w:rPr>
                <w:rFonts w:hint="eastAsia" w:ascii="仿宋_GB2312" w:eastAsia="仿宋_GB2312" w:cs="宋体"/>
                <w:kern w:val="0"/>
                <w:sz w:val="24"/>
              </w:rPr>
              <w:t>优点</w:t>
            </w:r>
          </w:p>
        </w:tc>
        <w:tc>
          <w:tcPr>
            <w:tcW w:w="3735" w:type="dxa"/>
            <w:tcBorders>
              <w:top w:val="single" w:color="000000" w:sz="6" w:space="0"/>
              <w:left w:val="single" w:color="000000" w:sz="6" w:space="0"/>
              <w:bottom w:val="single" w:color="000000" w:sz="6" w:space="0"/>
              <w:right w:val="single" w:color="000000" w:sz="6" w:space="0"/>
            </w:tcBorders>
          </w:tcPr>
          <w:p>
            <w:pPr>
              <w:autoSpaceDE w:val="0"/>
              <w:autoSpaceDN w:val="0"/>
              <w:adjustRightInd w:val="0"/>
              <w:spacing w:before="34"/>
              <w:ind w:left="1598" w:right="1609"/>
              <w:jc w:val="center"/>
              <w:rPr>
                <w:rFonts w:ascii="仿宋_GB2312" w:eastAsia="仿宋_GB2312" w:cs="宋体"/>
                <w:kern w:val="0"/>
                <w:sz w:val="24"/>
              </w:rPr>
            </w:pPr>
            <w:r>
              <w:rPr>
                <w:rFonts w:hint="eastAsia" w:ascii="仿宋_GB2312" w:eastAsia="仿宋_GB2312" w:cs="宋体"/>
                <w:kern w:val="0"/>
                <w:sz w:val="24"/>
              </w:rPr>
              <w:t>缺点</w:t>
            </w:r>
          </w:p>
        </w:tc>
      </w:tr>
      <w:tr>
        <w:tblPrEx>
          <w:tblLayout w:type="fixed"/>
          <w:tblCellMar>
            <w:top w:w="0" w:type="dxa"/>
            <w:left w:w="0" w:type="dxa"/>
            <w:bottom w:w="0" w:type="dxa"/>
            <w:right w:w="0" w:type="dxa"/>
          </w:tblCellMar>
        </w:tblPrEx>
        <w:trPr>
          <w:trHeight w:val="1853" w:hRule="exact"/>
          <w:jc w:val="center"/>
        </w:trPr>
        <w:tc>
          <w:tcPr>
            <w:tcW w:w="1215" w:type="dxa"/>
            <w:tcBorders>
              <w:top w:val="single" w:color="000000" w:sz="6" w:space="0"/>
              <w:left w:val="single" w:color="000000" w:sz="6" w:space="0"/>
              <w:bottom w:val="single" w:color="000000" w:sz="6" w:space="0"/>
              <w:right w:val="single" w:color="000000" w:sz="6" w:space="0"/>
            </w:tcBorders>
            <w:vAlign w:val="center"/>
          </w:tcPr>
          <w:p>
            <w:pPr>
              <w:autoSpaceDE w:val="0"/>
              <w:autoSpaceDN w:val="0"/>
              <w:adjustRightInd w:val="0"/>
              <w:ind w:left="164" w:right="-20"/>
              <w:jc w:val="center"/>
              <w:rPr>
                <w:rFonts w:ascii="仿宋_GB2312" w:eastAsia="仿宋_GB2312"/>
                <w:kern w:val="0"/>
                <w:sz w:val="24"/>
              </w:rPr>
            </w:pPr>
            <w:r>
              <w:rPr>
                <w:rFonts w:hint="eastAsia" w:ascii="仿宋_GB2312" w:eastAsia="仿宋_GB2312" w:cs="宋体"/>
                <w:kern w:val="0"/>
                <w:sz w:val="24"/>
              </w:rPr>
              <w:t>沥青混凝土路面</w:t>
            </w:r>
          </w:p>
        </w:tc>
        <w:tc>
          <w:tcPr>
            <w:tcW w:w="4122" w:type="dxa"/>
            <w:tcBorders>
              <w:top w:val="single" w:color="000000" w:sz="6" w:space="0"/>
              <w:left w:val="single" w:color="000000" w:sz="6" w:space="0"/>
              <w:bottom w:val="single" w:color="000000" w:sz="6" w:space="0"/>
              <w:right w:val="single" w:color="000000" w:sz="6" w:space="0"/>
            </w:tcBorders>
          </w:tcPr>
          <w:p>
            <w:pPr>
              <w:numPr>
                <w:ilvl w:val="2"/>
                <w:numId w:val="2"/>
              </w:numPr>
              <w:autoSpaceDE w:val="0"/>
              <w:autoSpaceDN w:val="0"/>
              <w:adjustRightInd w:val="0"/>
              <w:spacing w:line="299" w:lineRule="exact"/>
              <w:ind w:left="513" w:right="-20" w:hanging="278"/>
              <w:jc w:val="left"/>
              <w:rPr>
                <w:rFonts w:ascii="仿宋_GB2312" w:eastAsia="仿宋_GB2312" w:cs="宋体"/>
                <w:kern w:val="0"/>
                <w:sz w:val="24"/>
              </w:rPr>
            </w:pPr>
            <w:r>
              <w:rPr>
                <w:rFonts w:hint="eastAsia" w:ascii="仿宋_GB2312" w:eastAsia="仿宋_GB2312" w:cs="宋体"/>
                <w:kern w:val="0"/>
                <w:position w:val="-3"/>
                <w:sz w:val="24"/>
              </w:rPr>
              <w:t>噪音低、震动小、无反光</w:t>
            </w:r>
          </w:p>
          <w:p>
            <w:pPr>
              <w:numPr>
                <w:ilvl w:val="2"/>
                <w:numId w:val="2"/>
              </w:numPr>
              <w:autoSpaceDE w:val="0"/>
              <w:autoSpaceDN w:val="0"/>
              <w:adjustRightInd w:val="0"/>
              <w:spacing w:before="26"/>
              <w:ind w:left="513" w:right="-20" w:hanging="278"/>
              <w:jc w:val="left"/>
              <w:rPr>
                <w:rFonts w:ascii="仿宋_GB2312" w:eastAsia="仿宋_GB2312" w:cs="宋体"/>
                <w:kern w:val="0"/>
                <w:sz w:val="24"/>
              </w:rPr>
            </w:pPr>
            <w:r>
              <w:rPr>
                <w:rFonts w:hint="eastAsia" w:ascii="仿宋_GB2312" w:eastAsia="仿宋_GB2312" w:cs="宋体"/>
                <w:kern w:val="0"/>
                <w:sz w:val="24"/>
              </w:rPr>
              <w:t xml:space="preserve">铺筑速度快，相对水泥路面开放交通早路面维修、养护方便、快捷。 </w:t>
            </w:r>
          </w:p>
          <w:p>
            <w:pPr>
              <w:numPr>
                <w:ilvl w:val="2"/>
                <w:numId w:val="2"/>
              </w:numPr>
              <w:autoSpaceDE w:val="0"/>
              <w:autoSpaceDN w:val="0"/>
              <w:adjustRightInd w:val="0"/>
              <w:spacing w:before="26"/>
              <w:ind w:left="513" w:right="-20" w:hanging="278"/>
              <w:jc w:val="left"/>
              <w:rPr>
                <w:rFonts w:ascii="仿宋_GB2312" w:eastAsia="仿宋_GB2312"/>
                <w:kern w:val="0"/>
                <w:sz w:val="24"/>
              </w:rPr>
            </w:pPr>
            <w:r>
              <w:rPr>
                <w:rFonts w:hint="eastAsia" w:ascii="仿宋_GB2312" w:eastAsia="仿宋_GB2312" w:cs="宋体"/>
                <w:kern w:val="0"/>
                <w:sz w:val="24"/>
              </w:rPr>
              <w:t>路面舒适、美观、有安全感。</w:t>
            </w:r>
          </w:p>
        </w:tc>
        <w:tc>
          <w:tcPr>
            <w:tcW w:w="3735" w:type="dxa"/>
            <w:tcBorders>
              <w:top w:val="single" w:color="000000" w:sz="6" w:space="0"/>
              <w:left w:val="single" w:color="000000" w:sz="6" w:space="0"/>
              <w:bottom w:val="single" w:color="000000" w:sz="6" w:space="0"/>
              <w:right w:val="single" w:color="000000" w:sz="6" w:space="0"/>
            </w:tcBorders>
          </w:tcPr>
          <w:p>
            <w:pPr>
              <w:numPr>
                <w:ilvl w:val="2"/>
                <w:numId w:val="2"/>
              </w:numPr>
              <w:autoSpaceDE w:val="0"/>
              <w:autoSpaceDN w:val="0"/>
              <w:adjustRightInd w:val="0"/>
              <w:spacing w:before="26"/>
              <w:ind w:left="513" w:right="-20" w:hanging="278"/>
              <w:jc w:val="left"/>
              <w:rPr>
                <w:rFonts w:ascii="仿宋_GB2312" w:eastAsia="仿宋_GB2312" w:cs="宋体"/>
                <w:kern w:val="0"/>
                <w:sz w:val="24"/>
              </w:rPr>
            </w:pPr>
            <w:r>
              <w:rPr>
                <w:rFonts w:hint="eastAsia" w:ascii="仿宋_GB2312" w:eastAsia="仿宋_GB2312" w:cs="宋体"/>
                <w:kern w:val="0"/>
                <w:sz w:val="24"/>
              </w:rPr>
              <w:t xml:space="preserve">由于路面结构需要，沥青路面厚度一般都厚于水泥混凝土路面。 </w:t>
            </w:r>
          </w:p>
          <w:p>
            <w:pPr>
              <w:numPr>
                <w:ilvl w:val="2"/>
                <w:numId w:val="2"/>
              </w:numPr>
              <w:autoSpaceDE w:val="0"/>
              <w:autoSpaceDN w:val="0"/>
              <w:adjustRightInd w:val="0"/>
              <w:spacing w:before="26"/>
              <w:ind w:left="513" w:right="-20" w:hanging="278"/>
              <w:jc w:val="left"/>
              <w:rPr>
                <w:rFonts w:ascii="仿宋_GB2312" w:eastAsia="仿宋_GB2312"/>
                <w:kern w:val="0"/>
                <w:sz w:val="24"/>
              </w:rPr>
            </w:pPr>
            <w:r>
              <w:rPr>
                <w:rFonts w:hint="eastAsia" w:ascii="仿宋_GB2312" w:eastAsia="仿宋_GB2312" w:cs="宋体"/>
                <w:kern w:val="0"/>
                <w:sz w:val="24"/>
              </w:rPr>
              <w:t>沥青混凝土路面造价高于水泥混凝土路面。</w:t>
            </w:r>
          </w:p>
        </w:tc>
      </w:tr>
      <w:tr>
        <w:tblPrEx>
          <w:tblLayout w:type="fixed"/>
          <w:tblCellMar>
            <w:top w:w="0" w:type="dxa"/>
            <w:left w:w="0" w:type="dxa"/>
            <w:bottom w:w="0" w:type="dxa"/>
            <w:right w:w="0" w:type="dxa"/>
          </w:tblCellMar>
        </w:tblPrEx>
        <w:trPr>
          <w:trHeight w:val="1510" w:hRule="exact"/>
          <w:jc w:val="center"/>
        </w:trPr>
        <w:tc>
          <w:tcPr>
            <w:tcW w:w="1215" w:type="dxa"/>
            <w:tcBorders>
              <w:top w:val="single" w:color="000000" w:sz="6" w:space="0"/>
              <w:left w:val="single" w:color="000000" w:sz="6" w:space="0"/>
              <w:bottom w:val="single" w:color="000000" w:sz="6" w:space="0"/>
              <w:right w:val="single" w:color="000000" w:sz="6" w:space="0"/>
            </w:tcBorders>
            <w:vAlign w:val="center"/>
          </w:tcPr>
          <w:p>
            <w:pPr>
              <w:autoSpaceDE w:val="0"/>
              <w:autoSpaceDN w:val="0"/>
              <w:adjustRightInd w:val="0"/>
              <w:ind w:left="164" w:right="-20"/>
              <w:jc w:val="center"/>
              <w:rPr>
                <w:rFonts w:ascii="仿宋_GB2312" w:eastAsia="仿宋_GB2312"/>
                <w:kern w:val="0"/>
                <w:sz w:val="24"/>
              </w:rPr>
            </w:pPr>
            <w:r>
              <w:rPr>
                <w:rFonts w:hint="eastAsia" w:ascii="仿宋_GB2312" w:eastAsia="仿宋_GB2312" w:cs="宋体"/>
                <w:kern w:val="0"/>
                <w:sz w:val="24"/>
              </w:rPr>
              <w:t>水泥混凝土路面</w:t>
            </w:r>
          </w:p>
        </w:tc>
        <w:tc>
          <w:tcPr>
            <w:tcW w:w="4122" w:type="dxa"/>
            <w:tcBorders>
              <w:top w:val="single" w:color="000000" w:sz="6" w:space="0"/>
              <w:left w:val="single" w:color="000000" w:sz="6" w:space="0"/>
              <w:bottom w:val="single" w:color="000000" w:sz="6" w:space="0"/>
              <w:right w:val="single" w:color="000000" w:sz="6" w:space="0"/>
            </w:tcBorders>
          </w:tcPr>
          <w:p>
            <w:pPr>
              <w:numPr>
                <w:ilvl w:val="2"/>
                <w:numId w:val="2"/>
              </w:numPr>
              <w:autoSpaceDE w:val="0"/>
              <w:autoSpaceDN w:val="0"/>
              <w:adjustRightInd w:val="0"/>
              <w:spacing w:before="26"/>
              <w:ind w:left="513" w:right="-20" w:hanging="278"/>
              <w:jc w:val="left"/>
              <w:rPr>
                <w:rFonts w:ascii="仿宋_GB2312" w:eastAsia="仿宋_GB2312" w:cs="宋体"/>
                <w:kern w:val="0"/>
                <w:sz w:val="24"/>
              </w:rPr>
            </w:pPr>
            <w:r>
              <w:rPr>
                <w:rFonts w:hint="eastAsia" w:ascii="仿宋_GB2312" w:eastAsia="仿宋_GB2312" w:cs="宋体"/>
                <w:kern w:val="0"/>
                <w:sz w:val="24"/>
              </w:rPr>
              <w:t>刚度大、稳定性好、使用寿命长。</w:t>
            </w:r>
          </w:p>
          <w:p>
            <w:pPr>
              <w:numPr>
                <w:ilvl w:val="2"/>
                <w:numId w:val="2"/>
              </w:numPr>
              <w:autoSpaceDE w:val="0"/>
              <w:autoSpaceDN w:val="0"/>
              <w:adjustRightInd w:val="0"/>
              <w:spacing w:before="26"/>
              <w:ind w:left="513" w:right="-20" w:hanging="278"/>
              <w:jc w:val="left"/>
              <w:rPr>
                <w:rFonts w:ascii="仿宋_GB2312" w:eastAsia="仿宋_GB2312"/>
                <w:kern w:val="0"/>
                <w:sz w:val="24"/>
              </w:rPr>
            </w:pPr>
            <w:r>
              <w:rPr>
                <w:rFonts w:hint="eastAsia" w:ascii="仿宋_GB2312" w:eastAsia="仿宋_GB2312" w:cs="宋体"/>
                <w:kern w:val="0"/>
                <w:sz w:val="24"/>
              </w:rPr>
              <w:t>路基适用性强。</w:t>
            </w:r>
          </w:p>
          <w:p>
            <w:pPr>
              <w:numPr>
                <w:ilvl w:val="2"/>
                <w:numId w:val="2"/>
              </w:numPr>
              <w:autoSpaceDE w:val="0"/>
              <w:autoSpaceDN w:val="0"/>
              <w:adjustRightInd w:val="0"/>
              <w:spacing w:before="26"/>
              <w:ind w:left="513" w:right="-20" w:hanging="278"/>
              <w:jc w:val="left"/>
              <w:rPr>
                <w:rFonts w:ascii="仿宋_GB2312" w:eastAsia="仿宋_GB2312"/>
                <w:kern w:val="0"/>
                <w:sz w:val="24"/>
              </w:rPr>
            </w:pPr>
            <w:r>
              <w:rPr>
                <w:rFonts w:hint="eastAsia" w:ascii="仿宋_GB2312" w:eastAsia="仿宋_GB2312" w:cs="宋体"/>
                <w:kern w:val="0"/>
                <w:sz w:val="24"/>
              </w:rPr>
              <w:t>造价较低。</w:t>
            </w:r>
          </w:p>
        </w:tc>
        <w:tc>
          <w:tcPr>
            <w:tcW w:w="3735" w:type="dxa"/>
            <w:tcBorders>
              <w:top w:val="single" w:color="000000" w:sz="6" w:space="0"/>
              <w:left w:val="single" w:color="000000" w:sz="6" w:space="0"/>
              <w:bottom w:val="single" w:color="000000" w:sz="6" w:space="0"/>
              <w:right w:val="single" w:color="000000" w:sz="6" w:space="0"/>
            </w:tcBorders>
          </w:tcPr>
          <w:p>
            <w:pPr>
              <w:numPr>
                <w:ilvl w:val="2"/>
                <w:numId w:val="2"/>
              </w:numPr>
              <w:autoSpaceDE w:val="0"/>
              <w:autoSpaceDN w:val="0"/>
              <w:adjustRightInd w:val="0"/>
              <w:spacing w:before="26"/>
              <w:ind w:left="513" w:right="-20" w:hanging="278"/>
              <w:jc w:val="left"/>
              <w:rPr>
                <w:rFonts w:ascii="仿宋_GB2312" w:eastAsia="仿宋_GB2312" w:cs="宋体"/>
                <w:kern w:val="0"/>
                <w:sz w:val="24"/>
              </w:rPr>
            </w:pPr>
            <w:r>
              <w:rPr>
                <w:rFonts w:hint="eastAsia" w:ascii="仿宋_GB2312" w:eastAsia="仿宋_GB2312" w:cs="宋体"/>
                <w:kern w:val="0"/>
                <w:sz w:val="24"/>
              </w:rPr>
              <w:t xml:space="preserve">结构缝易引起跳车，行车舒适感差。 </w:t>
            </w:r>
          </w:p>
          <w:p>
            <w:pPr>
              <w:numPr>
                <w:ilvl w:val="2"/>
                <w:numId w:val="2"/>
              </w:numPr>
              <w:autoSpaceDE w:val="0"/>
              <w:autoSpaceDN w:val="0"/>
              <w:adjustRightInd w:val="0"/>
              <w:spacing w:before="26"/>
              <w:ind w:left="513" w:right="-20" w:hanging="278"/>
              <w:jc w:val="left"/>
              <w:rPr>
                <w:rFonts w:ascii="仿宋_GB2312" w:eastAsia="仿宋_GB2312" w:cs="宋体"/>
                <w:kern w:val="0"/>
                <w:sz w:val="24"/>
              </w:rPr>
            </w:pPr>
            <w:r>
              <w:rPr>
                <w:rFonts w:hint="eastAsia" w:ascii="仿宋_GB2312" w:eastAsia="仿宋_GB2312" w:cs="宋体"/>
                <w:kern w:val="0"/>
                <w:sz w:val="24"/>
              </w:rPr>
              <w:t xml:space="preserve">噪音大，在软土路段易形成早期断板破坏。 </w:t>
            </w:r>
          </w:p>
        </w:tc>
      </w:tr>
    </w:tbl>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本项目为改造扩建的配套道路，属于支路，行使车辆主要为轿车、货车等；车流量不大但行车要求较高。根据本道路交通构成的特点，采用水泥混凝土路面。</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4.4.2 工程概况</w:t>
      </w:r>
    </w:p>
    <w:p>
      <w:pPr>
        <w:spacing w:beforeLines="50" w:afterLines="50" w:line="540" w:lineRule="exact"/>
        <w:ind w:firstLine="562" w:firstLineChars="200"/>
        <w:outlineLvl w:val="3"/>
        <w:rPr>
          <w:rFonts w:ascii="仿宋_GB2312" w:eastAsia="仿宋_GB2312"/>
          <w:b/>
          <w:color w:val="000000"/>
          <w:sz w:val="28"/>
          <w:szCs w:val="28"/>
        </w:rPr>
      </w:pPr>
      <w:r>
        <w:rPr>
          <w:rFonts w:hint="eastAsia" w:ascii="仿宋_GB2312" w:hAnsi="宋体" w:eastAsia="仿宋_GB2312"/>
          <w:b/>
          <w:color w:val="000000"/>
          <w:sz w:val="28"/>
          <w:szCs w:val="28"/>
        </w:rPr>
        <w:t>1、路基工程</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由于现阶段缺乏地质勘探报告资料，路基处理暂按原路基平整压实（压实度94%以上）进行考虑，待后续阶段根据地质勘探报告资料再确定地基处理办法。</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根据项目所在区域地形调研及</w:t>
      </w:r>
      <w:r>
        <w:rPr>
          <w:rFonts w:hint="eastAsia" w:ascii="仿宋_GB2312" w:hAnsi="宋体" w:eastAsia="仿宋_GB2312"/>
          <w:sz w:val="28"/>
          <w:szCs w:val="28"/>
        </w:rPr>
        <w:t>初步设计方案</w:t>
      </w:r>
      <w:r>
        <w:rPr>
          <w:rFonts w:hint="eastAsia" w:ascii="仿宋_GB2312" w:hAnsi="宋体" w:eastAsia="仿宋_GB2312"/>
          <w:color w:val="000000"/>
          <w:sz w:val="28"/>
          <w:szCs w:val="28"/>
        </w:rPr>
        <w:t>，项目沿线高低起伏，需要对高程过大的路段进行挖方处理，以控制标高达到规定的设计标高，降低道路的起伏程度，使车辆行驶更顺畅。经测算，本项目需要挖</w:t>
      </w:r>
      <w:r>
        <w:rPr>
          <w:rFonts w:hint="eastAsia" w:ascii="仿宋_GB2312" w:hAnsi="宋体" w:eastAsia="仿宋_GB2312"/>
          <w:color w:val="000000" w:themeColor="text1"/>
          <w:sz w:val="28"/>
          <w:szCs w:val="28"/>
        </w:rPr>
        <w:t>方处理面积约为</w:t>
      </w:r>
      <w:r>
        <w:rPr>
          <w:rFonts w:ascii="仿宋_GB2312" w:hAnsi="宋体" w:eastAsia="仿宋_GB2312"/>
          <w:color w:val="000000" w:themeColor="text1"/>
          <w:sz w:val="28"/>
          <w:szCs w:val="28"/>
        </w:rPr>
        <w:t>6082</w:t>
      </w:r>
      <w:r>
        <w:rPr>
          <w:rFonts w:hint="eastAsia" w:ascii="仿宋_GB2312" w:hAnsi="宋体" w:eastAsia="仿宋_GB2312"/>
          <w:color w:val="000000" w:themeColor="text1"/>
          <w:sz w:val="28"/>
          <w:szCs w:val="28"/>
        </w:rPr>
        <w:t>立方米。另需拆除原路面</w:t>
      </w:r>
      <w:r>
        <w:rPr>
          <w:rFonts w:ascii="仿宋_GB2312" w:hAnsi="宋体" w:eastAsia="仿宋_GB2312"/>
          <w:color w:val="000000" w:themeColor="text1"/>
          <w:sz w:val="28"/>
          <w:szCs w:val="28"/>
        </w:rPr>
        <w:t>11781</w:t>
      </w:r>
      <w:r>
        <w:rPr>
          <w:rFonts w:hint="eastAsia" w:ascii="仿宋_GB2312" w:hAnsi="宋体" w:eastAsia="仿宋_GB2312"/>
          <w:color w:val="000000" w:themeColor="text1"/>
          <w:sz w:val="28"/>
          <w:szCs w:val="28"/>
        </w:rPr>
        <w:t>平方米。</w:t>
      </w:r>
    </w:p>
    <w:p>
      <w:pPr>
        <w:spacing w:beforeLines="50" w:afterLines="50" w:line="540" w:lineRule="exact"/>
        <w:ind w:firstLine="562" w:firstLineChars="200"/>
        <w:outlineLvl w:val="3"/>
        <w:rPr>
          <w:rFonts w:ascii="仿宋_GB2312" w:hAnsi="宋体" w:eastAsia="仿宋_GB2312"/>
          <w:b/>
          <w:color w:val="000000"/>
          <w:sz w:val="28"/>
          <w:szCs w:val="28"/>
        </w:rPr>
      </w:pPr>
      <w:r>
        <w:rPr>
          <w:rFonts w:hint="eastAsia" w:ascii="仿宋_GB2312" w:hAnsi="宋体" w:eastAsia="仿宋_GB2312"/>
          <w:b/>
          <w:color w:val="000000"/>
          <w:sz w:val="28"/>
          <w:szCs w:val="28"/>
        </w:rPr>
        <w:t>2、基层工程</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（1）机动车道基层</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路线全线按城市支路，双向2车道，宽9米设计。基层设计宽度两侧应比面层宽300mm。基层边缘自然放坡至路基层。</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机动车道基层分上下两层，其中下基层材料采用4%水泥稳定碎石铺砌，厚为200mm；上基层材料采用6%水泥稳定碎石铺砌，厚为200mm。基层与路基层之间铺一层双向土工格栅连接。</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（2）人行道基层</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机动车道两侧人行道设计宽度为3米，基层材料采用C20水泥混凝土铺砌，厚为150mm；找平层为1:2水泥砂浆，厚为20mm。</w:t>
      </w:r>
    </w:p>
    <w:p>
      <w:pPr>
        <w:spacing w:beforeLines="50" w:afterLines="50" w:line="540" w:lineRule="exact"/>
        <w:ind w:firstLine="562" w:firstLineChars="200"/>
        <w:outlineLvl w:val="3"/>
        <w:rPr>
          <w:rFonts w:ascii="仿宋_GB2312" w:hAnsi="宋体" w:eastAsia="仿宋_GB2312"/>
          <w:b/>
          <w:color w:val="000000"/>
          <w:sz w:val="28"/>
          <w:szCs w:val="28"/>
        </w:rPr>
      </w:pPr>
      <w:r>
        <w:rPr>
          <w:rFonts w:ascii="仿宋_GB2312" w:hAnsi="宋体" w:eastAsia="仿宋_GB2312"/>
          <w:b/>
          <w:color w:val="000000"/>
          <w:sz w:val="28"/>
          <w:szCs w:val="28"/>
        </w:rPr>
        <w:drawing>
          <wp:anchor distT="0" distB="0" distL="114300" distR="114300" simplePos="0" relativeHeight="251661312" behindDoc="1" locked="0" layoutInCell="1" allowOverlap="1">
            <wp:simplePos x="0" y="0"/>
            <wp:positionH relativeFrom="column">
              <wp:posOffset>-867410</wp:posOffset>
            </wp:positionH>
            <wp:positionV relativeFrom="paragraph">
              <wp:posOffset>576580</wp:posOffset>
            </wp:positionV>
            <wp:extent cx="6553835" cy="2543175"/>
            <wp:effectExtent l="19050" t="0" r="0" b="0"/>
            <wp:wrapTight wrapText="bothSides">
              <wp:wrapPolygon>
                <wp:start x="-63" y="0"/>
                <wp:lineTo x="-63" y="21519"/>
                <wp:lineTo x="21598" y="21519"/>
                <wp:lineTo x="21598" y="0"/>
                <wp:lineTo x="-63" y="0"/>
              </wp:wrapPolygon>
            </wp:wrapTight>
            <wp:docPr id="1" name="图片 0" descr="路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路面.jpg"/>
                    <pic:cNvPicPr>
                      <a:picLocks noChangeAspect="1"/>
                    </pic:cNvPicPr>
                  </pic:nvPicPr>
                  <pic:blipFill>
                    <a:blip r:embed="rId16"/>
                    <a:srcRect l="4276" r="6146"/>
                    <a:stretch>
                      <a:fillRect/>
                    </a:stretch>
                  </pic:blipFill>
                  <pic:spPr>
                    <a:xfrm>
                      <a:off x="0" y="0"/>
                      <a:ext cx="6553835" cy="2543175"/>
                    </a:xfrm>
                    <a:prstGeom prst="rect">
                      <a:avLst/>
                    </a:prstGeom>
                  </pic:spPr>
                </pic:pic>
              </a:graphicData>
            </a:graphic>
          </wp:anchor>
        </w:drawing>
      </w:r>
      <w:r>
        <w:rPr>
          <w:rFonts w:hint="eastAsia" w:ascii="仿宋_GB2312" w:hAnsi="宋体" w:eastAsia="仿宋_GB2312"/>
          <w:b/>
          <w:color w:val="000000"/>
          <w:sz w:val="28"/>
          <w:szCs w:val="28"/>
        </w:rPr>
        <w:t>3、路面工程</w:t>
      </w:r>
    </w:p>
    <w:p>
      <w:pPr>
        <w:spacing w:beforeLines="50" w:afterLines="50" w:line="540" w:lineRule="exact"/>
        <w:ind w:firstLine="560" w:firstLineChars="200"/>
        <w:jc w:val="center"/>
        <w:rPr>
          <w:rFonts w:ascii="仿宋_GB2312" w:hAnsi="宋体" w:eastAsia="仿宋_GB2312"/>
          <w:color w:val="000000"/>
          <w:sz w:val="28"/>
          <w:szCs w:val="28"/>
        </w:rPr>
      </w:pPr>
      <w:r>
        <w:rPr>
          <w:rFonts w:hint="eastAsia" w:ascii="仿宋_GB2312" w:hAnsi="宋体" w:eastAsia="仿宋_GB2312"/>
          <w:color w:val="000000"/>
          <w:sz w:val="28"/>
          <w:szCs w:val="28"/>
        </w:rPr>
        <w:t>道路横断面设计图</w:t>
      </w:r>
    </w:p>
    <w:p>
      <w:pPr>
        <w:spacing w:beforeLines="50" w:afterLines="50" w:line="540" w:lineRule="exact"/>
        <w:rPr>
          <w:rFonts w:ascii="仿宋_GB2312" w:hAnsi="宋体" w:eastAsia="仿宋_GB2312"/>
          <w:color w:val="000000"/>
          <w:sz w:val="28"/>
          <w:szCs w:val="28"/>
        </w:rPr>
      </w:pPr>
      <w:r>
        <w:rPr>
          <w:rFonts w:hint="eastAsia" w:ascii="仿宋_GB2312" w:hAnsi="宋体" w:eastAsia="仿宋_GB2312"/>
          <w:color w:val="000000"/>
          <w:sz w:val="28"/>
          <w:szCs w:val="28"/>
        </w:rPr>
        <w:t>3.1 路面设计主要技术指标</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（1）设计使用年限：本项目水泥混凝土路面设计使用年限为 15 年。</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（2）标准轴载：BZZ－100。</w:t>
      </w:r>
    </w:p>
    <w:p>
      <w:pPr>
        <w:spacing w:beforeLines="50" w:afterLines="50" w:line="540" w:lineRule="exact"/>
        <w:rPr>
          <w:rFonts w:ascii="仿宋_GB2312" w:hAnsi="宋体" w:eastAsia="仿宋_GB2312"/>
          <w:color w:val="000000"/>
          <w:sz w:val="28"/>
          <w:szCs w:val="28"/>
        </w:rPr>
      </w:pPr>
      <w:r>
        <w:rPr>
          <w:rFonts w:hint="eastAsia" w:ascii="仿宋_GB2312" w:hAnsi="宋体" w:eastAsia="仿宋_GB2312"/>
          <w:color w:val="000000"/>
          <w:sz w:val="28"/>
          <w:szCs w:val="28"/>
        </w:rPr>
        <w:t>3.2</w:t>
      </w:r>
      <w:r>
        <w:rPr>
          <w:rFonts w:hint="eastAsia" w:ascii="仿宋_GB2312" w:hAnsi="宋体" w:eastAsia="仿宋_GB2312"/>
          <w:color w:val="000000"/>
          <w:sz w:val="28"/>
          <w:szCs w:val="28"/>
          <w:lang w:val="en-US" w:eastAsia="zh-CN"/>
        </w:rPr>
        <w:t xml:space="preserve"> </w:t>
      </w:r>
      <w:r>
        <w:rPr>
          <w:rFonts w:hint="eastAsia" w:ascii="仿宋_GB2312" w:hAnsi="宋体" w:eastAsia="仿宋_GB2312"/>
          <w:color w:val="000000"/>
          <w:sz w:val="28"/>
          <w:szCs w:val="28"/>
        </w:rPr>
        <w:t>路面结构组成</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根据项目区气象、水文条件、路基土质、工可交通量分析、初步设计批复意见及筑路材料供应情况，结合当地同类道路建设及管理经验并经计算确定路面结构方案。拟定水泥混凝土路面为本工程路面结构型式。</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本项目路面结构采用220mm厚水泥混凝土， 混凝土强度等级为C25以上。路面结构设计参照《公路水泥混凝土路面设计规范》（JTG D40—2011）等相关规范。具体如下：</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（1）机动车道路面结构</w:t>
      </w:r>
    </w:p>
    <w:p>
      <w:pPr>
        <w:spacing w:beforeLines="50" w:afterLines="50" w:line="540" w:lineRule="exact"/>
        <w:ind w:left="560"/>
        <w:rPr>
          <w:rFonts w:ascii="仿宋_GB2312" w:hAnsi="宋体" w:eastAsia="仿宋_GB2312"/>
          <w:color w:val="000000"/>
          <w:sz w:val="28"/>
          <w:szCs w:val="28"/>
        </w:rPr>
      </w:pPr>
      <w:r>
        <w:rPr>
          <w:rFonts w:hint="eastAsia" w:ascii="仿宋_GB2312" w:hAnsi="宋体" w:eastAsia="仿宋_GB2312"/>
          <w:color w:val="000000"/>
          <w:sz w:val="28"/>
          <w:szCs w:val="28"/>
        </w:rPr>
        <w:t>面层：220mm普通混凝土</w:t>
      </w:r>
    </w:p>
    <w:p>
      <w:pPr>
        <w:spacing w:beforeLines="50" w:afterLines="50" w:line="540" w:lineRule="exact"/>
        <w:ind w:left="560"/>
        <w:rPr>
          <w:rFonts w:ascii="仿宋_GB2312" w:hAnsi="宋体" w:eastAsia="仿宋_GB2312"/>
          <w:color w:val="000000"/>
          <w:sz w:val="28"/>
          <w:szCs w:val="28"/>
        </w:rPr>
      </w:pPr>
      <w:r>
        <w:rPr>
          <w:rFonts w:hint="eastAsia" w:ascii="仿宋_GB2312" w:hAnsi="宋体" w:eastAsia="仿宋_GB2312"/>
          <w:color w:val="000000"/>
          <w:sz w:val="28"/>
          <w:szCs w:val="28"/>
        </w:rPr>
        <w:t>上基层：200mm6%水泥稳定级配碎石；</w:t>
      </w:r>
    </w:p>
    <w:p>
      <w:pPr>
        <w:spacing w:beforeLines="50" w:afterLines="50" w:line="540" w:lineRule="exact"/>
        <w:ind w:left="560"/>
        <w:rPr>
          <w:rFonts w:ascii="仿宋_GB2312" w:hAnsi="宋体" w:eastAsia="仿宋_GB2312"/>
          <w:color w:val="000000"/>
          <w:sz w:val="28"/>
          <w:szCs w:val="28"/>
        </w:rPr>
      </w:pPr>
      <w:r>
        <w:rPr>
          <w:rFonts w:hint="eastAsia" w:ascii="仿宋_GB2312" w:hAnsi="宋体" w:eastAsia="仿宋_GB2312"/>
          <w:color w:val="000000"/>
          <w:sz w:val="28"/>
          <w:szCs w:val="28"/>
        </w:rPr>
        <w:t>下基层：200mm4%水泥稳定级配碎石</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路床：原路基平整压实。</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道路设置纵缝与缩缝，纵缝之间距离为3.5米，缩缝之间距离为5米。</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（2）人行道面结构</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面层：Cc40预制矩形步道砖，规格230X115X60mm；</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找平层：20mm1:2水泥砂浆；</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基层：C20混凝土厚150mm；</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路床：开挖修整压实（90%以上）；</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道路上的人行道上设置连续的30×15×5cm导盲带。在交叉口人行横道对应的人行道及被路缘石隔断的人行道上设置无障碍通道。</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道路边缘以花岗岩砌侧石保护和支撑边缘。</w:t>
      </w:r>
    </w:p>
    <w:p>
      <w:pPr>
        <w:spacing w:beforeLines="50" w:afterLines="50" w:line="540" w:lineRule="exact"/>
        <w:rPr>
          <w:rFonts w:ascii="仿宋_GB2312" w:hAnsi="宋体" w:eastAsia="仿宋_GB2312"/>
          <w:color w:val="000000"/>
          <w:sz w:val="28"/>
          <w:szCs w:val="28"/>
        </w:rPr>
      </w:pPr>
      <w:r>
        <w:rPr>
          <w:rFonts w:hint="eastAsia" w:ascii="仿宋_GB2312" w:hAnsi="宋体" w:eastAsia="仿宋_GB2312"/>
          <w:color w:val="000000"/>
          <w:sz w:val="28"/>
          <w:szCs w:val="28"/>
        </w:rPr>
        <w:t>3.3</w:t>
      </w:r>
      <w:r>
        <w:rPr>
          <w:rFonts w:hint="eastAsia" w:ascii="仿宋_GB2312" w:hAnsi="宋体" w:eastAsia="仿宋_GB2312"/>
          <w:color w:val="000000"/>
          <w:sz w:val="28"/>
          <w:szCs w:val="28"/>
          <w:lang w:val="en-US" w:eastAsia="zh-CN"/>
        </w:rPr>
        <w:t xml:space="preserve"> </w:t>
      </w:r>
      <w:r>
        <w:rPr>
          <w:rFonts w:hint="eastAsia" w:ascii="仿宋_GB2312" w:hAnsi="宋体" w:eastAsia="仿宋_GB2312"/>
          <w:color w:val="000000"/>
          <w:sz w:val="28"/>
          <w:szCs w:val="28"/>
        </w:rPr>
        <w:t>道路交叉设计</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本项目共与规划道路交叉6处，均采用平面交叉处理，道路均采用倒角顺接方式接入。</w:t>
      </w:r>
    </w:p>
    <w:p>
      <w:pPr>
        <w:spacing w:beforeLines="50" w:afterLines="50" w:line="540" w:lineRule="exact"/>
        <w:rPr>
          <w:rFonts w:ascii="仿宋_GB2312" w:hAnsi="宋体" w:eastAsia="仿宋_GB2312"/>
          <w:color w:val="000000"/>
          <w:sz w:val="28"/>
          <w:szCs w:val="28"/>
        </w:rPr>
      </w:pPr>
      <w:r>
        <w:rPr>
          <w:rFonts w:hint="eastAsia" w:ascii="仿宋_GB2312" w:hAnsi="宋体" w:eastAsia="仿宋_GB2312"/>
          <w:color w:val="000000"/>
          <w:sz w:val="28"/>
          <w:szCs w:val="28"/>
        </w:rPr>
        <w:t>3.4</w:t>
      </w:r>
      <w:r>
        <w:rPr>
          <w:rFonts w:hint="eastAsia" w:ascii="仿宋_GB2312" w:hAnsi="宋体" w:eastAsia="仿宋_GB2312"/>
          <w:color w:val="000000"/>
          <w:sz w:val="28"/>
          <w:szCs w:val="28"/>
          <w:lang w:val="en-US" w:eastAsia="zh-CN"/>
        </w:rPr>
        <w:t xml:space="preserve"> </w:t>
      </w:r>
      <w:r>
        <w:rPr>
          <w:rFonts w:hint="eastAsia" w:ascii="仿宋_GB2312" w:hAnsi="宋体" w:eastAsia="仿宋_GB2312"/>
          <w:color w:val="000000"/>
          <w:sz w:val="28"/>
          <w:szCs w:val="28"/>
        </w:rPr>
        <w:t>路面排水设计</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本工程地面道路路面排水采用设雨水进水口方式，路面雨水首先汇集到雨水口，然后通过雨水口排入雨水管。进水口位置设在机动车道、辅道的外侧，进水口间距为 30～40 米。机动车道横坡为 1.5％，人行道横坡为 1％。</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交叉口与全线人行道根据交叉口竖向设计情况加设雨水进水口。</w:t>
      </w:r>
    </w:p>
    <w:p>
      <w:pPr>
        <w:spacing w:beforeLines="50" w:afterLines="50" w:line="540" w:lineRule="exact"/>
        <w:ind w:firstLine="562" w:firstLineChars="200"/>
        <w:outlineLvl w:val="3"/>
        <w:rPr>
          <w:rFonts w:ascii="仿宋_GB2312" w:hAnsi="宋体" w:eastAsia="仿宋_GB2312"/>
          <w:b/>
          <w:color w:val="000000"/>
          <w:sz w:val="28"/>
          <w:szCs w:val="28"/>
        </w:rPr>
      </w:pPr>
      <w:r>
        <w:rPr>
          <w:rFonts w:hint="eastAsia" w:ascii="仿宋_GB2312" w:hAnsi="宋体" w:eastAsia="仿宋_GB2312"/>
          <w:b/>
          <w:color w:val="000000"/>
          <w:sz w:val="28"/>
          <w:szCs w:val="28"/>
        </w:rPr>
        <w:t>4、交通设施</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交通安全设施属于道路的基础设施，它对减轻事故的严重度，排除各种纵、横向干扰，提高道路服务水平，提供视线诱导，增强道路景观等起着重要的作用。特别是对充分发挥道路安全、快速、经济、舒适的功能，具有特殊的意义。</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color w:val="000000"/>
          <w:sz w:val="28"/>
          <w:szCs w:val="28"/>
        </w:rPr>
        <w:t>本工程设置的交通安全设施有如下：</w:t>
      </w:r>
    </w:p>
    <w:p>
      <w:pPr>
        <w:spacing w:beforeLines="50" w:afterLines="50" w:line="540" w:lineRule="exact"/>
        <w:ind w:firstLine="560" w:firstLineChars="200"/>
        <w:rPr>
          <w:rFonts w:ascii="仿宋_GB2312" w:hAnsi="宋体" w:eastAsia="仿宋_GB2312"/>
          <w:sz w:val="28"/>
          <w:szCs w:val="28"/>
        </w:rPr>
      </w:pPr>
      <w:r>
        <w:rPr>
          <w:rFonts w:ascii="仿宋_GB2312" w:hAnsi="宋体" w:eastAsia="仿宋_GB2312"/>
          <w:sz w:val="28"/>
          <w:szCs w:val="28"/>
        </w:rPr>
        <w:t>1）标志牌</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标志颜色以</w:t>
      </w:r>
      <w:r>
        <w:rPr>
          <w:rFonts w:ascii="仿宋_GB2312" w:hAnsi="宋体" w:eastAsia="仿宋_GB2312"/>
          <w:sz w:val="28"/>
          <w:szCs w:val="28"/>
        </w:rPr>
        <w:t xml:space="preserve"> GB5768－2009 </w:t>
      </w:r>
      <w:r>
        <w:rPr>
          <w:rFonts w:hint="eastAsia" w:ascii="仿宋_GB2312" w:hAnsi="宋体" w:eastAsia="仿宋_GB2312"/>
          <w:sz w:val="28"/>
          <w:szCs w:val="28"/>
        </w:rPr>
        <w:t>为准，尺寸及设置方式按照《交通设施工程建设改造技术指引》的相关要求设置。标志版面反光材料采用二级反光膜。标志牌版面的内容必须经过交警部门的审核和认可方可实施。交通标志中的汉字、阿拉伯数字、英文字母及隔音符号等应采用交通标志专用字体。标志版面的形状、箭头、编号、图形及边框等应严格按照</w:t>
      </w:r>
      <w:r>
        <w:rPr>
          <w:rFonts w:ascii="仿宋_GB2312" w:hAnsi="宋体" w:eastAsia="仿宋_GB2312"/>
          <w:sz w:val="28"/>
          <w:szCs w:val="28"/>
        </w:rPr>
        <w:t xml:space="preserve"> GB5768-2009 </w:t>
      </w:r>
      <w:r>
        <w:rPr>
          <w:rFonts w:hint="eastAsia" w:ascii="仿宋_GB2312" w:hAnsi="宋体" w:eastAsia="仿宋_GB2312"/>
          <w:sz w:val="28"/>
          <w:szCs w:val="28"/>
        </w:rPr>
        <w:t>的规定执行。</w:t>
      </w:r>
    </w:p>
    <w:p>
      <w:pPr>
        <w:spacing w:beforeLines="50" w:afterLines="50" w:line="540" w:lineRule="exact"/>
        <w:ind w:firstLine="560" w:firstLineChars="200"/>
        <w:rPr>
          <w:rFonts w:ascii="仿宋_GB2312" w:hAnsi="宋体" w:eastAsia="仿宋_GB2312"/>
          <w:sz w:val="28"/>
          <w:szCs w:val="28"/>
        </w:rPr>
      </w:pPr>
      <w:r>
        <w:rPr>
          <w:rFonts w:ascii="仿宋_GB2312" w:hAnsi="宋体" w:eastAsia="仿宋_GB2312"/>
          <w:sz w:val="28"/>
          <w:szCs w:val="28"/>
        </w:rPr>
        <w:t>2）标志杆</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①立柱式交通标志杆</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单立柱主要支持人行横道灯和小型标志。因支持牌面大小的不同，单立杆有所区别。支持</w:t>
      </w:r>
      <w:r>
        <w:rPr>
          <w:rFonts w:ascii="仿宋_GB2312" w:hAnsi="宋体" w:eastAsia="仿宋_GB2312"/>
          <w:sz w:val="28"/>
          <w:szCs w:val="28"/>
        </w:rPr>
        <w:t xml:space="preserve"> 1.5 </w:t>
      </w:r>
      <w:r>
        <w:rPr>
          <w:rFonts w:hint="eastAsia" w:ascii="仿宋_GB2312" w:hAnsi="宋体" w:eastAsia="仿宋_GB2312"/>
          <w:sz w:val="28"/>
          <w:szCs w:val="28"/>
        </w:rPr>
        <w:t>平米以上的单立杆采用</w:t>
      </w:r>
      <w:r>
        <w:rPr>
          <w:rFonts w:ascii="仿宋_GB2312" w:hAnsi="宋体" w:eastAsia="仿宋_GB2312"/>
          <w:sz w:val="28"/>
          <w:szCs w:val="28"/>
        </w:rPr>
        <w:t xml:space="preserve"> </w:t>
      </w:r>
      <w:r>
        <w:rPr>
          <w:rFonts w:hint="eastAsia" w:ascii="仿宋_GB2312" w:hAnsi="宋体" w:eastAsia="仿宋_GB2312"/>
          <w:sz w:val="28"/>
          <w:szCs w:val="28"/>
        </w:rPr>
        <w:t>Φ</w:t>
      </w:r>
      <w:r>
        <w:rPr>
          <w:rFonts w:ascii="仿宋_GB2312" w:hAnsi="宋体" w:eastAsia="仿宋_GB2312"/>
          <w:sz w:val="28"/>
          <w:szCs w:val="28"/>
        </w:rPr>
        <w:t xml:space="preserve">89mm </w:t>
      </w:r>
      <w:r>
        <w:rPr>
          <w:rFonts w:hint="eastAsia" w:ascii="仿宋_GB2312" w:hAnsi="宋体" w:eastAsia="仿宋_GB2312"/>
          <w:sz w:val="28"/>
          <w:szCs w:val="28"/>
        </w:rPr>
        <w:t>钢管制作；支持</w:t>
      </w:r>
      <w:r>
        <w:rPr>
          <w:rFonts w:ascii="仿宋_GB2312" w:hAnsi="宋体" w:eastAsia="仿宋_GB2312"/>
          <w:sz w:val="28"/>
          <w:szCs w:val="28"/>
        </w:rPr>
        <w:t xml:space="preserve"> 1.5 </w:t>
      </w:r>
      <w:r>
        <w:rPr>
          <w:rFonts w:hint="eastAsia" w:ascii="仿宋_GB2312" w:hAnsi="宋体" w:eastAsia="仿宋_GB2312"/>
          <w:sz w:val="28"/>
          <w:szCs w:val="28"/>
        </w:rPr>
        <w:t>平米以下的单立杆采用</w:t>
      </w:r>
      <w:r>
        <w:rPr>
          <w:rFonts w:ascii="仿宋_GB2312" w:hAnsi="宋体" w:eastAsia="仿宋_GB2312"/>
          <w:sz w:val="28"/>
          <w:szCs w:val="28"/>
        </w:rPr>
        <w:t xml:space="preserve"> </w:t>
      </w:r>
      <w:r>
        <w:rPr>
          <w:rFonts w:hint="eastAsia" w:ascii="仿宋_GB2312" w:hAnsi="宋体" w:eastAsia="仿宋_GB2312"/>
          <w:sz w:val="28"/>
          <w:szCs w:val="28"/>
        </w:rPr>
        <w:t>Φ</w:t>
      </w:r>
      <w:r>
        <w:rPr>
          <w:rFonts w:ascii="仿宋_GB2312" w:hAnsi="宋体" w:eastAsia="仿宋_GB2312"/>
          <w:sz w:val="28"/>
          <w:szCs w:val="28"/>
        </w:rPr>
        <w:t xml:space="preserve">76mm </w:t>
      </w:r>
      <w:r>
        <w:rPr>
          <w:rFonts w:hint="eastAsia" w:ascii="仿宋_GB2312" w:hAnsi="宋体" w:eastAsia="仿宋_GB2312"/>
          <w:sz w:val="28"/>
          <w:szCs w:val="28"/>
        </w:rPr>
        <w:t>钢管制作。</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②悬臂式标志杆（</w:t>
      </w:r>
      <w:r>
        <w:rPr>
          <w:rFonts w:ascii="仿宋_GB2312" w:hAnsi="宋体" w:eastAsia="仿宋_GB2312"/>
          <w:sz w:val="28"/>
          <w:szCs w:val="28"/>
        </w:rPr>
        <w:t xml:space="preserve">L </w:t>
      </w:r>
      <w:r>
        <w:rPr>
          <w:rFonts w:hint="eastAsia" w:ascii="仿宋_GB2312" w:hAnsi="宋体" w:eastAsia="仿宋_GB2312"/>
          <w:sz w:val="28"/>
          <w:szCs w:val="28"/>
        </w:rPr>
        <w:t>杆）</w:t>
      </w:r>
    </w:p>
    <w:p>
      <w:pPr>
        <w:spacing w:beforeLines="50" w:afterLines="50" w:line="540" w:lineRule="exact"/>
        <w:ind w:firstLine="560" w:firstLineChars="200"/>
        <w:rPr>
          <w:rFonts w:ascii="仿宋_GB2312" w:hAnsi="宋体" w:eastAsia="仿宋_GB2312"/>
          <w:sz w:val="28"/>
          <w:szCs w:val="28"/>
        </w:rPr>
      </w:pPr>
      <w:r>
        <w:rPr>
          <w:rFonts w:ascii="仿宋_GB2312" w:hAnsi="宋体" w:eastAsia="仿宋_GB2312"/>
          <w:sz w:val="28"/>
          <w:szCs w:val="28"/>
        </w:rPr>
        <w:t xml:space="preserve">L </w:t>
      </w:r>
      <w:r>
        <w:rPr>
          <w:rFonts w:hint="eastAsia" w:ascii="仿宋_GB2312" w:hAnsi="宋体" w:eastAsia="仿宋_GB2312"/>
          <w:sz w:val="28"/>
          <w:szCs w:val="28"/>
        </w:rPr>
        <w:t>杆采用八角型钢制作，是标志牌和信号灯的支持构件，标志牌上字体高度为</w:t>
      </w:r>
      <w:r>
        <w:rPr>
          <w:rFonts w:ascii="仿宋_GB2312" w:hAnsi="宋体" w:eastAsia="仿宋_GB2312"/>
          <w:sz w:val="28"/>
          <w:szCs w:val="28"/>
        </w:rPr>
        <w:t xml:space="preserve"> 35cm，如牌上字数过多，施工单位自行调整，但必须经过交警部门审核后才能投入使用、版面结构和标志参见国标 GB5768-2009《道路交通标志和标线》。</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③材料的防锈处理</w:t>
      </w:r>
    </w:p>
    <w:p>
      <w:pPr>
        <w:spacing w:beforeLines="50" w:afterLines="50" w:line="540" w:lineRule="exact"/>
        <w:ind w:firstLine="560" w:firstLineChars="200"/>
        <w:rPr>
          <w:rFonts w:ascii="仿宋_GB2312" w:hAnsi="宋体" w:eastAsia="仿宋_GB2312"/>
          <w:color w:val="FF0000"/>
          <w:sz w:val="28"/>
          <w:szCs w:val="28"/>
        </w:rPr>
      </w:pPr>
      <w:r>
        <w:rPr>
          <w:rFonts w:hint="eastAsia" w:ascii="仿宋_GB2312" w:hAnsi="宋体" w:eastAsia="仿宋_GB2312"/>
          <w:sz w:val="28"/>
          <w:szCs w:val="28"/>
        </w:rPr>
        <w:t>各类交通设施标志的杆件、螺栓、螺母均应进行热镀锌处理，杆件再喷涂银灰色的防锈漆</w:t>
      </w:r>
      <w:r>
        <w:rPr>
          <w:rFonts w:ascii="仿宋_GB2312" w:hAnsi="宋体" w:eastAsia="仿宋_GB2312"/>
          <w:sz w:val="28"/>
          <w:szCs w:val="28"/>
        </w:rPr>
        <w:t xml:space="preserve"> 3 </w:t>
      </w:r>
      <w:r>
        <w:rPr>
          <w:rFonts w:hint="eastAsia" w:ascii="仿宋_GB2312" w:hAnsi="宋体" w:eastAsia="仿宋_GB2312"/>
          <w:sz w:val="28"/>
          <w:szCs w:val="28"/>
        </w:rPr>
        <w:t>度，为防盗需要螺栓安装完毕应点焊。</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3）交通标线</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道路标线道路交通标线是由标划于路面上的各种线条、箭头、文字、立面标记、突起路标和轮廓标等所构成的交通安全设施。包括在道路交叉口处的交通渠化标线，指示方向箭头，人行横道线，停车线，各车行道分界线，靠外边车行道的边线，导向箭头等。在港湾式停靠站设置停靠站标线。采用反光热塑型油漆。</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根据路段的交通特点，设置交通标志：</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1、指路标志：交叉路口指示标志；</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2、交通标线</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3、行车道边缘线：20cm的白色实线；</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4、车行道分界线：线宽20cm，虚线采用长6m，间距9m的白色虚线；</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5、人行道线：线宽40cm，长5m或3m，间距60cm的白色实线。</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所有道路交通标线采用环保反光涂料涂划，路面标线符合 GB5768-2009、JT/280-2004以及其它各项规定。分车道线按 6×9 点划线，路缘线采用连续单白线，线宽均采用 15cm，指示箭头长 6 米。</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4）其他交通设施</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平面交叉口设置信号设施，信号设施包括信号机、信号灯、信号灯杆及基础、通讯管道、电缆等。</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机动车信号灯安装：对向出口道右侧的机非分隔带或人行道处。</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非机动车信号灯安装：安装在机动车信号灯的横臂或立柱上，或与人行信号灯对向出口人行道处。</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人行横道信号灯安装：采取对向灯安装，安装在人行横道两端内沿或外沿；当两人行道信号灯距离较近时，可以采取合用柱杆的形式。</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交通设施设置详见附件3。</w:t>
      </w:r>
    </w:p>
    <w:p>
      <w:pPr>
        <w:spacing w:beforeLines="50" w:afterLines="50" w:line="540" w:lineRule="exact"/>
        <w:ind w:firstLine="562" w:firstLineChars="200"/>
        <w:outlineLvl w:val="3"/>
        <w:rPr>
          <w:rFonts w:ascii="仿宋_GB2312" w:hAnsi="宋体" w:eastAsia="仿宋_GB2312"/>
          <w:b/>
          <w:color w:val="000000"/>
          <w:sz w:val="28"/>
          <w:szCs w:val="28"/>
        </w:rPr>
      </w:pPr>
      <w:r>
        <w:rPr>
          <w:rFonts w:hint="eastAsia" w:ascii="仿宋_GB2312" w:hAnsi="宋体" w:eastAsia="仿宋_GB2312"/>
          <w:b/>
          <w:color w:val="000000"/>
          <w:sz w:val="28"/>
          <w:szCs w:val="28"/>
        </w:rPr>
        <w:t>5、绿化工程</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道路绿化设计以生态学原则为基础，既考虑道路本身的卫生、环境、景观，同时又考虑与周边环境、片区内其他树种相协调统一，构成整个完整 的生态景观系统。</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本次设计道路绿化景观主要为道路两侧人行道路种树，种植以乔木为主，整齐划一。树下种植地被植物，加强绿化景观效果。</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sz w:val="28"/>
          <w:szCs w:val="28"/>
        </w:rPr>
        <w:t>树种选择配合道路景观设计要求，主要为樟树</w:t>
      </w:r>
      <w:r>
        <w:rPr>
          <w:rFonts w:hint="eastAsia" w:ascii="仿宋_GB2312" w:hAnsi="宋体" w:eastAsia="仿宋_GB2312"/>
          <w:color w:val="000000"/>
          <w:sz w:val="28"/>
          <w:szCs w:val="28"/>
        </w:rPr>
        <w:t>。</w:t>
      </w:r>
      <w:r>
        <w:rPr>
          <w:rFonts w:ascii="仿宋_GB2312" w:hAnsi="宋体" w:eastAsia="仿宋_GB2312"/>
          <w:color w:val="000000"/>
          <w:sz w:val="28"/>
          <w:szCs w:val="28"/>
        </w:rPr>
        <w:drawing>
          <wp:anchor distT="0" distB="0" distL="114300" distR="114300" simplePos="0" relativeHeight="251664384" behindDoc="0" locked="0" layoutInCell="1" allowOverlap="1">
            <wp:simplePos x="0" y="0"/>
            <wp:positionH relativeFrom="column">
              <wp:posOffset>-554355</wp:posOffset>
            </wp:positionH>
            <wp:positionV relativeFrom="paragraph">
              <wp:posOffset>1397635</wp:posOffset>
            </wp:positionV>
            <wp:extent cx="6595110" cy="2766695"/>
            <wp:effectExtent l="19050" t="0" r="0" b="0"/>
            <wp:wrapSquare wrapText="bothSides"/>
            <wp:docPr id="8" name="图片 7" descr="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树.jpg"/>
                    <pic:cNvPicPr>
                      <a:picLocks noChangeAspect="1"/>
                    </pic:cNvPicPr>
                  </pic:nvPicPr>
                  <pic:blipFill>
                    <a:blip r:embed="rId17"/>
                    <a:srcRect l="5088" r="4889"/>
                    <a:stretch>
                      <a:fillRect/>
                    </a:stretch>
                  </pic:blipFill>
                  <pic:spPr>
                    <a:xfrm>
                      <a:off x="0" y="0"/>
                      <a:ext cx="6595110" cy="2766695"/>
                    </a:xfrm>
                    <a:prstGeom prst="rect">
                      <a:avLst/>
                    </a:prstGeom>
                  </pic:spPr>
                </pic:pic>
              </a:graphicData>
            </a:graphic>
          </wp:anchor>
        </w:drawing>
      </w:r>
      <w:r>
        <w:rPr>
          <w:rFonts w:hint="eastAsia" w:ascii="仿宋_GB2312" w:hAnsi="宋体" w:eastAsia="仿宋_GB2312"/>
          <w:color w:val="000000"/>
          <w:sz w:val="28"/>
          <w:szCs w:val="28"/>
        </w:rPr>
        <w:t>沿线道路两侧新种植樟树472棵左右，树距约5m，胸径15-16CM。</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绿化工程平面图详见附件4。</w:t>
      </w:r>
    </w:p>
    <w:p>
      <w:pPr>
        <w:pStyle w:val="3"/>
        <w:rPr>
          <w:rFonts w:ascii="仿宋_GB2312" w:eastAsia="仿宋_GB2312" w:cs="Arial"/>
          <w:color w:val="000000"/>
          <w:sz w:val="28"/>
          <w:szCs w:val="28"/>
        </w:rPr>
      </w:pPr>
      <w:bookmarkStart w:id="27" w:name="_Toc464510811"/>
      <w:r>
        <w:rPr>
          <w:rFonts w:hint="eastAsia" w:ascii="仿宋_GB2312" w:eastAsia="仿宋_GB2312" w:cs="Arial"/>
          <w:color w:val="000000"/>
          <w:sz w:val="28"/>
          <w:szCs w:val="28"/>
        </w:rPr>
        <w:t>4.5 排水管道工程</w:t>
      </w:r>
      <w:bookmarkEnd w:id="27"/>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4.5.1 管线敷设原则</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1、规划区内工程管线应采用地下敷设。</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2、工程管线应结合城市道路的规划，使路线短捷、合理。</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3、当工程管线在竖向位置发生矛盾时，应按下列规定处理：压力管线让重力自流管线；可弯管线让不易弯曲管线，分支管线让主干管线；小管径管线让大管径管线。</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4、工程管线的最大覆土深度、最小水平净距、最小垂直间距应满足GB50289-98的要求。</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5、工程管线交叉敷设时，自地表向下的排列顺序为：信息、电力、燃气、给水、雨水、污水管线。</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4.5.2 工程范围</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本项目道路内规划的工程管线纳入该区域的综合管线工程规划考虑。根据规划，项目用地内管线包括污水、雨水管线。电力、燃气、通信管线不纳入本项目研究范围。</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4.5.3 排水工程</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根据周边的自然条件和排水现状，本项目排水系统采用雨、污分流制。</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1、排水管材选用</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本项目新建管道采用HDPE高密度聚乙烯缠绕增强B型管，其中，DN300HDPE高密度聚乙烯缠绕增强B型管长1300m；DN500HDPE高密度聚乙烯缠绕增强B型管长1180m；DN800HDPE高密度聚乙烯缠绕增强B型管长1180m。</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2、雨水工程设计</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A、暴雨强度</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采用汕头市市暴雨强度计算公式</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eastAsia="仿宋_GB2312"/>
          <w:color w:val="000000"/>
          <w:sz w:val="28"/>
        </w:rPr>
        <w:t>q=1248.85（1+0.56lgP）/(t+3.5)</w:t>
      </w:r>
      <w:r>
        <w:rPr>
          <w:rFonts w:hint="eastAsia" w:ascii="仿宋_GB2312" w:eastAsia="仿宋_GB2312"/>
          <w:color w:val="000000"/>
          <w:sz w:val="28"/>
          <w:vertAlign w:val="superscript"/>
        </w:rPr>
        <w:t>0.561</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其中：q-设计暴雨强度（L/s*ha）</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t-降雨历时（min），t=t1+mt2，t1为地面集水时间（min），m为折减系数，t2为管内雨水流行时间（min）</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B、雨水灌渠流量</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Q=Ψ*q*F</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其中Q-雨水设计流量（L/s）</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Ψ-径流系数，取Ψ=0.6</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F-汇水面积（ha）</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C、雨水系统管网平面设计</w:t>
      </w:r>
    </w:p>
    <w:p>
      <w:pPr>
        <w:spacing w:beforeLines="50" w:afterLines="50" w:line="540" w:lineRule="exact"/>
        <w:ind w:firstLine="560" w:firstLineChars="200"/>
        <w:rPr>
          <w:rFonts w:ascii="仿宋_GB2312" w:hAnsi="宋体" w:eastAsia="仿宋_GB2312"/>
          <w:color w:val="000000"/>
          <w:sz w:val="28"/>
          <w:szCs w:val="28"/>
        </w:rPr>
      </w:pPr>
      <w:bookmarkStart w:id="28" w:name="OLE_LINK1"/>
      <w:r>
        <w:rPr>
          <w:rFonts w:hint="eastAsia" w:ascii="仿宋_GB2312" w:hAnsi="宋体" w:eastAsia="仿宋_GB2312"/>
          <w:color w:val="000000"/>
          <w:sz w:val="28"/>
          <w:szCs w:val="28"/>
        </w:rPr>
        <w:t>本项目雨水管道沿道路西侧布置，雨水口沿人行道侧路缘带合理设置。</w:t>
      </w:r>
    </w:p>
    <w:bookmarkEnd w:id="28"/>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采用的雨水管道管径为DN800。雨水管道起始覆土大于等于0.7米，管道连接采用管顶平接。为了保证日后道路两侧建筑物的雨水可以在不破路面的情况下接入敷设在道路中的雨水干管，故沿线设置雨水检查井。排水出口标高主要是根据受纳水体不同频率水位标高确定，原则上管道出口内顶标高不低于多年平均潮水位。</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3、污水工程设计</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沿途污水采用管道收集，集中送至污水处理厂，处理达标后再排放。污水量根据用水量及污水排放系数确定，根据相关规划，城市综合生活污水排放系数采用0.8-0.9，城市工业废水排放系数采用0.7-0.9，地下水渗入量采用设计污水量的10%。</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污水量计算公式：</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Q=K*q*F</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式中：Q-污水设计流量（L/s）</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K-污水总变化系数</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q-污水面积比流量（L/s*ha）</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F-汇水面积（ha）</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本项目污水管道沿道路东侧布置。采用的污水管道管径为DN300。污水管起始覆土大于等于1.5米，管道连接采用管顶平接。沿途设置污水检查井。</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排水工程平面图详见附件5。</w:t>
      </w:r>
    </w:p>
    <w:p>
      <w:pPr>
        <w:pStyle w:val="3"/>
        <w:spacing w:before="156" w:after="156"/>
        <w:rPr>
          <w:rFonts w:ascii="仿宋_GB2312" w:eastAsia="仿宋_GB2312" w:cs="Arial"/>
          <w:color w:val="000000"/>
          <w:sz w:val="28"/>
          <w:szCs w:val="28"/>
        </w:rPr>
      </w:pPr>
      <w:bookmarkStart w:id="29" w:name="_Toc464510812"/>
      <w:r>
        <w:rPr>
          <w:rFonts w:hint="eastAsia" w:ascii="仿宋_GB2312" w:eastAsia="仿宋_GB2312" w:cs="Arial"/>
          <w:color w:val="000000"/>
          <w:sz w:val="28"/>
          <w:szCs w:val="28"/>
        </w:rPr>
        <w:t>4.6</w:t>
      </w:r>
      <w:r>
        <w:rPr>
          <w:rFonts w:hint="eastAsia" w:ascii="仿宋_GB2312" w:eastAsia="仿宋_GB2312" w:cs="Arial"/>
          <w:color w:val="000000"/>
          <w:sz w:val="28"/>
          <w:szCs w:val="28"/>
          <w:lang w:val="en-US" w:eastAsia="zh-CN"/>
        </w:rPr>
        <w:t xml:space="preserve"> </w:t>
      </w:r>
      <w:r>
        <w:rPr>
          <w:rFonts w:hint="eastAsia" w:ascii="仿宋_GB2312" w:eastAsia="仿宋_GB2312" w:cs="Arial"/>
          <w:color w:val="000000"/>
          <w:sz w:val="28"/>
          <w:szCs w:val="28"/>
        </w:rPr>
        <w:t>道路照明工程</w:t>
      </w:r>
      <w:bookmarkEnd w:id="29"/>
    </w:p>
    <w:p>
      <w:pPr>
        <w:spacing w:beforeLines="50" w:afterLines="50" w:line="540" w:lineRule="exact"/>
        <w:rPr>
          <w:rFonts w:ascii="仿宋_GB2312" w:hAnsi="宋体" w:eastAsia="仿宋_GB2312"/>
          <w:color w:val="000000"/>
          <w:sz w:val="28"/>
          <w:szCs w:val="28"/>
        </w:rPr>
      </w:pPr>
      <w:bookmarkStart w:id="30" w:name="_Toc415647875"/>
      <w:r>
        <w:rPr>
          <w:rFonts w:hint="eastAsia" w:ascii="仿宋_GB2312" w:hAnsi="宋体" w:eastAsia="仿宋_GB2312"/>
          <w:color w:val="000000"/>
          <w:sz w:val="28"/>
          <w:szCs w:val="28"/>
        </w:rPr>
        <w:t>4.6.1</w:t>
      </w:r>
      <w:r>
        <w:rPr>
          <w:rFonts w:hint="eastAsia" w:ascii="仿宋_GB2312" w:hAnsi="宋体" w:eastAsia="仿宋_GB2312"/>
          <w:color w:val="000000"/>
          <w:sz w:val="28"/>
          <w:szCs w:val="28"/>
          <w:lang w:val="en-US" w:eastAsia="zh-CN"/>
        </w:rPr>
        <w:t xml:space="preserve"> </w:t>
      </w:r>
      <w:r>
        <w:rPr>
          <w:rFonts w:hint="eastAsia" w:ascii="仿宋_GB2312" w:hAnsi="宋体" w:eastAsia="仿宋_GB2312"/>
          <w:color w:val="000000"/>
          <w:sz w:val="28"/>
          <w:szCs w:val="28"/>
        </w:rPr>
        <w:t>照明设计主导思想</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照明的目的是为车辆驾驶人员以及行人创造良好的视觉环境，满足近、远期车辆通行要求，达到保障交通安全、减少或杜绝交通安全事故、提高道路使用效率、方便居民生活、防止犯罪活动发生和美化城市环境的效果。本设计遵循以下几点指导原则：节能性、安全性、美观性、先进性、合理性。</w:t>
      </w:r>
    </w:p>
    <w:p>
      <w:pPr>
        <w:spacing w:beforeLines="50" w:afterLines="50" w:line="540" w:lineRule="exact"/>
        <w:ind w:firstLine="560" w:firstLineChars="200"/>
        <w:rPr>
          <w:rFonts w:ascii="仿宋_GB2312" w:hAnsi="宋体" w:eastAsia="仿宋_GB2312"/>
          <w:color w:val="000000" w:themeColor="text1"/>
          <w:sz w:val="28"/>
          <w:szCs w:val="28"/>
        </w:rPr>
      </w:pPr>
      <w:r>
        <w:rPr>
          <w:rFonts w:hint="eastAsia" w:ascii="仿宋_GB2312" w:hAnsi="宋体" w:eastAsia="仿宋_GB2312"/>
          <w:color w:val="000000"/>
          <w:sz w:val="28"/>
          <w:szCs w:val="28"/>
        </w:rPr>
        <w:t>本次光源采用 LED 灯。灯具采用配光适宜、效率高、防水、防潮、防腐、防震隧道专用型灯具，防护等级为 IP65。荧光灯采用高性能低谐波交流电子镇流器,本设计采用半截光型灯具，满足对眩光限制的要求。</w:t>
      </w:r>
    </w:p>
    <w:p>
      <w:pPr>
        <w:spacing w:beforeLines="50" w:afterLines="50" w:line="540" w:lineRule="exact"/>
        <w:rPr>
          <w:rFonts w:ascii="仿宋_GB2312" w:hAnsi="宋体" w:eastAsia="仿宋_GB2312"/>
          <w:color w:val="000000" w:themeColor="text1"/>
          <w:sz w:val="28"/>
          <w:szCs w:val="28"/>
        </w:rPr>
      </w:pPr>
      <w:r>
        <w:rPr>
          <w:rFonts w:ascii="仿宋_GB2312" w:hAnsi="宋体" w:eastAsia="仿宋_GB2312"/>
          <w:color w:val="000000" w:themeColor="text1"/>
          <w:sz w:val="28"/>
          <w:szCs w:val="28"/>
        </w:rPr>
        <w:t>4.6.2</w:t>
      </w:r>
      <w:r>
        <w:rPr>
          <w:rFonts w:hint="eastAsia" w:ascii="仿宋_GB2312" w:hAnsi="宋体" w:eastAsia="仿宋_GB2312"/>
          <w:color w:val="000000" w:themeColor="text1"/>
          <w:sz w:val="28"/>
          <w:szCs w:val="28"/>
          <w:lang w:val="en-US" w:eastAsia="zh-CN"/>
        </w:rPr>
        <w:t xml:space="preserve"> </w:t>
      </w:r>
      <w:r>
        <w:rPr>
          <w:rFonts w:ascii="仿宋_GB2312" w:hAnsi="宋体" w:eastAsia="仿宋_GB2312"/>
          <w:color w:val="000000" w:themeColor="text1"/>
          <w:sz w:val="28"/>
          <w:szCs w:val="28"/>
        </w:rPr>
        <w:t>供电方案</w:t>
      </w:r>
    </w:p>
    <w:p>
      <w:pPr>
        <w:spacing w:beforeLines="50" w:afterLines="50" w:line="540" w:lineRule="exact"/>
        <w:ind w:firstLine="560" w:firstLineChars="200"/>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本设计设置</w:t>
      </w:r>
      <w:r>
        <w:rPr>
          <w:rFonts w:ascii="仿宋_GB2312" w:hAnsi="宋体" w:eastAsia="仿宋_GB2312"/>
          <w:color w:val="000000" w:themeColor="text1"/>
          <w:sz w:val="28"/>
          <w:szCs w:val="28"/>
        </w:rPr>
        <w:t>1</w:t>
      </w:r>
      <w:r>
        <w:rPr>
          <w:rFonts w:hint="eastAsia" w:ascii="仿宋_GB2312" w:hAnsi="宋体" w:eastAsia="仿宋_GB2312"/>
          <w:color w:val="000000" w:themeColor="text1"/>
          <w:sz w:val="28"/>
          <w:szCs w:val="28"/>
        </w:rPr>
        <w:t>台路灯专用控制箱。除照明用电负荷，还预留有广告牌用电负荷、交通信号设施和道路两侧景观照明的用电负荷。</w:t>
      </w:r>
    </w:p>
    <w:p>
      <w:pPr>
        <w:spacing w:beforeLines="50" w:afterLines="50" w:line="540" w:lineRule="exact"/>
        <w:ind w:firstLine="560" w:firstLineChars="200"/>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道路照明采用</w:t>
      </w:r>
      <w:r>
        <w:rPr>
          <w:rFonts w:ascii="仿宋_GB2312" w:hAnsi="宋体" w:eastAsia="仿宋_GB2312"/>
          <w:color w:val="000000" w:themeColor="text1"/>
          <w:sz w:val="28"/>
          <w:szCs w:val="28"/>
        </w:rPr>
        <w:t xml:space="preserve"> VV22 电力电缆穿 PVC 管埋地敷设,照明管线在</w:t>
      </w:r>
      <w:r>
        <w:rPr>
          <w:rFonts w:hint="eastAsia" w:ascii="仿宋_GB2312" w:hAnsi="宋体" w:eastAsia="仿宋_GB2312"/>
          <w:color w:val="000000" w:themeColor="text1"/>
          <w:sz w:val="28"/>
          <w:szCs w:val="28"/>
        </w:rPr>
        <w:t>绿化带和车行道下覆土不应小于</w:t>
      </w:r>
      <w:r>
        <w:rPr>
          <w:rFonts w:ascii="仿宋_GB2312" w:hAnsi="宋体" w:eastAsia="仿宋_GB2312"/>
          <w:color w:val="000000" w:themeColor="text1"/>
          <w:sz w:val="28"/>
          <w:szCs w:val="28"/>
        </w:rPr>
        <w:t xml:space="preserve"> 0.7m。道路照明在过街(或过马路)处穿涂塑钢管埋地敷设,管顶覆土不应小于0.7m。</w:t>
      </w:r>
    </w:p>
    <w:p>
      <w:pPr>
        <w:spacing w:beforeLines="50" w:afterLines="50" w:line="540" w:lineRule="exact"/>
        <w:ind w:firstLine="560" w:firstLineChars="200"/>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本工程电缆在电缆管过街</w:t>
      </w:r>
      <w:r>
        <w:rPr>
          <w:rFonts w:ascii="仿宋_GB2312" w:hAnsi="宋体" w:eastAsia="仿宋_GB2312"/>
          <w:color w:val="000000" w:themeColor="text1"/>
          <w:sz w:val="28"/>
          <w:szCs w:val="28"/>
        </w:rPr>
        <w:t>(或过马路)处均设</w:t>
      </w:r>
      <w:r>
        <w:rPr>
          <w:rFonts w:hint="eastAsia" w:ascii="仿宋_GB2312" w:hAnsi="宋体" w:eastAsia="仿宋_GB2312"/>
          <w:color w:val="000000" w:themeColor="text1"/>
          <w:sz w:val="28"/>
          <w:szCs w:val="28"/>
        </w:rPr>
        <w:t>过道井</w:t>
      </w:r>
      <w:r>
        <w:rPr>
          <w:rFonts w:ascii="仿宋_GB2312" w:hAnsi="宋体" w:eastAsia="仿宋_GB2312"/>
          <w:color w:val="000000" w:themeColor="text1"/>
          <w:sz w:val="28"/>
          <w:szCs w:val="28"/>
        </w:rPr>
        <w:t xml:space="preserve">,在每一接线井内的电缆应留有0.5m </w:t>
      </w:r>
      <w:r>
        <w:rPr>
          <w:rFonts w:hint="eastAsia" w:ascii="仿宋_GB2312" w:hAnsi="宋体" w:eastAsia="仿宋_GB2312"/>
          <w:color w:val="000000" w:themeColor="text1"/>
          <w:sz w:val="28"/>
          <w:szCs w:val="28"/>
        </w:rPr>
        <w:t>长的余量。</w:t>
      </w:r>
    </w:p>
    <w:p>
      <w:pPr>
        <w:spacing w:beforeLines="50" w:afterLines="50" w:line="540" w:lineRule="exact"/>
        <w:rPr>
          <w:rFonts w:hint="eastAsia" w:ascii="仿宋_GB2312" w:hAnsi="宋体" w:eastAsia="仿宋_GB2312"/>
          <w:color w:val="000000" w:themeColor="text1"/>
          <w:sz w:val="28"/>
          <w:szCs w:val="28"/>
          <w:lang w:val="en-US" w:eastAsia="zh-CN"/>
        </w:rPr>
      </w:pPr>
      <w:r>
        <w:rPr>
          <w:rFonts w:ascii="仿宋_GB2312" w:hAnsi="宋体" w:eastAsia="仿宋_GB2312"/>
          <w:color w:val="000000" w:themeColor="text1"/>
          <w:sz w:val="28"/>
          <w:szCs w:val="28"/>
        </w:rPr>
        <w:t>4.6.3</w:t>
      </w:r>
      <w:r>
        <w:rPr>
          <w:rFonts w:hint="eastAsia" w:ascii="仿宋_GB2312" w:hAnsi="宋体" w:eastAsia="仿宋_GB2312"/>
          <w:color w:val="000000" w:themeColor="text1"/>
          <w:sz w:val="28"/>
          <w:szCs w:val="28"/>
          <w:lang w:val="en-US" w:eastAsia="zh-CN"/>
        </w:rPr>
        <w:t xml:space="preserve"> 路灯设置方案</w:t>
      </w:r>
    </w:p>
    <w:p>
      <w:pPr>
        <w:spacing w:beforeLines="50" w:afterLines="50" w:line="540" w:lineRule="exact"/>
        <w:rPr>
          <w:rFonts w:ascii="仿宋_GB2312" w:hAnsi="宋体" w:eastAsia="仿宋_GB2312"/>
          <w:color w:val="000000"/>
          <w:sz w:val="28"/>
          <w:szCs w:val="28"/>
        </w:rPr>
      </w:pPr>
      <w:r>
        <w:rPr>
          <w:rFonts w:hint="eastAsia" w:ascii="仿宋_GB2312" w:hAnsi="宋体" w:eastAsia="仿宋_GB2312"/>
          <w:color w:val="000000" w:themeColor="text1"/>
          <w:sz w:val="28"/>
          <w:szCs w:val="28"/>
          <w:lang w:val="en-US" w:eastAsia="zh-CN"/>
        </w:rPr>
        <w:t xml:space="preserve">    </w:t>
      </w:r>
      <w:r>
        <w:rPr>
          <w:rFonts w:ascii="仿宋_GB2312" w:hAnsi="宋体" w:eastAsia="仿宋_GB2312"/>
          <w:color w:val="000000" w:themeColor="text1"/>
          <w:sz w:val="28"/>
          <w:szCs w:val="28"/>
        </w:rPr>
        <w:t>路灯布置</w:t>
      </w:r>
      <w:bookmarkEnd w:id="30"/>
      <w:r>
        <w:rPr>
          <w:rFonts w:ascii="仿宋_GB2312" w:hAnsi="宋体" w:eastAsia="仿宋_GB2312"/>
          <w:color w:val="000000"/>
          <w:sz w:val="28"/>
          <w:szCs w:val="28"/>
        </w:rPr>
        <w:drawing>
          <wp:anchor distT="0" distB="0" distL="114300" distR="114300" simplePos="0" relativeHeight="251663360" behindDoc="1" locked="0" layoutInCell="1" allowOverlap="1">
            <wp:simplePos x="0" y="0"/>
            <wp:positionH relativeFrom="column">
              <wp:posOffset>-518795</wp:posOffset>
            </wp:positionH>
            <wp:positionV relativeFrom="paragraph">
              <wp:posOffset>1573530</wp:posOffset>
            </wp:positionV>
            <wp:extent cx="6221730" cy="2635885"/>
            <wp:effectExtent l="19050" t="0" r="7620" b="0"/>
            <wp:wrapSquare wrapText="bothSides"/>
            <wp:docPr id="7" name="图片 5" descr="照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照明.jpg"/>
                    <pic:cNvPicPr>
                      <a:picLocks noChangeAspect="1"/>
                    </pic:cNvPicPr>
                  </pic:nvPicPr>
                  <pic:blipFill>
                    <a:blip r:embed="rId18"/>
                    <a:srcRect l="4662" r="3969"/>
                    <a:stretch>
                      <a:fillRect/>
                    </a:stretch>
                  </pic:blipFill>
                  <pic:spPr>
                    <a:xfrm>
                      <a:off x="0" y="0"/>
                      <a:ext cx="6221730" cy="2635885"/>
                    </a:xfrm>
                    <a:prstGeom prst="rect">
                      <a:avLst/>
                    </a:prstGeom>
                  </pic:spPr>
                </pic:pic>
              </a:graphicData>
            </a:graphic>
          </wp:anchor>
        </w:drawing>
      </w:r>
      <w:r>
        <w:rPr>
          <w:rFonts w:hint="eastAsia" w:ascii="仿宋_GB2312" w:hAnsi="宋体" w:eastAsia="仿宋_GB2312"/>
          <w:color w:val="000000"/>
          <w:sz w:val="28"/>
          <w:szCs w:val="28"/>
        </w:rPr>
        <w:t>道路机动车道西侧安装10米高100W-LED单臂路灯。路灯单侧布置，平均间距为35米左右。</w:t>
      </w:r>
    </w:p>
    <w:p>
      <w:pPr>
        <w:spacing w:beforeLines="50" w:afterLines="50"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道路照明工程平面图详见附件6。</w:t>
      </w:r>
    </w:p>
    <w:p>
      <w:pPr>
        <w:pStyle w:val="3"/>
        <w:rPr>
          <w:rFonts w:ascii="仿宋_GB2312" w:hAnsi="宋体" w:eastAsia="仿宋_GB2312"/>
          <w:color w:val="000000"/>
          <w:sz w:val="28"/>
          <w:szCs w:val="28"/>
        </w:rPr>
        <w:sectPr>
          <w:headerReference r:id="rId11" w:type="first"/>
          <w:footerReference r:id="rId12" w:type="default"/>
          <w:footerReference r:id="rId13" w:type="even"/>
          <w:pgSz w:w="11906" w:h="16838"/>
          <w:pgMar w:top="1440" w:right="1800" w:bottom="1440" w:left="1800" w:header="851" w:footer="840" w:gutter="0"/>
          <w:cols w:space="425" w:num="1"/>
          <w:docGrid w:type="lines" w:linePitch="312" w:charSpace="0"/>
        </w:sectPr>
      </w:pPr>
    </w:p>
    <w:p>
      <w:pPr>
        <w:pStyle w:val="3"/>
        <w:rPr>
          <w:rFonts w:ascii="仿宋_GB2312" w:eastAsia="仿宋_GB2312" w:cs="Arial"/>
          <w:color w:val="000000"/>
          <w:sz w:val="28"/>
          <w:szCs w:val="28"/>
        </w:rPr>
      </w:pPr>
      <w:bookmarkStart w:id="31" w:name="_Toc464510813"/>
      <w:r>
        <w:rPr>
          <w:rFonts w:hint="eastAsia" w:ascii="仿宋_GB2312" w:eastAsia="仿宋_GB2312" w:cs="Arial"/>
          <w:color w:val="000000"/>
          <w:sz w:val="28"/>
          <w:szCs w:val="28"/>
        </w:rPr>
        <w:t>4.6 建设内容汇总</w:t>
      </w:r>
      <w:bookmarkEnd w:id="31"/>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项目工程具体建设内容见表4-2。</w:t>
      </w:r>
    </w:p>
    <w:p>
      <w:pPr>
        <w:spacing w:beforeLines="50" w:afterLines="50" w:line="540" w:lineRule="exact"/>
        <w:jc w:val="center"/>
        <w:rPr>
          <w:rFonts w:ascii="仿宋_GB2312" w:hAnsi="宋体" w:eastAsia="仿宋_GB2312"/>
          <w:color w:val="000000"/>
          <w:sz w:val="28"/>
          <w:szCs w:val="28"/>
        </w:rPr>
      </w:pPr>
      <w:r>
        <w:rPr>
          <w:rFonts w:hint="eastAsia" w:ascii="仿宋_GB2312" w:hAnsi="宋体" w:eastAsia="仿宋_GB2312"/>
          <w:color w:val="000000"/>
          <w:sz w:val="28"/>
          <w:szCs w:val="28"/>
        </w:rPr>
        <w:t>工程建设内容一览表</w:t>
      </w:r>
    </w:p>
    <w:p>
      <w:pPr>
        <w:spacing w:line="540" w:lineRule="exact"/>
        <w:rPr>
          <w:rFonts w:ascii="仿宋_GB2312" w:hAnsi="宋体" w:eastAsia="仿宋_GB2312"/>
          <w:color w:val="000000"/>
          <w:sz w:val="24"/>
        </w:rPr>
      </w:pPr>
      <w:r>
        <w:rPr>
          <w:rFonts w:hint="eastAsia" w:ascii="仿宋_GB2312" w:hAnsi="宋体" w:eastAsia="仿宋_GB2312"/>
          <w:color w:val="000000"/>
          <w:sz w:val="24"/>
        </w:rPr>
        <w:t>表4-2</w:t>
      </w:r>
    </w:p>
    <w:tbl>
      <w:tblPr>
        <w:tblStyle w:val="28"/>
        <w:tblW w:w="8992"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3931"/>
        <w:gridCol w:w="1135"/>
        <w:gridCol w:w="2216"/>
        <w:gridCol w:w="85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blHeader/>
        </w:trPr>
        <w:tc>
          <w:tcPr>
            <w:tcW w:w="854" w:type="dxa"/>
            <w:tcBorders>
              <w:top w:val="double" w:color="auto" w:sz="4" w:space="0"/>
              <w:bottom w:val="single" w:color="auto" w:sz="4" w:space="0"/>
            </w:tcBorders>
            <w:shd w:val="pct25"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序号</w:t>
            </w:r>
          </w:p>
        </w:tc>
        <w:tc>
          <w:tcPr>
            <w:tcW w:w="3931" w:type="dxa"/>
            <w:tcBorders>
              <w:top w:val="double" w:color="auto" w:sz="4" w:space="0"/>
              <w:bottom w:val="single" w:color="auto" w:sz="4" w:space="0"/>
            </w:tcBorders>
            <w:shd w:val="pct25"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项目</w:t>
            </w:r>
          </w:p>
        </w:tc>
        <w:tc>
          <w:tcPr>
            <w:tcW w:w="1135" w:type="dxa"/>
            <w:tcBorders>
              <w:top w:val="double" w:color="auto" w:sz="4" w:space="0"/>
              <w:bottom w:val="single" w:color="auto" w:sz="4" w:space="0"/>
            </w:tcBorders>
            <w:shd w:val="pct25"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单位</w:t>
            </w:r>
          </w:p>
        </w:tc>
        <w:tc>
          <w:tcPr>
            <w:tcW w:w="2216" w:type="dxa"/>
            <w:tcBorders>
              <w:top w:val="double" w:color="auto" w:sz="4" w:space="0"/>
              <w:bottom w:val="single" w:color="auto" w:sz="4" w:space="0"/>
            </w:tcBorders>
            <w:shd w:val="pct25"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数量</w:t>
            </w:r>
          </w:p>
        </w:tc>
        <w:tc>
          <w:tcPr>
            <w:tcW w:w="856" w:type="dxa"/>
            <w:tcBorders>
              <w:top w:val="double" w:color="auto" w:sz="4" w:space="0"/>
              <w:bottom w:val="single" w:color="auto" w:sz="4" w:space="0"/>
            </w:tcBorders>
            <w:shd w:val="pct25"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tcBorders>
              <w:top w:val="single" w:color="auto" w:sz="4" w:space="0"/>
            </w:tcBorders>
            <w:shd w:val="clear" w:color="auto" w:fill="auto"/>
            <w:vAlign w:val="center"/>
          </w:tcPr>
          <w:p>
            <w:pPr>
              <w:jc w:val="center"/>
              <w:rPr>
                <w:rFonts w:ascii="仿宋_GB2312" w:hAnsi="宋体" w:eastAsia="仿宋_GB2312" w:cs="宋体"/>
                <w:color w:val="000000"/>
                <w:szCs w:val="21"/>
              </w:rPr>
            </w:pPr>
            <w:r>
              <w:rPr>
                <w:rFonts w:hint="eastAsia" w:ascii="仿宋_GB2312" w:eastAsia="仿宋_GB2312"/>
                <w:b/>
                <w:bCs/>
                <w:color w:val="000000"/>
                <w:szCs w:val="21"/>
              </w:rPr>
              <w:t xml:space="preserve">1 </w:t>
            </w:r>
          </w:p>
        </w:tc>
        <w:tc>
          <w:tcPr>
            <w:tcW w:w="3931" w:type="dxa"/>
            <w:tcBorders>
              <w:top w:val="single" w:color="auto" w:sz="4" w:space="0"/>
            </w:tcBorders>
            <w:shd w:val="clear" w:color="auto" w:fill="auto"/>
            <w:vAlign w:val="center"/>
          </w:tcPr>
          <w:p>
            <w:pPr>
              <w:rPr>
                <w:rFonts w:ascii="仿宋_GB2312" w:hAnsi="宋体" w:eastAsia="仿宋_GB2312" w:cs="宋体"/>
                <w:color w:val="000000"/>
                <w:szCs w:val="21"/>
              </w:rPr>
            </w:pPr>
            <w:r>
              <w:rPr>
                <w:rFonts w:hint="eastAsia" w:ascii="仿宋_GB2312" w:eastAsia="仿宋_GB2312"/>
                <w:b/>
                <w:bCs/>
                <w:color w:val="000000"/>
                <w:szCs w:val="21"/>
              </w:rPr>
              <w:t>道路工程</w:t>
            </w:r>
          </w:p>
        </w:tc>
        <w:tc>
          <w:tcPr>
            <w:tcW w:w="1135" w:type="dxa"/>
            <w:tcBorders>
              <w:top w:val="single" w:color="auto" w:sz="4" w:space="0"/>
            </w:tcBorders>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　</w:t>
            </w:r>
          </w:p>
        </w:tc>
        <w:tc>
          <w:tcPr>
            <w:tcW w:w="2216" w:type="dxa"/>
            <w:tcBorders>
              <w:top w:val="single" w:color="auto" w:sz="4" w:space="0"/>
            </w:tcBorders>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w:t>
            </w:r>
          </w:p>
        </w:tc>
        <w:tc>
          <w:tcPr>
            <w:tcW w:w="856" w:type="dxa"/>
            <w:tcBorders>
              <w:top w:val="single" w:color="auto" w:sz="4" w:space="0"/>
            </w:tcBorders>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1.1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道路挖土方（含外运）</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m</w:t>
            </w:r>
            <w:r>
              <w:rPr>
                <w:rFonts w:hint="eastAsia" w:ascii="宋体" w:hAnsi="宋体" w:cs="宋体"/>
                <w:color w:val="000000"/>
                <w:szCs w:val="21"/>
              </w:rPr>
              <w:t>³</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6082.00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1.2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新建车行道</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　</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1.2.1</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基层（20cm6%水泥级配碎石+20cm4%水泥级配碎石）</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宋体" w:hAnsi="宋体" w:cs="宋体"/>
                <w:color w:val="000000"/>
                <w:szCs w:val="21"/>
              </w:rPr>
              <w:t>㎡</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13306.00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1.2.2</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面层（22cmC45水泥混凝土）</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宋体" w:hAnsi="宋体" w:cs="宋体"/>
                <w:color w:val="000000"/>
                <w:szCs w:val="21"/>
              </w:rPr>
              <w:t>㎡</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11781.00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1.3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新建人行道</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　</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1.3.1</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基层（15cmC20水泥混凝土）</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宋体" w:hAnsi="宋体" w:cs="宋体"/>
                <w:color w:val="000000"/>
                <w:szCs w:val="21"/>
              </w:rPr>
              <w:t>㎡</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8435.00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1.3.2</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面层（Cc40人行道矩形步道砖）</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宋体" w:hAnsi="宋体" w:cs="宋体"/>
                <w:color w:val="000000"/>
                <w:szCs w:val="21"/>
              </w:rPr>
              <w:t>㎡</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8435.00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1.4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路缘石（花岗岩石150*350*1000）</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m</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2484.00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1.5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行道树（香樟/花岗岩树穴）</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棵</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472.00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1.6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交通标线工程（标线、箭头）</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项</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1.7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拆除原路面（混凝土22cm）</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宋体" w:hAnsi="宋体" w:cs="宋体"/>
                <w:color w:val="000000"/>
                <w:szCs w:val="21"/>
              </w:rPr>
              <w:t>㎡</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11781.00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1.8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零星项目</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项</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b/>
                <w:bCs/>
                <w:color w:val="000000"/>
                <w:szCs w:val="21"/>
              </w:rPr>
              <w:t xml:space="preserve">2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b/>
                <w:bCs/>
                <w:color w:val="000000"/>
                <w:szCs w:val="21"/>
              </w:rPr>
              <w:t>排水管道工程</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　</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widowControl/>
              <w:spacing w:line="360" w:lineRule="auto"/>
              <w:jc w:val="center"/>
              <w:rPr>
                <w:rFonts w:ascii="仿宋_GB2312" w:eastAsia="仿宋_GB2312"/>
                <w:color w:val="000000"/>
                <w:szCs w:val="21"/>
              </w:rPr>
            </w:pPr>
            <w:r>
              <w:rPr>
                <w:rFonts w:hint="eastAsia" w:ascii="仿宋_GB2312" w:eastAsia="仿宋_GB2312"/>
                <w:color w:val="000000"/>
                <w:szCs w:val="21"/>
              </w:rPr>
              <w:t xml:space="preserve">2.1 </w:t>
            </w:r>
          </w:p>
        </w:tc>
        <w:tc>
          <w:tcPr>
            <w:tcW w:w="3931" w:type="dxa"/>
            <w:shd w:val="clear" w:color="auto" w:fill="auto"/>
            <w:vAlign w:val="center"/>
          </w:tcPr>
          <w:p>
            <w:pPr>
              <w:widowControl/>
              <w:spacing w:line="360" w:lineRule="auto"/>
              <w:rPr>
                <w:rFonts w:ascii="仿宋_GB2312" w:eastAsia="仿宋_GB2312"/>
                <w:color w:val="000000"/>
                <w:szCs w:val="21"/>
              </w:rPr>
            </w:pPr>
            <w:r>
              <w:rPr>
                <w:rFonts w:hint="eastAsia" w:ascii="仿宋_GB2312" w:eastAsia="仿宋_GB2312"/>
                <w:color w:val="000000"/>
                <w:szCs w:val="21"/>
              </w:rPr>
              <w:t>新建管道</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　</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widowControl/>
              <w:spacing w:line="360" w:lineRule="auto"/>
              <w:jc w:val="center"/>
              <w:rPr>
                <w:rFonts w:ascii="仿宋_GB2312" w:eastAsia="仿宋_GB2312"/>
                <w:color w:val="000000"/>
                <w:szCs w:val="21"/>
              </w:rPr>
            </w:pPr>
            <w:r>
              <w:rPr>
                <w:rFonts w:hint="eastAsia" w:ascii="仿宋_GB2312" w:eastAsia="仿宋_GB2312"/>
                <w:color w:val="000000"/>
                <w:szCs w:val="21"/>
              </w:rPr>
              <w:t>2.1.1</w:t>
            </w:r>
          </w:p>
        </w:tc>
        <w:tc>
          <w:tcPr>
            <w:tcW w:w="3931" w:type="dxa"/>
            <w:shd w:val="clear" w:color="auto" w:fill="auto"/>
            <w:vAlign w:val="center"/>
          </w:tcPr>
          <w:p>
            <w:pPr>
              <w:widowControl/>
              <w:spacing w:line="360" w:lineRule="auto"/>
              <w:rPr>
                <w:rFonts w:ascii="仿宋_GB2312" w:eastAsia="仿宋_GB2312"/>
                <w:color w:val="000000"/>
                <w:szCs w:val="21"/>
              </w:rPr>
            </w:pPr>
            <w:r>
              <w:rPr>
                <w:rFonts w:hint="eastAsia" w:ascii="仿宋_GB2312" w:eastAsia="仿宋_GB2312"/>
                <w:color w:val="000000"/>
                <w:szCs w:val="21"/>
              </w:rPr>
              <w:t>DN300HDPE高密度聚乙烯缠绕增强B型管，沟槽回填石屑</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m</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1300.00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285" w:hRule="atLeast"/>
        </w:trPr>
        <w:tc>
          <w:tcPr>
            <w:tcW w:w="854" w:type="dxa"/>
            <w:shd w:val="clear" w:color="auto" w:fill="auto"/>
            <w:vAlign w:val="center"/>
          </w:tcPr>
          <w:p>
            <w:pPr>
              <w:widowControl/>
              <w:spacing w:line="360" w:lineRule="auto"/>
              <w:jc w:val="center"/>
              <w:rPr>
                <w:rFonts w:ascii="仿宋_GB2312" w:eastAsia="仿宋_GB2312"/>
                <w:color w:val="000000"/>
                <w:szCs w:val="21"/>
              </w:rPr>
            </w:pPr>
            <w:r>
              <w:rPr>
                <w:rFonts w:hint="eastAsia" w:ascii="仿宋_GB2312" w:eastAsia="仿宋_GB2312"/>
                <w:color w:val="000000"/>
                <w:szCs w:val="21"/>
              </w:rPr>
              <w:t>2.1.2</w:t>
            </w:r>
          </w:p>
        </w:tc>
        <w:tc>
          <w:tcPr>
            <w:tcW w:w="3931" w:type="dxa"/>
            <w:shd w:val="clear" w:color="auto" w:fill="auto"/>
            <w:vAlign w:val="center"/>
          </w:tcPr>
          <w:p>
            <w:pPr>
              <w:widowControl/>
              <w:spacing w:line="360" w:lineRule="auto"/>
              <w:rPr>
                <w:rFonts w:ascii="仿宋_GB2312" w:eastAsia="仿宋_GB2312"/>
                <w:color w:val="000000"/>
                <w:szCs w:val="21"/>
              </w:rPr>
            </w:pPr>
            <w:r>
              <w:rPr>
                <w:rFonts w:hint="eastAsia" w:ascii="仿宋_GB2312" w:eastAsia="仿宋_GB2312"/>
                <w:color w:val="000000"/>
                <w:szCs w:val="21"/>
              </w:rPr>
              <w:t>DN500</w:t>
            </w:r>
            <w:r>
              <w:rPr>
                <w:rFonts w:hint="eastAsia" w:ascii="仿宋_GB2312" w:eastAsia="仿宋_GB2312"/>
                <w:color w:val="000000"/>
              </w:rPr>
              <w:t>HDPE</w:t>
            </w:r>
            <w:r>
              <w:rPr>
                <w:rFonts w:hint="eastAsia" w:ascii="仿宋_GB2312" w:eastAsia="仿宋_GB2312"/>
                <w:color w:val="000000"/>
                <w:sz w:val="20"/>
                <w:szCs w:val="20"/>
              </w:rPr>
              <w:t>高密度聚乙烯缠绕增强B型管，沟槽回填石屑</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m</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1180.00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2.1.3</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DN800</w:t>
            </w:r>
            <w:r>
              <w:rPr>
                <w:rFonts w:hint="eastAsia" w:ascii="仿宋_GB2312" w:eastAsia="仿宋_GB2312"/>
                <w:color w:val="000000"/>
              </w:rPr>
              <w:t>HDPE高密度聚乙烯缠绕增强B型管，沟槽回填石屑</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m</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1180.00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2.2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雨水口（砖砌筑联合式单蓖雨水口）</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个</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68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2.3 </w:t>
            </w:r>
          </w:p>
        </w:tc>
        <w:tc>
          <w:tcPr>
            <w:tcW w:w="3931" w:type="dxa"/>
            <w:shd w:val="clear" w:color="auto" w:fill="auto"/>
            <w:vAlign w:val="center"/>
          </w:tcPr>
          <w:p>
            <w:pPr>
              <w:rPr>
                <w:rFonts w:ascii="仿宋_GB2312" w:eastAsia="仿宋_GB2312"/>
                <w:color w:val="000000"/>
                <w:szCs w:val="21"/>
              </w:rPr>
            </w:pPr>
            <w:r>
              <w:rPr>
                <w:rFonts w:hint="eastAsia" w:ascii="仿宋_GB2312" w:eastAsia="仿宋_GB2312"/>
                <w:color w:val="000000"/>
                <w:szCs w:val="21"/>
              </w:rPr>
              <w:t>检查井（砖砌筑，井径1000）</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个</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88.00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2.4 </w:t>
            </w:r>
          </w:p>
        </w:tc>
        <w:tc>
          <w:tcPr>
            <w:tcW w:w="3931" w:type="dxa"/>
            <w:shd w:val="clear" w:color="auto" w:fill="auto"/>
            <w:vAlign w:val="center"/>
          </w:tcPr>
          <w:p>
            <w:pPr>
              <w:rPr>
                <w:rFonts w:ascii="仿宋_GB2312" w:eastAsia="仿宋_GB2312"/>
                <w:color w:val="000000"/>
                <w:szCs w:val="21"/>
              </w:rPr>
            </w:pPr>
            <w:r>
              <w:rPr>
                <w:rFonts w:hint="eastAsia" w:ascii="仿宋_GB2312" w:eastAsia="仿宋_GB2312"/>
                <w:color w:val="000000"/>
                <w:szCs w:val="21"/>
              </w:rPr>
              <w:t>检查井（砖砌筑，井径1500）</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个</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59.00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2.5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沟槽支护（拉森钢板桩6m）</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m</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4720.00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2.6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零星项目</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项</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1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b/>
                <w:bCs/>
                <w:color w:val="000000"/>
                <w:szCs w:val="21"/>
              </w:rPr>
              <w:t xml:space="preserve">3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b/>
                <w:bCs/>
                <w:color w:val="000000"/>
                <w:szCs w:val="21"/>
              </w:rPr>
              <w:t>道路照明工程</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　</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3.1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单臂路灯(高10米  LED光源100W)</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盏</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47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3.2 </w:t>
            </w:r>
          </w:p>
        </w:tc>
        <w:tc>
          <w:tcPr>
            <w:tcW w:w="3931" w:type="dxa"/>
            <w:shd w:val="clear" w:color="auto" w:fill="auto"/>
            <w:vAlign w:val="center"/>
          </w:tcPr>
          <w:p>
            <w:pPr>
              <w:rPr>
                <w:rFonts w:ascii="仿宋_GB2312" w:eastAsia="仿宋_GB2312"/>
                <w:color w:val="000000"/>
                <w:szCs w:val="21"/>
              </w:rPr>
            </w:pPr>
            <w:r>
              <w:rPr>
                <w:rFonts w:hint="eastAsia" w:ascii="仿宋_GB2312" w:eastAsia="仿宋_GB2312"/>
                <w:color w:val="000000"/>
                <w:szCs w:val="21"/>
              </w:rPr>
              <w:t>电缆（VV22-4*6）</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m</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2832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3.3 </w:t>
            </w:r>
          </w:p>
        </w:tc>
        <w:tc>
          <w:tcPr>
            <w:tcW w:w="3931" w:type="dxa"/>
            <w:shd w:val="clear" w:color="auto" w:fill="auto"/>
            <w:vAlign w:val="center"/>
          </w:tcPr>
          <w:p>
            <w:pPr>
              <w:rPr>
                <w:rFonts w:ascii="仿宋_GB2312" w:eastAsia="仿宋_GB2312"/>
                <w:color w:val="000000"/>
                <w:szCs w:val="21"/>
              </w:rPr>
            </w:pPr>
            <w:r>
              <w:rPr>
                <w:rFonts w:hint="eastAsia" w:ascii="仿宋_GB2312" w:eastAsia="仿宋_GB2312"/>
                <w:color w:val="000000"/>
                <w:szCs w:val="21"/>
              </w:rPr>
              <w:t>电缆套管（PVC-C DN50(Ф63*3)）</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m</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2360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3.4 </w:t>
            </w:r>
          </w:p>
        </w:tc>
        <w:tc>
          <w:tcPr>
            <w:tcW w:w="3931" w:type="dxa"/>
            <w:shd w:val="clear" w:color="auto" w:fill="auto"/>
            <w:vAlign w:val="center"/>
          </w:tcPr>
          <w:p>
            <w:pPr>
              <w:rPr>
                <w:rFonts w:ascii="仿宋_GB2312" w:eastAsia="仿宋_GB2312"/>
                <w:szCs w:val="21"/>
              </w:rPr>
            </w:pPr>
            <w:r>
              <w:rPr>
                <w:rFonts w:hint="eastAsia" w:ascii="仿宋_GB2312" w:eastAsia="仿宋_GB2312"/>
                <w:color w:val="000000"/>
                <w:szCs w:val="21"/>
              </w:rPr>
              <w:t>接地母线敷设（D12镀锌圆钢）</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m</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2832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285" w:hRule="atLeast"/>
        </w:trPr>
        <w:tc>
          <w:tcPr>
            <w:tcW w:w="854"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3.5 </w:t>
            </w:r>
          </w:p>
        </w:tc>
        <w:tc>
          <w:tcPr>
            <w:tcW w:w="3931" w:type="dxa"/>
            <w:shd w:val="clear" w:color="auto" w:fill="auto"/>
            <w:vAlign w:val="center"/>
          </w:tcPr>
          <w:p>
            <w:pPr>
              <w:rPr>
                <w:rFonts w:ascii="仿宋_GB2312" w:hAnsi="宋体" w:eastAsia="仿宋_GB2312" w:cs="宋体"/>
                <w:color w:val="000000"/>
                <w:szCs w:val="21"/>
              </w:rPr>
            </w:pPr>
            <w:r>
              <w:rPr>
                <w:rFonts w:hint="eastAsia" w:ascii="仿宋_GB2312" w:eastAsia="仿宋_GB2312"/>
                <w:color w:val="000000"/>
                <w:szCs w:val="21"/>
              </w:rPr>
              <w:t>镀锌钢管（RC50）</w:t>
            </w:r>
          </w:p>
        </w:tc>
        <w:tc>
          <w:tcPr>
            <w:tcW w:w="1135" w:type="dxa"/>
            <w:shd w:val="clear" w:color="auto" w:fill="auto"/>
            <w:vAlign w:val="center"/>
          </w:tcPr>
          <w:p>
            <w:pPr>
              <w:widowControl/>
              <w:spacing w:line="360" w:lineRule="auto"/>
              <w:jc w:val="center"/>
              <w:rPr>
                <w:rFonts w:ascii="仿宋_GB2312" w:hAnsi="宋体" w:eastAsia="仿宋_GB2312" w:cs="宋体"/>
                <w:color w:val="000000"/>
                <w:kern w:val="0"/>
                <w:sz w:val="24"/>
              </w:rPr>
            </w:pPr>
            <w:r>
              <w:rPr>
                <w:rFonts w:hint="eastAsia" w:ascii="仿宋_GB2312" w:eastAsia="仿宋_GB2312"/>
                <w:color w:val="000000"/>
                <w:szCs w:val="21"/>
              </w:rPr>
              <w:t>m</w:t>
            </w:r>
          </w:p>
        </w:tc>
        <w:tc>
          <w:tcPr>
            <w:tcW w:w="2216" w:type="dxa"/>
            <w:shd w:val="clear" w:color="auto" w:fill="auto"/>
            <w:vAlign w:val="center"/>
          </w:tcPr>
          <w:p>
            <w:pPr>
              <w:jc w:val="center"/>
              <w:rPr>
                <w:rFonts w:ascii="仿宋_GB2312" w:hAnsi="宋体" w:eastAsia="仿宋_GB2312" w:cs="宋体"/>
                <w:color w:val="000000"/>
                <w:szCs w:val="21"/>
              </w:rPr>
            </w:pPr>
            <w:r>
              <w:rPr>
                <w:rFonts w:hint="eastAsia" w:ascii="仿宋_GB2312" w:eastAsia="仿宋_GB2312"/>
                <w:color w:val="000000"/>
                <w:szCs w:val="21"/>
              </w:rPr>
              <w:t xml:space="preserve">80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3.6 </w:t>
            </w:r>
          </w:p>
        </w:tc>
        <w:tc>
          <w:tcPr>
            <w:tcW w:w="3931" w:type="dxa"/>
            <w:shd w:val="clear" w:color="auto" w:fill="auto"/>
            <w:vAlign w:val="center"/>
          </w:tcPr>
          <w:p>
            <w:pPr>
              <w:rPr>
                <w:rFonts w:ascii="仿宋_GB2312" w:eastAsia="仿宋_GB2312"/>
                <w:color w:val="000000"/>
                <w:szCs w:val="21"/>
              </w:rPr>
            </w:pPr>
            <w:r>
              <w:rPr>
                <w:rFonts w:hint="eastAsia" w:ascii="仿宋_GB2312" w:eastAsia="仿宋_GB2312"/>
                <w:color w:val="000000"/>
                <w:szCs w:val="21"/>
              </w:rPr>
              <w:t>过道井（砖砌筑700*700*900mm）</w:t>
            </w:r>
          </w:p>
        </w:tc>
        <w:tc>
          <w:tcPr>
            <w:tcW w:w="1135" w:type="dxa"/>
            <w:shd w:val="clear" w:color="auto" w:fill="auto"/>
            <w:vAlign w:val="center"/>
          </w:tcPr>
          <w:p>
            <w:pPr>
              <w:widowControl/>
              <w:spacing w:line="360" w:lineRule="auto"/>
              <w:jc w:val="center"/>
              <w:rPr>
                <w:rFonts w:ascii="仿宋_GB2312" w:eastAsia="仿宋_GB2312"/>
                <w:color w:val="000000"/>
                <w:szCs w:val="21"/>
              </w:rPr>
            </w:pPr>
            <w:r>
              <w:rPr>
                <w:rFonts w:hint="eastAsia" w:ascii="仿宋_GB2312" w:eastAsia="仿宋_GB2312"/>
                <w:color w:val="000000"/>
                <w:szCs w:val="21"/>
              </w:rPr>
              <w:t>座</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59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3.7 </w:t>
            </w:r>
          </w:p>
        </w:tc>
        <w:tc>
          <w:tcPr>
            <w:tcW w:w="3931" w:type="dxa"/>
            <w:shd w:val="clear" w:color="auto" w:fill="auto"/>
            <w:vAlign w:val="center"/>
          </w:tcPr>
          <w:p>
            <w:pPr>
              <w:rPr>
                <w:rFonts w:ascii="仿宋_GB2312" w:eastAsia="仿宋_GB2312"/>
                <w:color w:val="000000"/>
                <w:szCs w:val="21"/>
              </w:rPr>
            </w:pPr>
            <w:r>
              <w:rPr>
                <w:rFonts w:hint="eastAsia" w:ascii="仿宋_GB2312" w:eastAsia="仿宋_GB2312"/>
                <w:color w:val="000000"/>
                <w:szCs w:val="21"/>
              </w:rPr>
              <w:t>混凝土包封（C20砼，210*210mm）</w:t>
            </w:r>
          </w:p>
        </w:tc>
        <w:tc>
          <w:tcPr>
            <w:tcW w:w="1135" w:type="dxa"/>
            <w:shd w:val="clear" w:color="auto" w:fill="auto"/>
            <w:vAlign w:val="center"/>
          </w:tcPr>
          <w:p>
            <w:pPr>
              <w:widowControl/>
              <w:spacing w:line="360" w:lineRule="auto"/>
              <w:jc w:val="center"/>
              <w:rPr>
                <w:rFonts w:ascii="仿宋_GB2312" w:eastAsia="仿宋_GB2312"/>
                <w:color w:val="000000"/>
                <w:szCs w:val="21"/>
              </w:rPr>
            </w:pPr>
            <w:r>
              <w:rPr>
                <w:rFonts w:hint="eastAsia" w:ascii="仿宋_GB2312" w:eastAsia="仿宋_GB2312"/>
                <w:color w:val="000000"/>
                <w:szCs w:val="21"/>
              </w:rPr>
              <w:t>m</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141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3.8 </w:t>
            </w:r>
          </w:p>
        </w:tc>
        <w:tc>
          <w:tcPr>
            <w:tcW w:w="3931" w:type="dxa"/>
            <w:shd w:val="clear" w:color="auto" w:fill="auto"/>
            <w:vAlign w:val="center"/>
          </w:tcPr>
          <w:p>
            <w:pPr>
              <w:rPr>
                <w:rFonts w:ascii="仿宋_GB2312" w:eastAsia="仿宋_GB2312"/>
                <w:color w:val="000000"/>
                <w:szCs w:val="21"/>
              </w:rPr>
            </w:pPr>
            <w:r>
              <w:rPr>
                <w:rFonts w:hint="eastAsia" w:ascii="仿宋_GB2312" w:eastAsia="仿宋_GB2312"/>
                <w:color w:val="000000"/>
                <w:szCs w:val="21"/>
              </w:rPr>
              <w:t>路灯专用控制箱</w:t>
            </w:r>
          </w:p>
        </w:tc>
        <w:tc>
          <w:tcPr>
            <w:tcW w:w="1135" w:type="dxa"/>
            <w:shd w:val="clear" w:color="auto" w:fill="auto"/>
            <w:vAlign w:val="center"/>
          </w:tcPr>
          <w:p>
            <w:pPr>
              <w:widowControl/>
              <w:spacing w:line="360" w:lineRule="auto"/>
              <w:jc w:val="center"/>
              <w:rPr>
                <w:rFonts w:ascii="仿宋_GB2312" w:eastAsia="仿宋_GB2312"/>
                <w:color w:val="000000"/>
                <w:szCs w:val="21"/>
              </w:rPr>
            </w:pPr>
            <w:r>
              <w:rPr>
                <w:rFonts w:hint="eastAsia" w:ascii="仿宋_GB2312" w:eastAsia="仿宋_GB2312"/>
                <w:color w:val="000000"/>
                <w:szCs w:val="21"/>
              </w:rPr>
              <w:t>套</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1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4"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3.9 </w:t>
            </w:r>
          </w:p>
        </w:tc>
        <w:tc>
          <w:tcPr>
            <w:tcW w:w="3931" w:type="dxa"/>
            <w:shd w:val="clear" w:color="auto" w:fill="auto"/>
            <w:vAlign w:val="center"/>
          </w:tcPr>
          <w:p>
            <w:pPr>
              <w:rPr>
                <w:rFonts w:ascii="仿宋_GB2312" w:eastAsia="仿宋_GB2312"/>
                <w:color w:val="000000"/>
                <w:szCs w:val="21"/>
              </w:rPr>
            </w:pPr>
            <w:r>
              <w:rPr>
                <w:rFonts w:hint="eastAsia" w:ascii="仿宋_GB2312" w:eastAsia="仿宋_GB2312"/>
                <w:color w:val="000000"/>
                <w:szCs w:val="21"/>
              </w:rPr>
              <w:t>变压器</w:t>
            </w:r>
          </w:p>
        </w:tc>
        <w:tc>
          <w:tcPr>
            <w:tcW w:w="1135" w:type="dxa"/>
            <w:shd w:val="clear" w:color="auto" w:fill="auto"/>
            <w:vAlign w:val="center"/>
          </w:tcPr>
          <w:p>
            <w:pPr>
              <w:widowControl/>
              <w:spacing w:line="360" w:lineRule="auto"/>
              <w:jc w:val="center"/>
              <w:rPr>
                <w:rFonts w:ascii="仿宋_GB2312" w:eastAsia="仿宋_GB2312"/>
                <w:color w:val="000000"/>
                <w:szCs w:val="21"/>
              </w:rPr>
            </w:pPr>
            <w:r>
              <w:rPr>
                <w:rFonts w:hint="eastAsia" w:ascii="仿宋_GB2312" w:eastAsia="仿宋_GB2312"/>
                <w:color w:val="000000"/>
                <w:szCs w:val="21"/>
              </w:rPr>
              <w:t>套</w:t>
            </w:r>
          </w:p>
        </w:tc>
        <w:tc>
          <w:tcPr>
            <w:tcW w:w="2216" w:type="dxa"/>
            <w:shd w:val="clear" w:color="auto" w:fill="auto"/>
            <w:vAlign w:val="center"/>
          </w:tcPr>
          <w:p>
            <w:pPr>
              <w:jc w:val="center"/>
              <w:rPr>
                <w:rFonts w:ascii="仿宋_GB2312" w:eastAsia="仿宋_GB2312"/>
                <w:color w:val="000000"/>
                <w:szCs w:val="21"/>
              </w:rPr>
            </w:pPr>
            <w:r>
              <w:rPr>
                <w:rFonts w:hint="eastAsia" w:ascii="仿宋_GB2312" w:eastAsia="仿宋_GB2312"/>
                <w:color w:val="000000"/>
                <w:szCs w:val="21"/>
              </w:rPr>
              <w:t xml:space="preserve">1 </w:t>
            </w:r>
          </w:p>
        </w:tc>
        <w:tc>
          <w:tcPr>
            <w:tcW w:w="856" w:type="dxa"/>
            <w:shd w:val="clear" w:color="auto" w:fill="auto"/>
            <w:vAlign w:val="bottom"/>
          </w:tcPr>
          <w:p>
            <w:pPr>
              <w:widowControl/>
              <w:spacing w:line="360" w:lineRule="auto"/>
              <w:jc w:val="center"/>
              <w:rPr>
                <w:rFonts w:ascii="仿宋_GB2312" w:hAnsi="宋体" w:eastAsia="仿宋_GB2312" w:cs="宋体"/>
                <w:color w:val="000000"/>
                <w:kern w:val="0"/>
                <w:sz w:val="24"/>
              </w:rPr>
            </w:pPr>
          </w:p>
        </w:tc>
      </w:tr>
    </w:tbl>
    <w:p>
      <w:pPr>
        <w:spacing w:beforeLines="50" w:afterLines="50" w:line="540" w:lineRule="exact"/>
        <w:ind w:firstLine="560" w:firstLineChars="200"/>
        <w:rPr>
          <w:rFonts w:ascii="仿宋_GB2312" w:eastAsia="仿宋_GB2312"/>
          <w:color w:val="FF0000"/>
          <w:sz w:val="28"/>
          <w:szCs w:val="28"/>
        </w:rPr>
      </w:pPr>
    </w:p>
    <w:p>
      <w:pPr>
        <w:pStyle w:val="2"/>
        <w:jc w:val="center"/>
        <w:rPr>
          <w:rFonts w:ascii="仿宋_GB2312" w:eastAsia="仿宋_GB2312"/>
          <w:color w:val="000000"/>
          <w:sz w:val="32"/>
          <w:szCs w:val="32"/>
        </w:rPr>
      </w:pPr>
      <w:r>
        <w:rPr>
          <w:rFonts w:hint="eastAsia" w:ascii="仿宋_GB2312" w:eastAsia="仿宋_GB2312"/>
          <w:color w:val="FF0000"/>
          <w:sz w:val="28"/>
          <w:szCs w:val="28"/>
        </w:rPr>
        <w:br w:type="page"/>
      </w:r>
      <w:bookmarkStart w:id="32" w:name="_Toc464510814"/>
      <w:r>
        <w:rPr>
          <w:rFonts w:hint="eastAsia" w:ascii="仿宋_GB2312" w:eastAsia="仿宋_GB2312"/>
          <w:color w:val="000000"/>
          <w:sz w:val="32"/>
          <w:szCs w:val="32"/>
        </w:rPr>
        <w:t>第五章  环境评价</w:t>
      </w:r>
      <w:bookmarkEnd w:id="32"/>
    </w:p>
    <w:p>
      <w:pPr>
        <w:pStyle w:val="3"/>
        <w:spacing w:line="520" w:lineRule="exact"/>
        <w:rPr>
          <w:rFonts w:ascii="仿宋_GB2312" w:eastAsia="仿宋_GB2312" w:cs="Arial"/>
          <w:color w:val="000000"/>
          <w:sz w:val="28"/>
          <w:szCs w:val="28"/>
        </w:rPr>
      </w:pPr>
      <w:bookmarkStart w:id="33" w:name="_Toc89584635"/>
      <w:bookmarkStart w:id="34" w:name="_Toc93398843"/>
      <w:bookmarkStart w:id="35" w:name="_Toc94062656"/>
      <w:bookmarkStart w:id="36" w:name="_Toc135629532"/>
      <w:bookmarkStart w:id="37" w:name="_Toc464510815"/>
      <w:r>
        <w:rPr>
          <w:rFonts w:hint="eastAsia" w:ascii="仿宋_GB2312" w:eastAsia="仿宋_GB2312" w:cs="Arial"/>
          <w:color w:val="000000"/>
          <w:sz w:val="28"/>
          <w:szCs w:val="28"/>
        </w:rPr>
        <w:t>5.1 建设项目环境现状</w:t>
      </w:r>
      <w:bookmarkEnd w:id="33"/>
      <w:bookmarkEnd w:id="34"/>
      <w:bookmarkEnd w:id="35"/>
      <w:bookmarkEnd w:id="36"/>
      <w:bookmarkEnd w:id="37"/>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eastAsia="仿宋_GB2312"/>
          <w:color w:val="000000"/>
          <w:sz w:val="28"/>
          <w:szCs w:val="28"/>
        </w:rPr>
        <w:t>本项目位于汕头市。该地区年平均气温21.3°C，日照时间2000—3000小时，降雨量1672.25mm，湿度82%</w:t>
      </w:r>
      <w:r>
        <w:rPr>
          <w:rFonts w:hint="eastAsia" w:ascii="仿宋_GB2312" w:hAnsi="宋体" w:eastAsia="仿宋_GB2312"/>
          <w:color w:val="000000"/>
          <w:sz w:val="28"/>
          <w:szCs w:val="28"/>
        </w:rPr>
        <w:t>。</w:t>
      </w:r>
    </w:p>
    <w:p>
      <w:pPr>
        <w:ind w:firstLine="560" w:firstLineChars="200"/>
        <w:rPr>
          <w:rFonts w:ascii="仿宋_GB2312" w:eastAsia="仿宋_GB2312"/>
          <w:color w:val="000000"/>
        </w:rPr>
      </w:pPr>
      <w:r>
        <w:rPr>
          <w:rFonts w:hint="eastAsia" w:ascii="仿宋_GB2312" w:hAnsi="Arial" w:eastAsia="仿宋_GB2312"/>
          <w:color w:val="000000"/>
          <w:sz w:val="28"/>
          <w:szCs w:val="28"/>
        </w:rPr>
        <w:t>项目周边环境状况良好。附近区域城市道路设施较好，对环境的影响较小，项目建成后将形成完善的市政配套设施，能够很好的解决交通环保问题。</w:t>
      </w:r>
    </w:p>
    <w:p>
      <w:pPr>
        <w:pStyle w:val="3"/>
        <w:spacing w:line="520" w:lineRule="exact"/>
        <w:rPr>
          <w:rFonts w:ascii="仿宋_GB2312" w:eastAsia="仿宋_GB2312" w:cs="Arial"/>
          <w:color w:val="000000"/>
          <w:sz w:val="28"/>
          <w:szCs w:val="28"/>
        </w:rPr>
      </w:pPr>
      <w:bookmarkStart w:id="38" w:name="_Toc93398844"/>
      <w:bookmarkStart w:id="39" w:name="_Toc94062657"/>
      <w:bookmarkStart w:id="40" w:name="_Toc135629533"/>
      <w:bookmarkStart w:id="41" w:name="_Toc464510816"/>
      <w:r>
        <w:rPr>
          <w:rFonts w:hint="eastAsia" w:ascii="仿宋_GB2312" w:eastAsia="仿宋_GB2312" w:cs="Arial"/>
          <w:color w:val="000000"/>
          <w:sz w:val="28"/>
          <w:szCs w:val="28"/>
        </w:rPr>
        <w:t>5.2 项目</w:t>
      </w:r>
      <w:bookmarkEnd w:id="38"/>
      <w:bookmarkEnd w:id="39"/>
      <w:r>
        <w:rPr>
          <w:rFonts w:hint="eastAsia" w:ascii="仿宋_GB2312" w:hAnsi="黑体" w:eastAsia="仿宋_GB2312" w:cs="Arial"/>
          <w:color w:val="000000"/>
          <w:sz w:val="28"/>
          <w:szCs w:val="28"/>
        </w:rPr>
        <w:t>主要污染</w:t>
      </w:r>
      <w:r>
        <w:rPr>
          <w:rFonts w:hint="eastAsia" w:ascii="仿宋_GB2312" w:eastAsia="仿宋_GB2312" w:cs="Arial"/>
          <w:color w:val="000000"/>
          <w:sz w:val="28"/>
          <w:szCs w:val="28"/>
        </w:rPr>
        <w:t>源和污染物分析</w:t>
      </w:r>
      <w:bookmarkEnd w:id="40"/>
      <w:bookmarkEnd w:id="41"/>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项目地块内并无突出污染源。道路建成通车后将会产生汽车尾气及尘埃，所以主要的污染源应该来自汽车尾气排放和生活垃圾。</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本项目在工程建设期主要的污染物有废水、废气、噪声和固体废弃物等，在建成后使用期主要的污染物有废气和噪声和生活垃圾，这些污染物可能会对建设项目所在地的水环境质量、空气环境质量、声环境质量及生态环境质量产生影响。</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鉴于项目的自身特点，主要污染物为汽车尾气及尘埃，日常生活中产生的废水、废气和垃圾，并无重大突出的污染物。</w:t>
      </w:r>
    </w:p>
    <w:p>
      <w:pPr>
        <w:pStyle w:val="3"/>
        <w:spacing w:line="520" w:lineRule="exact"/>
        <w:rPr>
          <w:rFonts w:ascii="仿宋_GB2312" w:eastAsia="仿宋_GB2312" w:cs="Arial"/>
          <w:color w:val="000000"/>
          <w:sz w:val="28"/>
          <w:szCs w:val="28"/>
        </w:rPr>
      </w:pPr>
      <w:bookmarkStart w:id="42" w:name="_Toc464510817"/>
      <w:r>
        <w:rPr>
          <w:rFonts w:hint="eastAsia" w:ascii="仿宋_GB2312" w:eastAsia="仿宋_GB2312" w:cs="Arial"/>
          <w:color w:val="000000"/>
          <w:sz w:val="28"/>
          <w:szCs w:val="28"/>
        </w:rPr>
        <w:t>5.3 项目</w:t>
      </w:r>
      <w:r>
        <w:rPr>
          <w:rFonts w:hint="eastAsia" w:ascii="仿宋_GB2312" w:hAnsi="黑体" w:eastAsia="仿宋_GB2312" w:cs="Arial"/>
          <w:color w:val="000000"/>
          <w:sz w:val="28"/>
          <w:szCs w:val="28"/>
        </w:rPr>
        <w:t>对生态环境影响的</w:t>
      </w:r>
      <w:r>
        <w:rPr>
          <w:rFonts w:hint="eastAsia" w:ascii="仿宋_GB2312" w:eastAsia="仿宋_GB2312" w:cs="Arial"/>
          <w:color w:val="000000"/>
          <w:sz w:val="28"/>
          <w:szCs w:val="28"/>
        </w:rPr>
        <w:t>分析</w:t>
      </w:r>
      <w:bookmarkEnd w:id="42"/>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本项目中道路排水及其他管线工程在建成后使用期内几乎没有会产生污染，在建设过程中产生的污染与路网工程近似，故在以下分析中与路网工程合并进行研究。</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5.3.1 工程建设期环境影响分析</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1、废水污染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项目建设过程中，石材、水泥、石灰的水洗、水泥搅拌、混凝土浇筑、养护施工、建筑机械检修清洗、以及施工过程中的降雨和施工人员的生活等，都会产生一定量的污水。</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2、噪声污染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项目建设过程中，作业机械种类较多，这些机械运行时在距声源15米处的噪声强度较强，约达到75～105db(A)。这些突发性非稳态噪声源将会对周围环境产生影响。</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3、废气污染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项目建设过程中，建筑材料的装卸、运输、拌和等过程中，会有大量的粉尘散逸到周围大气中；物料堆放期间由于风吹等原因也会引起扬尘污染。施工中使用的各种车辆、内燃机、打桩机等产生的尾气、烟气也都会造成大气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4、固体废物污染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项目建设过程中，地基处理、管道安装、路面浇筑、机械设备安装等都会产生大量的建筑垃圾，同时建筑工人在施工期间日常生活中也会产生少量的生活垃圾，如不能予以妥善处理，将会对周围环境造成污染。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5、生态影响</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项目建设过程中，因土木工程的施工会造成地面裸露，在雨季会导致一定的水土流失。</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5.3.2 建成后使用期环境影响分析</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1、废水污染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建成后使用期的废水，主要是雨水和路面冲洗产生的污水，对周围水环境不会产生影响。</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2、噪声污染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建成后使用期产生的噪声主要是汽车行驶时产生的噪声，在进行民用建筑规划时，应控制其距道路边15m以上，则影响不大。</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3、废气污染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建成后使用期产生的废气，主要是汽车行驶时产生的废气，只要行驶的车辆符合有关汽车排放标准，在一般情况下，可以满足周围环境的排放要求。</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4、固体废物污染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建成后使用期产生的固体废物主要是从汽车上遗落或丢弃的包装垃圾，因其数量通常很少，一般情况下不会对周围环境产生影响。</w:t>
      </w:r>
    </w:p>
    <w:p>
      <w:pPr>
        <w:pStyle w:val="3"/>
        <w:spacing w:line="520" w:lineRule="exact"/>
        <w:rPr>
          <w:rFonts w:ascii="仿宋_GB2312" w:eastAsia="仿宋_GB2312" w:cs="Arial"/>
          <w:color w:val="000000"/>
          <w:sz w:val="28"/>
          <w:szCs w:val="28"/>
        </w:rPr>
      </w:pPr>
      <w:bookmarkStart w:id="43" w:name="_Toc135629535"/>
      <w:bookmarkStart w:id="44" w:name="_Toc464510818"/>
      <w:r>
        <w:rPr>
          <w:rFonts w:hint="eastAsia" w:ascii="仿宋_GB2312" w:eastAsia="仿宋_GB2312" w:cs="Arial"/>
          <w:color w:val="000000"/>
          <w:sz w:val="28"/>
          <w:szCs w:val="28"/>
        </w:rPr>
        <w:t>5.4 生态环境影响的防治措施</w:t>
      </w:r>
      <w:bookmarkEnd w:id="43"/>
      <w:bookmarkEnd w:id="44"/>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5.4.1</w:t>
      </w: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工程建设期的防治措施</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1、水污染的防治措施</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现场施工人员临时生活设施原则上集中安排，避免多处安置场地而破坏生态环境。工地食堂污水需经隔油隔渣处理后方可排放。临时生活设施内设卫生间，产生的粪便污水需经三级厌氧化粪池处理后方可排放。</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工程施工期间，生产单位应严格执行《建设工程施工场地文明施工及环境管理暂行规定》，对施工污水的排放进行组织设计，严禁乱排、乱流污染施工场。</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在施工过程中，定时清洁建筑施工机械表面不必要的润滑油及其它油污，尽量减小建筑施工机械设备与水体的直接接触，加强对施工机械设备的维修保养，避免施工机械在施工过程中燃料用油跑、冒、滴、漏现象的发生。对废弃的用油应妥善处置，不得直接向污水处理设施排放；必须尽量完全回收后送专业部门处理。生产单位要制定废油回收管理规定，配套废油收集及暂存设施。</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建设场地设车辆冲洗槽，并设置沉沙井和沉沙池，对冲洗水进行沉淀过滤后方可排放。</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2、噪声污染的防治措施</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建设期应用的各种施工机械都会产生相当强的噪声，所以必须落实好施工噪声的防治措施。</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合理安排好施工时间和施工场所，尽量避免高噪声设备在夜间（22：00～7：00）以及中午休息（12：00～14：00）的时间作业。高噪声作业区和高噪声施工机械应远离对声环境质量要求较高敏感对象，尽可能远离附近居民区和其他对声环境较为敏感的建筑物。</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尽量选用低噪声机械设备或带隔声、消声的设备。工地不设施工发电机，使用电网供电。对施工设备定期保养，严格操作规范。必要时在高噪声源周边设置临时隔声屏障，以减少噪声对四周边界处和厂内声环境的影响。并合理疏导进入施工区的车辆，减少汽车会车时的鸣笛噪声。</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3、废气污染的防治措施</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生产单位要合理确定水泥、砂子等散体物料的堆场位置，并加强对散体物料堆场的管理，在堆场四周设置挡风墙，减少可能的起尘量。</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运土卡车及建筑材料运输车应按规定配置防洒落装备，加装蓬盖，装载不宜过满，以保证运输过程中不散落。运输车辆出场前必须先进行冲洗，减少车轮、底盘等携带泥土散落路面的机会。对运输过程中散落在路面上的泥土要及时清扫，以减少车辆运行过程中的扬尘。建设场上禁止将废弃的建筑材料作为燃料燃烧。</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施工结束时，应及时对施工占用场地恢复地面道路及植被。</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4、固体废物污染的防治措施</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对建设施工过程中产生的固体废物，应加强管理，统一收集转运，严禁固体废物随意排放丢弃，或进入水体，对周围环境和水体产生污染。</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施工时产生的泥浆水及冲孔钻孔桩产生的泥浆未经处理不得随意排放，不得污染现场及周围环境。在回填土堆放场、施工泥浆产生点应设置临时沉沙池，含泥沙雨水、泥浆水经沉沙池沉淀后排放。</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车辆运输散体物料和废弃物时，必须密闭、包扎、覆盖，不得沿途漏撒；运载土方的车辆必须在规定的时间内，按指定路段行驶。</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对施工人员产生的生活垃圾应加强管理，严禁乱扔乱放，需设置生活垃圾收集点，统一收集转运。并委托当地环卫部门及时清运生活垃圾。</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5、生态影响防治措施</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建设场地应按要求硬地化，尽可能减少地面裸露的面积和时间。</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尽可能将造成地面裸露的土木工程安排在非雨季（秋冬季）进行，并尽可能地缩短工期，在这些工程完成后，迅速做好场地绿化工作。</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5.4.2 建成后使用期的防治措施</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1、加强对通过车辆的尾气排放检查，对不满足要求的车辆禁止其通行，以保证废气污染不会超标。</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2、严格执行相关交通管制措施，对鸣笛行为进行严格限制和管理，以减轻对周围声环境的污染程度。</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3、加强环卫工作，保持道路清洁。</w:t>
      </w:r>
    </w:p>
    <w:p>
      <w:pPr>
        <w:pStyle w:val="3"/>
        <w:spacing w:line="520" w:lineRule="exact"/>
        <w:rPr>
          <w:rFonts w:ascii="仿宋_GB2312" w:eastAsia="仿宋_GB2312" w:cs="Arial"/>
          <w:color w:val="000000"/>
          <w:sz w:val="28"/>
          <w:szCs w:val="28"/>
        </w:rPr>
      </w:pPr>
      <w:bookmarkStart w:id="45" w:name="_Toc464510819"/>
      <w:bookmarkStart w:id="46" w:name="_Toc135629536"/>
      <w:r>
        <w:rPr>
          <w:rFonts w:hint="eastAsia" w:ascii="仿宋_GB2312" w:eastAsia="仿宋_GB2312" w:cs="Arial"/>
          <w:color w:val="000000"/>
          <w:sz w:val="28"/>
          <w:szCs w:val="28"/>
        </w:rPr>
        <w:t>5.5 生态环境影响评价</w:t>
      </w:r>
      <w:bookmarkEnd w:id="45"/>
      <w:bookmarkEnd w:id="46"/>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5.5.1 影响结论</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通过对本项目的工程分析和环境影响识别，得出本项目主要的环境影响是：建设期内对水环境的影响，对大气环境的影响，对声环境的影响和固体垃圾对周围环境的影响等。建成后使用期对水环境的影响，对大气环境的影响，对声环境的影响和固体垃圾对周围环境的影响等。</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1、水环境影响</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由以上分析可知，建设过程中的污水是施工中产生的污水、建筑机械检修清洗的污水、以及施工过程中的降雨和施工人员的生活等产生的污水，这些污水与一般的生活污水相近，只要对本项目废水进行处理后再排放，则对周围水体环境的影响不大。</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建成后使用期内的污水主要是雨水和路面冲洗产生的污水，对周围水环境不会产生影响。</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2、大气环境影响</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由以上分析可知，本项目建设期内主要是施工中产生的粉尘和施工机械、施工车辆产生的尾气，使用期内的主要废气是汽车行驶产生的尾气。在建设期内加强对施工现场的管理，尽量减少粉尘和施工机械、施工车辆的尾气排放；在建成后使用期，加强综合治理，尤其是针对汽车尾气排放的检查治理。则本项目对周围大气环境的影响是可以接受的。</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3、声环境影响</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由以上分析可知，本项目建设期内的噪声主要来自施工机械产生的噪声，建成后使用期则主要由行驶的汽车产生噪声。建设期内的施工噪声随着工程的结束会自然消失，而在建成后使用期内，只要满足民用建筑距道路边15m以上，本项目的噪声排放是在周围环境可接受的范围内的。</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4、固体废物环境影响。</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本项目建设期内的固体废弃物主要为施工作业人员日常生活产生的生活垃圾，建成后使用期的固体废弃物主要为居民日常生活产生的生活垃圾。只要注意收集和管理，不私自外排，委托有资质的部门回收利用或进行处置，一般不会对环境产生影响。</w:t>
      </w:r>
    </w:p>
    <w:p>
      <w:pPr>
        <w:spacing w:beforeLines="50" w:afterLines="50" w:line="540" w:lineRule="exact"/>
        <w:outlineLvl w:val="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5.5.2 影响评价</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本项目在工程建设期及建成后使用期内有废水、噪声、废气和固体废物等污染物的排放，对周围环境将会造成一定的影响。根据《中中华人民共和国环境保护法》、《建设项目环境保护管理条例》和《广东省建设项目环境保护管理条例》的规定，本项目建设、使用对生态环境影响的评价为：</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项目将会对所在区域的环境和生态以及公众社区的生活、工作、经济的发展产生较大的影响，这个影响是利弊共存的。</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本项目的建设，是完善汕头市市政路网的必要需求，是改善本地区社会环境的重要保证；同时项目的建设也推动了当建材市场的发展，为劳动力提供了就业机会，这是本项目对社会经济发展的有利影响。</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其次，本项目建成后，在使用过程中产生的生活污水、废气、固体废物等会对周围的水环境、大气环境、声环境等造成一定的影响，但影响较小。</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鉴于以上分析，本项目的建设对周围环境影响不大，处在周围环境可承受的范围内。因此，本项目从生态环境的角度上评价是可行的。</w:t>
      </w:r>
    </w:p>
    <w:p>
      <w:pPr>
        <w:pStyle w:val="2"/>
        <w:jc w:val="center"/>
        <w:rPr>
          <w:rFonts w:ascii="仿宋_GB2312" w:eastAsia="仿宋_GB2312"/>
          <w:color w:val="000000"/>
          <w:sz w:val="32"/>
          <w:szCs w:val="32"/>
        </w:rPr>
      </w:pPr>
      <w:r>
        <w:rPr>
          <w:rFonts w:hint="eastAsia" w:ascii="仿宋_GB2312" w:hAnsi="Arial" w:eastAsia="仿宋_GB2312"/>
          <w:color w:val="FF0000"/>
          <w:sz w:val="28"/>
          <w:szCs w:val="28"/>
        </w:rPr>
        <w:br w:type="page"/>
      </w:r>
      <w:bookmarkStart w:id="47" w:name="_Toc464510820"/>
      <w:r>
        <w:rPr>
          <w:rFonts w:hint="eastAsia" w:ascii="仿宋_GB2312" w:eastAsia="仿宋_GB2312"/>
          <w:color w:val="000000"/>
          <w:sz w:val="32"/>
          <w:szCs w:val="32"/>
        </w:rPr>
        <w:t>第六章  节能分析</w:t>
      </w:r>
      <w:bookmarkEnd w:id="47"/>
    </w:p>
    <w:p>
      <w:pPr>
        <w:pStyle w:val="3"/>
        <w:rPr>
          <w:rFonts w:ascii="仿宋_GB2312" w:eastAsia="仿宋_GB2312" w:cs="Arial"/>
          <w:color w:val="000000"/>
          <w:sz w:val="28"/>
          <w:szCs w:val="28"/>
        </w:rPr>
      </w:pPr>
      <w:bookmarkStart w:id="48" w:name="_Toc464510821"/>
      <w:r>
        <w:rPr>
          <w:rFonts w:hint="eastAsia" w:ascii="仿宋_GB2312" w:eastAsia="仿宋_GB2312" w:cs="Arial"/>
          <w:color w:val="000000"/>
          <w:sz w:val="28"/>
          <w:szCs w:val="28"/>
        </w:rPr>
        <w:t>6.1 节能法律法规及其相关标准规范</w:t>
      </w:r>
      <w:bookmarkEnd w:id="48"/>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 xml:space="preserve">1、《交通行业节能管理实施条例》； </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 xml:space="preserve">2、《交通行业节能技术政策大纲》； </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3、《交通行业基本建设和技术改造项目增列节能篇的规定》；</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 xml:space="preserve">4、《交通行业实施节约能源法细则》； </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 xml:space="preserve">5、《公路工程节能管理规定》（试行）； </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6、《关于交通行业全面贯彻落实国务院关于加强节能工作的决定的指导 意见》（交体法发[2006]592 号）；</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7、《城市道路照明设计标准》(CJJ452006)。</w:t>
      </w:r>
    </w:p>
    <w:p>
      <w:pPr>
        <w:pStyle w:val="3"/>
        <w:rPr>
          <w:rFonts w:ascii="仿宋_GB2312" w:eastAsia="仿宋_GB2312" w:cs="Arial"/>
          <w:color w:val="000000"/>
          <w:sz w:val="28"/>
          <w:szCs w:val="28"/>
        </w:rPr>
      </w:pPr>
      <w:bookmarkStart w:id="49" w:name="_Toc464510822"/>
      <w:r>
        <w:rPr>
          <w:rFonts w:hint="eastAsia" w:ascii="仿宋_GB2312" w:eastAsia="仿宋_GB2312" w:cs="Arial"/>
          <w:color w:val="000000"/>
          <w:sz w:val="28"/>
          <w:szCs w:val="28"/>
        </w:rPr>
        <w:t>6.2 项目运营能效指标分析</w:t>
      </w:r>
      <w:bookmarkEnd w:id="49"/>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1、用电量分析</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本项目是市政基础设施配套建设项目，项目主要直接能耗为路灯用电，本项目在机动车道西侧安装10米高的单臂路灯。灯具方面，顶灯选用100WLED灯具。按每个季度日照时间不同，所需路灯照明时间不同进行计算，全年路灯运行时间约为4100小时，则年耗电量为13940kWh。具体路灯电力消耗情况见表6-1。</w:t>
      </w:r>
    </w:p>
    <w:p>
      <w:pPr>
        <w:spacing w:beforeLines="50" w:afterLines="50" w:line="540" w:lineRule="exact"/>
        <w:ind w:firstLine="560" w:firstLineChars="200"/>
        <w:rPr>
          <w:rFonts w:ascii="仿宋_GB2312" w:hAnsi="宋体" w:eastAsia="仿宋_GB2312"/>
          <w:color w:val="000000"/>
          <w:sz w:val="28"/>
          <w:szCs w:val="28"/>
        </w:rPr>
      </w:pPr>
    </w:p>
    <w:p>
      <w:pPr>
        <w:spacing w:beforeLines="50" w:afterLines="50" w:line="540" w:lineRule="exact"/>
        <w:ind w:firstLine="560" w:firstLineChars="200"/>
        <w:rPr>
          <w:rFonts w:ascii="仿宋_GB2312" w:hAnsi="宋体" w:eastAsia="仿宋_GB2312"/>
          <w:color w:val="000000"/>
          <w:sz w:val="28"/>
          <w:szCs w:val="28"/>
        </w:rPr>
      </w:pPr>
    </w:p>
    <w:p>
      <w:pPr>
        <w:spacing w:beforeLines="50" w:afterLines="50" w:line="540" w:lineRule="exact"/>
        <w:jc w:val="center"/>
        <w:rPr>
          <w:rFonts w:ascii="仿宋_GB2312" w:hAnsi="宋体" w:eastAsia="仿宋_GB2312"/>
          <w:b/>
          <w:color w:val="000000"/>
          <w:sz w:val="28"/>
          <w:szCs w:val="28"/>
        </w:rPr>
      </w:pPr>
      <w:r>
        <w:rPr>
          <w:rFonts w:hint="eastAsia" w:ascii="仿宋_GB2312" w:hAnsi="宋体" w:eastAsia="仿宋_GB2312"/>
          <w:b/>
          <w:bCs/>
          <w:color w:val="000000"/>
          <w:sz w:val="28"/>
          <w:szCs w:val="28"/>
        </w:rPr>
        <w:t>表6-1</w:t>
      </w: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项目路灯电力消耗情况</w:t>
      </w:r>
    </w:p>
    <w:tbl>
      <w:tblPr>
        <w:tblStyle w:val="28"/>
        <w:tblW w:w="8522"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752"/>
        <w:gridCol w:w="992"/>
        <w:gridCol w:w="1276"/>
        <w:gridCol w:w="1276"/>
        <w:gridCol w:w="1275"/>
        <w:gridCol w:w="127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75" w:type="dxa"/>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序号</w:t>
            </w:r>
          </w:p>
        </w:tc>
        <w:tc>
          <w:tcPr>
            <w:tcW w:w="1752" w:type="dxa"/>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类型</w:t>
            </w:r>
          </w:p>
        </w:tc>
        <w:tc>
          <w:tcPr>
            <w:tcW w:w="992" w:type="dxa"/>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灯具数量（盏）</w:t>
            </w:r>
          </w:p>
        </w:tc>
        <w:tc>
          <w:tcPr>
            <w:tcW w:w="1276" w:type="dxa"/>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每盏路灯功率（w）</w:t>
            </w:r>
          </w:p>
        </w:tc>
        <w:tc>
          <w:tcPr>
            <w:tcW w:w="1276" w:type="dxa"/>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路灯容量（kW）</w:t>
            </w:r>
          </w:p>
        </w:tc>
        <w:tc>
          <w:tcPr>
            <w:tcW w:w="1275" w:type="dxa"/>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年使用时间（h）</w:t>
            </w:r>
          </w:p>
        </w:tc>
        <w:tc>
          <w:tcPr>
            <w:tcW w:w="1276" w:type="dxa"/>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年用电量（kWh）</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75" w:type="dxa"/>
            <w:vAlign w:val="center"/>
          </w:tcPr>
          <w:p>
            <w:pPr>
              <w:jc w:val="center"/>
              <w:rPr>
                <w:rFonts w:ascii="仿宋_GB2312" w:eastAsia="仿宋_GB2312"/>
                <w:color w:val="000000"/>
                <w:sz w:val="24"/>
              </w:rPr>
            </w:pPr>
            <w:r>
              <w:rPr>
                <w:rFonts w:hint="eastAsia" w:ascii="仿宋_GB2312" w:eastAsia="仿宋_GB2312"/>
                <w:color w:val="000000"/>
                <w:sz w:val="24"/>
              </w:rPr>
              <w:t>1</w:t>
            </w:r>
          </w:p>
        </w:tc>
        <w:tc>
          <w:tcPr>
            <w:tcW w:w="1752" w:type="dxa"/>
            <w:vAlign w:val="center"/>
          </w:tcPr>
          <w:p>
            <w:pPr>
              <w:jc w:val="center"/>
              <w:rPr>
                <w:rFonts w:ascii="仿宋_GB2312" w:eastAsia="仿宋_GB2312"/>
                <w:color w:val="000000"/>
                <w:sz w:val="24"/>
              </w:rPr>
            </w:pPr>
            <w:r>
              <w:rPr>
                <w:rFonts w:hint="eastAsia" w:ascii="仿宋_GB2312" w:eastAsia="仿宋_GB2312"/>
                <w:color w:val="000000"/>
                <w:sz w:val="24"/>
              </w:rPr>
              <w:t>LED单臂路灯</w:t>
            </w:r>
          </w:p>
        </w:tc>
        <w:tc>
          <w:tcPr>
            <w:tcW w:w="992" w:type="dxa"/>
            <w:vAlign w:val="center"/>
          </w:tcPr>
          <w:p>
            <w:pPr>
              <w:jc w:val="center"/>
              <w:rPr>
                <w:rFonts w:ascii="仿宋_GB2312" w:eastAsia="仿宋_GB2312"/>
                <w:color w:val="000000"/>
                <w:sz w:val="24"/>
              </w:rPr>
            </w:pPr>
            <w:r>
              <w:rPr>
                <w:rFonts w:hint="eastAsia" w:ascii="仿宋_GB2312" w:eastAsia="仿宋_GB2312"/>
                <w:color w:val="000000"/>
                <w:sz w:val="24"/>
              </w:rPr>
              <w:t>34</w:t>
            </w:r>
          </w:p>
        </w:tc>
        <w:tc>
          <w:tcPr>
            <w:tcW w:w="1276" w:type="dxa"/>
            <w:vAlign w:val="center"/>
          </w:tcPr>
          <w:p>
            <w:pPr>
              <w:jc w:val="center"/>
              <w:rPr>
                <w:rFonts w:ascii="仿宋_GB2312" w:eastAsia="仿宋_GB2312"/>
                <w:color w:val="000000"/>
                <w:sz w:val="24"/>
              </w:rPr>
            </w:pPr>
            <w:r>
              <w:rPr>
                <w:rFonts w:hint="eastAsia" w:ascii="仿宋_GB2312" w:eastAsia="仿宋_GB2312"/>
                <w:color w:val="000000"/>
                <w:sz w:val="24"/>
              </w:rPr>
              <w:t>100</w:t>
            </w:r>
          </w:p>
        </w:tc>
        <w:tc>
          <w:tcPr>
            <w:tcW w:w="1276" w:type="dxa"/>
            <w:vAlign w:val="center"/>
          </w:tcPr>
          <w:p>
            <w:pPr>
              <w:jc w:val="center"/>
              <w:rPr>
                <w:rFonts w:ascii="仿宋_GB2312" w:eastAsia="仿宋_GB2312"/>
                <w:color w:val="000000"/>
                <w:sz w:val="24"/>
              </w:rPr>
            </w:pPr>
            <w:r>
              <w:rPr>
                <w:rFonts w:hint="eastAsia" w:ascii="仿宋_GB2312" w:eastAsia="仿宋_GB2312"/>
                <w:color w:val="000000"/>
                <w:sz w:val="24"/>
              </w:rPr>
              <w:t>3.4</w:t>
            </w:r>
          </w:p>
        </w:tc>
        <w:tc>
          <w:tcPr>
            <w:tcW w:w="1275" w:type="dxa"/>
            <w:vAlign w:val="center"/>
          </w:tcPr>
          <w:p>
            <w:pPr>
              <w:jc w:val="center"/>
              <w:rPr>
                <w:rFonts w:ascii="仿宋_GB2312" w:eastAsia="仿宋_GB2312"/>
                <w:color w:val="000000"/>
                <w:sz w:val="24"/>
              </w:rPr>
            </w:pPr>
            <w:r>
              <w:rPr>
                <w:rFonts w:hint="eastAsia" w:ascii="仿宋_GB2312" w:eastAsia="仿宋_GB2312"/>
                <w:color w:val="000000"/>
                <w:sz w:val="24"/>
              </w:rPr>
              <w:t>4100</w:t>
            </w:r>
          </w:p>
        </w:tc>
        <w:tc>
          <w:tcPr>
            <w:tcW w:w="1276" w:type="dxa"/>
            <w:vAlign w:val="center"/>
          </w:tcPr>
          <w:p>
            <w:pPr>
              <w:jc w:val="center"/>
              <w:rPr>
                <w:rFonts w:ascii="仿宋_GB2312" w:eastAsia="仿宋_GB2312"/>
                <w:color w:val="000000"/>
                <w:sz w:val="24"/>
              </w:rPr>
            </w:pPr>
            <w:r>
              <w:rPr>
                <w:rFonts w:hint="eastAsia" w:ascii="仿宋_GB2312" w:eastAsia="仿宋_GB2312"/>
                <w:color w:val="000000"/>
                <w:sz w:val="24"/>
              </w:rPr>
              <w:t>13940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75" w:type="dxa"/>
            <w:vAlign w:val="center"/>
          </w:tcPr>
          <w:p>
            <w:pPr>
              <w:jc w:val="center"/>
              <w:rPr>
                <w:rFonts w:ascii="仿宋_GB2312" w:eastAsia="仿宋_GB2312"/>
                <w:color w:val="000000"/>
                <w:sz w:val="24"/>
              </w:rPr>
            </w:pPr>
            <w:r>
              <w:rPr>
                <w:rFonts w:hint="eastAsia" w:ascii="仿宋_GB2312" w:eastAsia="仿宋_GB2312"/>
                <w:color w:val="000000"/>
                <w:sz w:val="24"/>
              </w:rPr>
              <w:t>2</w:t>
            </w:r>
          </w:p>
        </w:tc>
        <w:tc>
          <w:tcPr>
            <w:tcW w:w="1752" w:type="dxa"/>
            <w:vAlign w:val="center"/>
          </w:tcPr>
          <w:p>
            <w:pPr>
              <w:jc w:val="center"/>
              <w:rPr>
                <w:rFonts w:ascii="仿宋_GB2312" w:eastAsia="仿宋_GB2312"/>
                <w:color w:val="000000"/>
                <w:sz w:val="24"/>
              </w:rPr>
            </w:pPr>
            <w:r>
              <w:rPr>
                <w:rFonts w:hint="eastAsia" w:ascii="仿宋_GB2312" w:eastAsia="仿宋_GB2312"/>
                <w:color w:val="000000"/>
                <w:sz w:val="24"/>
              </w:rPr>
              <w:t>合计</w:t>
            </w:r>
          </w:p>
        </w:tc>
        <w:tc>
          <w:tcPr>
            <w:tcW w:w="992" w:type="dxa"/>
            <w:vAlign w:val="center"/>
          </w:tcPr>
          <w:p>
            <w:pPr>
              <w:jc w:val="center"/>
              <w:rPr>
                <w:rFonts w:ascii="仿宋_GB2312" w:eastAsia="仿宋_GB2312"/>
                <w:color w:val="000000"/>
                <w:sz w:val="24"/>
              </w:rPr>
            </w:pPr>
            <w:r>
              <w:rPr>
                <w:rFonts w:hint="eastAsia" w:ascii="仿宋_GB2312" w:eastAsia="仿宋_GB2312"/>
                <w:color w:val="000000"/>
                <w:sz w:val="24"/>
              </w:rPr>
              <w:t>/</w:t>
            </w:r>
          </w:p>
        </w:tc>
        <w:tc>
          <w:tcPr>
            <w:tcW w:w="1276" w:type="dxa"/>
            <w:vAlign w:val="center"/>
          </w:tcPr>
          <w:p>
            <w:pPr>
              <w:jc w:val="center"/>
              <w:rPr>
                <w:rFonts w:ascii="仿宋_GB2312" w:eastAsia="仿宋_GB2312"/>
                <w:color w:val="000000"/>
                <w:sz w:val="24"/>
              </w:rPr>
            </w:pPr>
            <w:r>
              <w:rPr>
                <w:rFonts w:hint="eastAsia" w:ascii="仿宋_GB2312" w:eastAsia="仿宋_GB2312"/>
                <w:color w:val="000000"/>
                <w:sz w:val="24"/>
              </w:rPr>
              <w:t>/</w:t>
            </w:r>
          </w:p>
        </w:tc>
        <w:tc>
          <w:tcPr>
            <w:tcW w:w="1276" w:type="dxa"/>
            <w:vAlign w:val="center"/>
          </w:tcPr>
          <w:p>
            <w:pPr>
              <w:jc w:val="center"/>
              <w:rPr>
                <w:rFonts w:ascii="仿宋_GB2312" w:eastAsia="仿宋_GB2312"/>
                <w:color w:val="000000"/>
                <w:sz w:val="24"/>
              </w:rPr>
            </w:pPr>
            <w:r>
              <w:rPr>
                <w:rFonts w:hint="eastAsia" w:ascii="仿宋_GB2312" w:eastAsia="仿宋_GB2312"/>
                <w:color w:val="000000"/>
                <w:sz w:val="24"/>
              </w:rPr>
              <w:t>3.4</w:t>
            </w:r>
          </w:p>
        </w:tc>
        <w:tc>
          <w:tcPr>
            <w:tcW w:w="1275" w:type="dxa"/>
            <w:vAlign w:val="center"/>
          </w:tcPr>
          <w:p>
            <w:pPr>
              <w:jc w:val="center"/>
              <w:rPr>
                <w:rFonts w:ascii="仿宋_GB2312" w:eastAsia="仿宋_GB2312"/>
                <w:color w:val="000000"/>
                <w:sz w:val="24"/>
              </w:rPr>
            </w:pPr>
            <w:r>
              <w:rPr>
                <w:rFonts w:hint="eastAsia" w:ascii="仿宋_GB2312" w:eastAsia="仿宋_GB2312"/>
                <w:color w:val="000000"/>
                <w:sz w:val="24"/>
              </w:rPr>
              <w:t>/</w:t>
            </w:r>
          </w:p>
        </w:tc>
        <w:tc>
          <w:tcPr>
            <w:tcW w:w="1276" w:type="dxa"/>
            <w:vAlign w:val="center"/>
          </w:tcPr>
          <w:p>
            <w:pPr>
              <w:jc w:val="center"/>
              <w:rPr>
                <w:rFonts w:ascii="仿宋_GB2312" w:eastAsia="仿宋_GB2312"/>
                <w:color w:val="000000"/>
                <w:sz w:val="24"/>
              </w:rPr>
            </w:pPr>
            <w:r>
              <w:rPr>
                <w:rFonts w:hint="eastAsia" w:ascii="仿宋_GB2312" w:eastAsia="仿宋_GB2312"/>
                <w:color w:val="000000"/>
                <w:sz w:val="24"/>
              </w:rPr>
              <w:t>13940</w:t>
            </w:r>
          </w:p>
        </w:tc>
      </w:tr>
    </w:tbl>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2、用水量分析</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按项目具体情况，根据《广东省用水定额》和《建筑给水排水设计规范》（GB50015-2003）的有关用水规定，本项目年用水量为</w:t>
      </w:r>
      <w:r>
        <w:rPr>
          <w:rFonts w:hint="eastAsia" w:ascii="仿宋_GB2312" w:eastAsia="仿宋_GB2312"/>
          <w:color w:val="000000"/>
          <w:sz w:val="24"/>
        </w:rPr>
        <w:t>2570.7</w:t>
      </w:r>
      <w:r>
        <w:rPr>
          <w:rFonts w:hint="eastAsia" w:ascii="仿宋_GB2312" w:hAnsi="宋体" w:eastAsia="仿宋_GB2312"/>
          <w:color w:val="000000"/>
          <w:sz w:val="28"/>
          <w:szCs w:val="28"/>
        </w:rPr>
        <w:t>立方米。项目具体用水情况见表7-2。</w:t>
      </w:r>
    </w:p>
    <w:p>
      <w:pPr>
        <w:spacing w:beforeLines="50" w:afterLines="50" w:line="540" w:lineRule="exact"/>
        <w:jc w:val="center"/>
        <w:rPr>
          <w:rFonts w:ascii="仿宋_GB2312" w:hAnsi="宋体" w:eastAsia="仿宋_GB2312"/>
          <w:color w:val="000000"/>
          <w:sz w:val="24"/>
        </w:rPr>
      </w:pPr>
      <w:r>
        <w:rPr>
          <w:rFonts w:hint="eastAsia" w:ascii="仿宋_GB2312" w:hAnsi="宋体" w:eastAsia="仿宋_GB2312"/>
          <w:b/>
          <w:bCs/>
          <w:color w:val="000000"/>
          <w:sz w:val="28"/>
          <w:szCs w:val="28"/>
        </w:rPr>
        <w:t xml:space="preserve">表6-2 </w:t>
      </w:r>
      <w:r>
        <w:rPr>
          <w:rFonts w:hint="eastAsia" w:ascii="仿宋_GB2312" w:hAnsi="宋体" w:eastAsia="仿宋_GB2312"/>
          <w:b/>
          <w:color w:val="000000"/>
          <w:sz w:val="28"/>
          <w:szCs w:val="28"/>
        </w:rPr>
        <w:t>项目用水消费表</w:t>
      </w:r>
    </w:p>
    <w:tbl>
      <w:tblPr>
        <w:tblStyle w:val="28"/>
        <w:tblW w:w="8195"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7"/>
        <w:gridCol w:w="1276"/>
        <w:gridCol w:w="1680"/>
        <w:gridCol w:w="1538"/>
        <w:gridCol w:w="1297"/>
        <w:gridCol w:w="158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17" w:type="dxa"/>
            <w:tcBorders>
              <w:top w:val="double" w:color="auto" w:sz="4" w:space="0"/>
              <w:bottom w:val="single" w:color="auto" w:sz="6" w:space="0"/>
            </w:tcBorders>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序号</w:t>
            </w:r>
          </w:p>
        </w:tc>
        <w:tc>
          <w:tcPr>
            <w:tcW w:w="1276" w:type="dxa"/>
            <w:tcBorders>
              <w:top w:val="double" w:color="auto" w:sz="4" w:space="0"/>
              <w:bottom w:val="single" w:color="auto" w:sz="6" w:space="0"/>
            </w:tcBorders>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用水项目</w:t>
            </w:r>
          </w:p>
        </w:tc>
        <w:tc>
          <w:tcPr>
            <w:tcW w:w="1680" w:type="dxa"/>
            <w:tcBorders>
              <w:top w:val="double" w:color="auto" w:sz="4" w:space="0"/>
              <w:bottom w:val="single" w:color="auto" w:sz="6" w:space="0"/>
            </w:tcBorders>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项目面积（m</w:t>
            </w:r>
            <w:r>
              <w:rPr>
                <w:rFonts w:hint="eastAsia" w:ascii="仿宋_GB2312" w:eastAsia="仿宋_GB2312"/>
                <w:b/>
                <w:color w:val="000000"/>
                <w:sz w:val="24"/>
                <w:vertAlign w:val="superscript"/>
              </w:rPr>
              <w:t>2</w:t>
            </w:r>
            <w:r>
              <w:rPr>
                <w:rFonts w:hint="eastAsia" w:ascii="仿宋_GB2312" w:eastAsia="仿宋_GB2312"/>
                <w:b/>
                <w:color w:val="000000"/>
                <w:sz w:val="24"/>
              </w:rPr>
              <w:t>）</w:t>
            </w:r>
          </w:p>
        </w:tc>
        <w:tc>
          <w:tcPr>
            <w:tcW w:w="1538" w:type="dxa"/>
            <w:tcBorders>
              <w:top w:val="double" w:color="auto" w:sz="4" w:space="0"/>
              <w:bottom w:val="single" w:color="auto" w:sz="6" w:space="0"/>
            </w:tcBorders>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用水指标（L/m</w:t>
            </w:r>
            <w:r>
              <w:rPr>
                <w:rFonts w:hint="eastAsia" w:ascii="仿宋_GB2312" w:eastAsia="仿宋_GB2312"/>
                <w:b/>
                <w:color w:val="000000"/>
                <w:sz w:val="24"/>
                <w:vertAlign w:val="superscript"/>
              </w:rPr>
              <w:t>2</w:t>
            </w:r>
            <w:r>
              <w:rPr>
                <w:rFonts w:hint="eastAsia" w:ascii="仿宋_GB2312" w:hAnsi="宋体" w:eastAsia="仿宋_GB2312"/>
                <w:b/>
                <w:color w:val="000000"/>
                <w:sz w:val="24"/>
              </w:rPr>
              <w:t>·d</w:t>
            </w:r>
            <w:r>
              <w:rPr>
                <w:rFonts w:hint="eastAsia" w:ascii="仿宋_GB2312" w:eastAsia="仿宋_GB2312"/>
                <w:b/>
                <w:color w:val="000000"/>
                <w:sz w:val="24"/>
              </w:rPr>
              <w:t>）</w:t>
            </w:r>
          </w:p>
        </w:tc>
        <w:tc>
          <w:tcPr>
            <w:tcW w:w="1297" w:type="dxa"/>
            <w:tcBorders>
              <w:top w:val="double" w:color="auto" w:sz="4" w:space="0"/>
              <w:bottom w:val="single" w:color="auto" w:sz="6" w:space="0"/>
            </w:tcBorders>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用水天数（d）</w:t>
            </w:r>
          </w:p>
        </w:tc>
        <w:tc>
          <w:tcPr>
            <w:tcW w:w="1587" w:type="dxa"/>
            <w:tcBorders>
              <w:top w:val="double" w:color="auto" w:sz="4" w:space="0"/>
              <w:bottom w:val="single" w:color="auto" w:sz="6" w:space="0"/>
            </w:tcBorders>
            <w:shd w:val="pct20" w:color="auto" w:fill="auto"/>
            <w:vAlign w:val="center"/>
          </w:tcPr>
          <w:p>
            <w:pPr>
              <w:jc w:val="center"/>
              <w:rPr>
                <w:rFonts w:ascii="仿宋_GB2312" w:eastAsia="仿宋_GB2312"/>
                <w:b/>
                <w:color w:val="000000"/>
                <w:sz w:val="24"/>
              </w:rPr>
            </w:pPr>
            <w:r>
              <w:rPr>
                <w:rFonts w:hint="eastAsia" w:ascii="仿宋_GB2312" w:eastAsia="仿宋_GB2312"/>
                <w:b/>
                <w:color w:val="000000"/>
                <w:sz w:val="24"/>
              </w:rPr>
              <w:t>年用水量（m</w:t>
            </w:r>
            <w:r>
              <w:rPr>
                <w:rFonts w:hint="eastAsia" w:ascii="仿宋_GB2312" w:eastAsia="仿宋_GB2312"/>
                <w:b/>
                <w:color w:val="000000"/>
                <w:sz w:val="24"/>
                <w:vertAlign w:val="superscript"/>
              </w:rPr>
              <w:t>3</w:t>
            </w:r>
            <w:r>
              <w:rPr>
                <w:rFonts w:hint="eastAsia" w:ascii="仿宋_GB2312" w:eastAsia="仿宋_GB2312"/>
                <w:b/>
                <w:color w:val="000000"/>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17" w:type="dxa"/>
            <w:tcBorders>
              <w:top w:val="single" w:color="auto" w:sz="6" w:space="0"/>
            </w:tcBorders>
            <w:vAlign w:val="center"/>
          </w:tcPr>
          <w:p>
            <w:pPr>
              <w:jc w:val="center"/>
              <w:rPr>
                <w:rFonts w:ascii="仿宋_GB2312" w:eastAsia="仿宋_GB2312"/>
                <w:color w:val="000000"/>
                <w:sz w:val="24"/>
              </w:rPr>
            </w:pPr>
            <w:r>
              <w:rPr>
                <w:rFonts w:hint="eastAsia" w:ascii="仿宋_GB2312" w:eastAsia="仿宋_GB2312"/>
                <w:color w:val="000000"/>
                <w:sz w:val="24"/>
              </w:rPr>
              <w:t>1</w:t>
            </w:r>
          </w:p>
        </w:tc>
        <w:tc>
          <w:tcPr>
            <w:tcW w:w="1276" w:type="dxa"/>
            <w:tcBorders>
              <w:top w:val="single" w:color="auto" w:sz="6" w:space="0"/>
            </w:tcBorders>
            <w:vAlign w:val="center"/>
          </w:tcPr>
          <w:p>
            <w:pPr>
              <w:jc w:val="center"/>
              <w:rPr>
                <w:rFonts w:ascii="仿宋_GB2312" w:eastAsia="仿宋_GB2312"/>
                <w:color w:val="000000"/>
                <w:sz w:val="24"/>
              </w:rPr>
            </w:pPr>
            <w:r>
              <w:rPr>
                <w:rFonts w:hint="eastAsia" w:ascii="仿宋_GB2312" w:eastAsia="仿宋_GB2312"/>
                <w:color w:val="000000"/>
                <w:sz w:val="24"/>
              </w:rPr>
              <w:t>路面</w:t>
            </w:r>
          </w:p>
        </w:tc>
        <w:tc>
          <w:tcPr>
            <w:tcW w:w="1680" w:type="dxa"/>
            <w:tcBorders>
              <w:top w:val="single" w:color="auto" w:sz="6" w:space="0"/>
            </w:tcBorders>
            <w:vAlign w:val="center"/>
          </w:tcPr>
          <w:p>
            <w:pPr>
              <w:jc w:val="center"/>
              <w:rPr>
                <w:rFonts w:ascii="仿宋_GB2312" w:eastAsia="仿宋_GB2312"/>
                <w:color w:val="000000"/>
                <w:sz w:val="24"/>
              </w:rPr>
            </w:pPr>
            <w:r>
              <w:rPr>
                <w:rFonts w:hint="eastAsia" w:ascii="仿宋_GB2312" w:eastAsia="仿宋_GB2312"/>
                <w:color w:val="000000"/>
                <w:sz w:val="24"/>
              </w:rPr>
              <w:t>20216</w:t>
            </w:r>
          </w:p>
        </w:tc>
        <w:tc>
          <w:tcPr>
            <w:tcW w:w="1538" w:type="dxa"/>
            <w:tcBorders>
              <w:top w:val="single" w:color="auto" w:sz="6" w:space="0"/>
            </w:tcBorders>
            <w:vAlign w:val="center"/>
          </w:tcPr>
          <w:p>
            <w:pPr>
              <w:jc w:val="center"/>
              <w:rPr>
                <w:rFonts w:ascii="仿宋_GB2312" w:eastAsia="仿宋_GB2312"/>
                <w:color w:val="000000"/>
                <w:sz w:val="24"/>
              </w:rPr>
            </w:pPr>
            <w:r>
              <w:rPr>
                <w:rFonts w:hint="eastAsia" w:ascii="仿宋_GB2312" w:eastAsia="仿宋_GB2312"/>
                <w:color w:val="000000"/>
                <w:sz w:val="24"/>
              </w:rPr>
              <w:t>2</w:t>
            </w:r>
          </w:p>
        </w:tc>
        <w:tc>
          <w:tcPr>
            <w:tcW w:w="1297" w:type="dxa"/>
            <w:tcBorders>
              <w:top w:val="single" w:color="auto" w:sz="6" w:space="0"/>
            </w:tcBorders>
            <w:vAlign w:val="center"/>
          </w:tcPr>
          <w:p>
            <w:pPr>
              <w:jc w:val="center"/>
              <w:rPr>
                <w:rFonts w:ascii="仿宋_GB2312" w:eastAsia="仿宋_GB2312"/>
                <w:color w:val="000000"/>
                <w:sz w:val="24"/>
              </w:rPr>
            </w:pPr>
            <w:r>
              <w:rPr>
                <w:rFonts w:hint="eastAsia" w:ascii="仿宋_GB2312" w:eastAsia="仿宋_GB2312"/>
                <w:color w:val="000000"/>
                <w:sz w:val="24"/>
              </w:rPr>
              <w:t>52</w:t>
            </w:r>
          </w:p>
        </w:tc>
        <w:tc>
          <w:tcPr>
            <w:tcW w:w="1587" w:type="dxa"/>
            <w:tcBorders>
              <w:top w:val="single" w:color="auto" w:sz="6" w:space="0"/>
            </w:tcBorders>
            <w:vAlign w:val="center"/>
          </w:tcPr>
          <w:p>
            <w:pPr>
              <w:jc w:val="center"/>
              <w:rPr>
                <w:rFonts w:ascii="仿宋_GB2312" w:eastAsia="仿宋_GB2312"/>
                <w:color w:val="000000"/>
                <w:sz w:val="24"/>
              </w:rPr>
            </w:pPr>
            <w:r>
              <w:rPr>
                <w:rFonts w:hint="eastAsia" w:ascii="仿宋_GB2312" w:eastAsia="仿宋_GB2312"/>
                <w:color w:val="000000"/>
                <w:sz w:val="24"/>
              </w:rPr>
              <w:t>2102.7</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17" w:type="dxa"/>
            <w:vAlign w:val="center"/>
          </w:tcPr>
          <w:p>
            <w:pPr>
              <w:jc w:val="center"/>
              <w:rPr>
                <w:rFonts w:ascii="仿宋_GB2312" w:eastAsia="仿宋_GB2312"/>
                <w:color w:val="000000"/>
                <w:sz w:val="24"/>
              </w:rPr>
            </w:pPr>
            <w:r>
              <w:rPr>
                <w:rFonts w:hint="eastAsia" w:ascii="仿宋_GB2312" w:eastAsia="仿宋_GB2312"/>
                <w:color w:val="000000"/>
                <w:sz w:val="24"/>
              </w:rPr>
              <w:t>2</w:t>
            </w:r>
          </w:p>
        </w:tc>
        <w:tc>
          <w:tcPr>
            <w:tcW w:w="1276" w:type="dxa"/>
            <w:vAlign w:val="center"/>
          </w:tcPr>
          <w:p>
            <w:pPr>
              <w:jc w:val="center"/>
              <w:rPr>
                <w:rFonts w:ascii="仿宋_GB2312" w:eastAsia="仿宋_GB2312"/>
                <w:color w:val="000000"/>
                <w:sz w:val="24"/>
              </w:rPr>
            </w:pPr>
            <w:r>
              <w:rPr>
                <w:rFonts w:hint="eastAsia" w:ascii="仿宋_GB2312" w:eastAsia="仿宋_GB2312"/>
                <w:color w:val="000000"/>
                <w:sz w:val="24"/>
              </w:rPr>
              <w:t>绿化</w:t>
            </w:r>
          </w:p>
        </w:tc>
        <w:tc>
          <w:tcPr>
            <w:tcW w:w="1680" w:type="dxa"/>
            <w:vAlign w:val="center"/>
          </w:tcPr>
          <w:p>
            <w:pPr>
              <w:jc w:val="center"/>
              <w:rPr>
                <w:rFonts w:ascii="仿宋_GB2312" w:eastAsia="仿宋_GB2312"/>
                <w:color w:val="000000"/>
                <w:sz w:val="24"/>
              </w:rPr>
            </w:pPr>
            <w:r>
              <w:rPr>
                <w:rFonts w:hint="eastAsia" w:ascii="仿宋_GB2312" w:eastAsia="仿宋_GB2312"/>
                <w:color w:val="000000"/>
                <w:sz w:val="24"/>
              </w:rPr>
              <w:t>1500</w:t>
            </w:r>
          </w:p>
        </w:tc>
        <w:tc>
          <w:tcPr>
            <w:tcW w:w="1538" w:type="dxa"/>
            <w:vAlign w:val="center"/>
          </w:tcPr>
          <w:p>
            <w:pPr>
              <w:jc w:val="center"/>
              <w:rPr>
                <w:rFonts w:ascii="仿宋_GB2312" w:eastAsia="仿宋_GB2312"/>
                <w:color w:val="000000"/>
                <w:sz w:val="24"/>
              </w:rPr>
            </w:pPr>
            <w:r>
              <w:rPr>
                <w:rFonts w:hint="eastAsia" w:ascii="仿宋_GB2312" w:eastAsia="仿宋_GB2312"/>
                <w:color w:val="000000"/>
                <w:sz w:val="24"/>
              </w:rPr>
              <w:t>3</w:t>
            </w:r>
          </w:p>
        </w:tc>
        <w:tc>
          <w:tcPr>
            <w:tcW w:w="1297" w:type="dxa"/>
            <w:vAlign w:val="center"/>
          </w:tcPr>
          <w:p>
            <w:pPr>
              <w:jc w:val="center"/>
              <w:rPr>
                <w:rFonts w:ascii="仿宋_GB2312" w:eastAsia="仿宋_GB2312"/>
                <w:color w:val="000000"/>
                <w:sz w:val="24"/>
              </w:rPr>
            </w:pPr>
            <w:r>
              <w:rPr>
                <w:rFonts w:hint="eastAsia" w:ascii="仿宋_GB2312" w:eastAsia="仿宋_GB2312"/>
                <w:color w:val="000000"/>
                <w:sz w:val="24"/>
              </w:rPr>
              <w:t>104</w:t>
            </w:r>
          </w:p>
        </w:tc>
        <w:tc>
          <w:tcPr>
            <w:tcW w:w="1587" w:type="dxa"/>
            <w:vAlign w:val="center"/>
          </w:tcPr>
          <w:p>
            <w:pPr>
              <w:jc w:val="center"/>
              <w:rPr>
                <w:rFonts w:ascii="仿宋_GB2312" w:eastAsia="仿宋_GB2312"/>
                <w:color w:val="000000"/>
                <w:sz w:val="24"/>
              </w:rPr>
            </w:pPr>
            <w:r>
              <w:rPr>
                <w:rFonts w:hint="eastAsia" w:ascii="仿宋_GB2312" w:eastAsia="仿宋_GB2312"/>
                <w:color w:val="000000"/>
                <w:sz w:val="24"/>
              </w:rPr>
              <w:t>468</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17" w:type="dxa"/>
            <w:vAlign w:val="center"/>
          </w:tcPr>
          <w:p>
            <w:pPr>
              <w:jc w:val="center"/>
              <w:rPr>
                <w:rFonts w:ascii="仿宋_GB2312" w:eastAsia="仿宋_GB2312"/>
                <w:color w:val="000000"/>
                <w:sz w:val="24"/>
              </w:rPr>
            </w:pPr>
            <w:r>
              <w:rPr>
                <w:rFonts w:hint="eastAsia" w:ascii="仿宋_GB2312" w:eastAsia="仿宋_GB2312"/>
                <w:color w:val="000000"/>
                <w:sz w:val="24"/>
              </w:rPr>
              <w:t>3</w:t>
            </w:r>
          </w:p>
        </w:tc>
        <w:tc>
          <w:tcPr>
            <w:tcW w:w="1276" w:type="dxa"/>
            <w:vAlign w:val="center"/>
          </w:tcPr>
          <w:p>
            <w:pPr>
              <w:jc w:val="center"/>
              <w:rPr>
                <w:rFonts w:ascii="仿宋_GB2312" w:eastAsia="仿宋_GB2312"/>
                <w:color w:val="000000"/>
                <w:sz w:val="24"/>
              </w:rPr>
            </w:pPr>
            <w:r>
              <w:rPr>
                <w:rFonts w:hint="eastAsia" w:ascii="仿宋_GB2312" w:eastAsia="仿宋_GB2312"/>
                <w:color w:val="000000"/>
                <w:sz w:val="24"/>
              </w:rPr>
              <w:t>合计</w:t>
            </w:r>
          </w:p>
        </w:tc>
        <w:tc>
          <w:tcPr>
            <w:tcW w:w="1680" w:type="dxa"/>
            <w:vAlign w:val="center"/>
          </w:tcPr>
          <w:p>
            <w:pPr>
              <w:jc w:val="center"/>
              <w:rPr>
                <w:rFonts w:ascii="仿宋_GB2312" w:eastAsia="仿宋_GB2312"/>
                <w:color w:val="000000"/>
                <w:sz w:val="24"/>
              </w:rPr>
            </w:pPr>
            <w:r>
              <w:rPr>
                <w:rFonts w:hint="eastAsia" w:ascii="仿宋_GB2312" w:eastAsia="仿宋_GB2312"/>
                <w:color w:val="000000"/>
                <w:sz w:val="24"/>
              </w:rPr>
              <w:t>/</w:t>
            </w:r>
          </w:p>
        </w:tc>
        <w:tc>
          <w:tcPr>
            <w:tcW w:w="1538" w:type="dxa"/>
            <w:vAlign w:val="center"/>
          </w:tcPr>
          <w:p>
            <w:pPr>
              <w:jc w:val="center"/>
              <w:rPr>
                <w:rFonts w:ascii="仿宋_GB2312" w:eastAsia="仿宋_GB2312"/>
                <w:color w:val="000000"/>
                <w:sz w:val="24"/>
              </w:rPr>
            </w:pPr>
            <w:r>
              <w:rPr>
                <w:rFonts w:hint="eastAsia" w:ascii="仿宋_GB2312" w:eastAsia="仿宋_GB2312"/>
                <w:color w:val="000000"/>
                <w:sz w:val="24"/>
              </w:rPr>
              <w:t>/</w:t>
            </w:r>
          </w:p>
        </w:tc>
        <w:tc>
          <w:tcPr>
            <w:tcW w:w="1297" w:type="dxa"/>
            <w:vAlign w:val="center"/>
          </w:tcPr>
          <w:p>
            <w:pPr>
              <w:jc w:val="center"/>
              <w:rPr>
                <w:rFonts w:ascii="仿宋_GB2312" w:eastAsia="仿宋_GB2312"/>
                <w:color w:val="000000"/>
                <w:sz w:val="24"/>
              </w:rPr>
            </w:pPr>
            <w:r>
              <w:rPr>
                <w:rFonts w:hint="eastAsia" w:ascii="仿宋_GB2312" w:eastAsia="仿宋_GB2312"/>
                <w:color w:val="000000"/>
                <w:sz w:val="24"/>
              </w:rPr>
              <w:t>/</w:t>
            </w:r>
          </w:p>
        </w:tc>
        <w:tc>
          <w:tcPr>
            <w:tcW w:w="1587" w:type="dxa"/>
            <w:vAlign w:val="center"/>
          </w:tcPr>
          <w:p>
            <w:pPr>
              <w:jc w:val="center"/>
              <w:rPr>
                <w:rFonts w:ascii="仿宋_GB2312" w:eastAsia="仿宋_GB2312"/>
                <w:color w:val="000000"/>
                <w:sz w:val="24"/>
              </w:rPr>
            </w:pPr>
            <w:r>
              <w:rPr>
                <w:rFonts w:hint="eastAsia" w:ascii="仿宋_GB2312" w:eastAsia="仿宋_GB2312"/>
                <w:color w:val="000000"/>
                <w:sz w:val="24"/>
              </w:rPr>
              <w:t>2570.7</w:t>
            </w:r>
          </w:p>
        </w:tc>
      </w:tr>
    </w:tbl>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3、项目能源消费量合计</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根据上述计算，本项目年能源消费总量为1.93吨标煤。具体情况见表6-3。</w:t>
      </w:r>
    </w:p>
    <w:p>
      <w:pPr>
        <w:spacing w:beforeLines="50" w:afterLines="50" w:line="540" w:lineRule="exact"/>
        <w:ind w:firstLine="562" w:firstLineChars="200"/>
        <w:jc w:val="center"/>
        <w:rPr>
          <w:rFonts w:ascii="仿宋_GB2312" w:hAnsi="宋体" w:eastAsia="仿宋_GB2312"/>
          <w:color w:val="000000"/>
          <w:sz w:val="28"/>
          <w:szCs w:val="28"/>
        </w:rPr>
      </w:pPr>
      <w:r>
        <w:rPr>
          <w:rFonts w:hint="eastAsia" w:ascii="仿宋_GB2312" w:hAnsi="宋体" w:eastAsia="仿宋_GB2312"/>
          <w:b/>
          <w:bCs/>
          <w:color w:val="000000"/>
          <w:sz w:val="28"/>
          <w:szCs w:val="28"/>
        </w:rPr>
        <w:t xml:space="preserve">表6-3 </w:t>
      </w:r>
      <w:r>
        <w:rPr>
          <w:rFonts w:hint="eastAsia" w:ascii="仿宋_GB2312" w:hAnsi="宋体" w:eastAsia="仿宋_GB2312"/>
          <w:b/>
          <w:color w:val="000000"/>
          <w:sz w:val="28"/>
          <w:szCs w:val="28"/>
        </w:rPr>
        <w:t>能源及耗能工质年消费量</w:t>
      </w:r>
    </w:p>
    <w:tbl>
      <w:tblPr>
        <w:tblStyle w:val="28"/>
        <w:tblW w:w="8522"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8"/>
        <w:gridCol w:w="766"/>
        <w:gridCol w:w="2096"/>
        <w:gridCol w:w="974"/>
        <w:gridCol w:w="1153"/>
        <w:gridCol w:w="1503"/>
        <w:gridCol w:w="13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48" w:type="dxa"/>
            <w:vMerge w:val="restart"/>
            <w:tcBorders>
              <w:top w:val="double" w:color="auto" w:sz="4"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r>
              <w:rPr>
                <w:rFonts w:hint="eastAsia" w:ascii="仿宋_GB2312" w:eastAsia="仿宋_GB2312"/>
                <w:b/>
                <w:color w:val="000000"/>
                <w:szCs w:val="21"/>
              </w:rPr>
              <w:t>序号</w:t>
            </w:r>
          </w:p>
        </w:tc>
        <w:tc>
          <w:tcPr>
            <w:tcW w:w="766" w:type="dxa"/>
            <w:vMerge w:val="restart"/>
            <w:tcBorders>
              <w:top w:val="double" w:color="auto" w:sz="4"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r>
              <w:rPr>
                <w:rFonts w:hint="eastAsia" w:ascii="仿宋_GB2312" w:eastAsia="仿宋_GB2312"/>
                <w:b/>
                <w:color w:val="000000"/>
                <w:szCs w:val="21"/>
              </w:rPr>
              <w:t>项目</w:t>
            </w:r>
          </w:p>
        </w:tc>
        <w:tc>
          <w:tcPr>
            <w:tcW w:w="3070" w:type="dxa"/>
            <w:gridSpan w:val="2"/>
            <w:tcBorders>
              <w:top w:val="double" w:color="auto" w:sz="4"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r>
              <w:rPr>
                <w:rFonts w:hint="eastAsia" w:ascii="仿宋_GB2312" w:eastAsia="仿宋_GB2312"/>
                <w:b/>
                <w:color w:val="000000"/>
                <w:szCs w:val="21"/>
              </w:rPr>
              <w:t>折算标煤系数</w:t>
            </w:r>
          </w:p>
        </w:tc>
        <w:tc>
          <w:tcPr>
            <w:tcW w:w="4038" w:type="dxa"/>
            <w:gridSpan w:val="3"/>
            <w:tcBorders>
              <w:top w:val="double" w:color="auto" w:sz="4"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r>
              <w:rPr>
                <w:rFonts w:hint="eastAsia" w:ascii="仿宋_GB2312" w:eastAsia="仿宋_GB2312"/>
                <w:b/>
                <w:color w:val="000000"/>
                <w:szCs w:val="21"/>
              </w:rPr>
              <w:t>年耗能量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48" w:type="dxa"/>
            <w:vMerge w:val="continue"/>
            <w:tcBorders>
              <w:top w:val="single" w:color="auto" w:sz="6"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p>
        </w:tc>
        <w:tc>
          <w:tcPr>
            <w:tcW w:w="766" w:type="dxa"/>
            <w:vMerge w:val="continue"/>
            <w:tcBorders>
              <w:top w:val="single" w:color="auto" w:sz="6"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p>
        </w:tc>
        <w:tc>
          <w:tcPr>
            <w:tcW w:w="2096" w:type="dxa"/>
            <w:tcBorders>
              <w:top w:val="single" w:color="auto" w:sz="6"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r>
              <w:rPr>
                <w:rFonts w:hint="eastAsia" w:ascii="仿宋_GB2312" w:eastAsia="仿宋_GB2312"/>
                <w:b/>
                <w:color w:val="000000"/>
                <w:szCs w:val="21"/>
              </w:rPr>
              <w:t>标煤实物单位</w:t>
            </w:r>
          </w:p>
        </w:tc>
        <w:tc>
          <w:tcPr>
            <w:tcW w:w="974" w:type="dxa"/>
            <w:tcBorders>
              <w:top w:val="single" w:color="auto" w:sz="6"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r>
              <w:rPr>
                <w:rFonts w:hint="eastAsia" w:ascii="仿宋_GB2312" w:eastAsia="仿宋_GB2312"/>
                <w:b/>
                <w:color w:val="000000"/>
                <w:szCs w:val="21"/>
              </w:rPr>
              <w:t>数据</w:t>
            </w:r>
          </w:p>
        </w:tc>
        <w:tc>
          <w:tcPr>
            <w:tcW w:w="1153" w:type="dxa"/>
            <w:tcBorders>
              <w:top w:val="single" w:color="auto" w:sz="6"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r>
              <w:rPr>
                <w:rFonts w:hint="eastAsia" w:ascii="仿宋_GB2312" w:eastAsia="仿宋_GB2312"/>
                <w:b/>
                <w:color w:val="000000"/>
                <w:szCs w:val="21"/>
              </w:rPr>
              <w:t>实物单位</w:t>
            </w:r>
          </w:p>
        </w:tc>
        <w:tc>
          <w:tcPr>
            <w:tcW w:w="1503" w:type="dxa"/>
            <w:tcBorders>
              <w:top w:val="single" w:color="auto" w:sz="6"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r>
              <w:rPr>
                <w:rFonts w:hint="eastAsia" w:ascii="仿宋_GB2312" w:eastAsia="仿宋_GB2312"/>
                <w:b/>
                <w:color w:val="000000"/>
                <w:szCs w:val="21"/>
              </w:rPr>
              <w:t>年最大消耗量</w:t>
            </w:r>
          </w:p>
        </w:tc>
        <w:tc>
          <w:tcPr>
            <w:tcW w:w="1382" w:type="dxa"/>
            <w:tcBorders>
              <w:top w:val="single" w:color="auto" w:sz="6" w:space="0"/>
              <w:bottom w:val="single" w:color="auto" w:sz="6" w:space="0"/>
            </w:tcBorders>
            <w:shd w:val="pct20" w:color="auto" w:fill="auto"/>
            <w:vAlign w:val="center"/>
          </w:tcPr>
          <w:p>
            <w:pPr>
              <w:spacing w:line="360" w:lineRule="auto"/>
              <w:jc w:val="center"/>
              <w:rPr>
                <w:rFonts w:ascii="仿宋_GB2312" w:eastAsia="仿宋_GB2312"/>
                <w:b/>
                <w:color w:val="000000"/>
                <w:szCs w:val="21"/>
              </w:rPr>
            </w:pPr>
            <w:r>
              <w:rPr>
                <w:rFonts w:hint="eastAsia" w:ascii="仿宋_GB2312" w:eastAsia="仿宋_GB2312"/>
                <w:b/>
                <w:color w:val="000000"/>
                <w:szCs w:val="21"/>
              </w:rPr>
              <w:t>标煤（吨）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48" w:type="dxa"/>
            <w:tcBorders>
              <w:top w:val="single" w:color="auto" w:sz="6" w:space="0"/>
            </w:tcBorders>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1</w:t>
            </w:r>
          </w:p>
        </w:tc>
        <w:tc>
          <w:tcPr>
            <w:tcW w:w="766" w:type="dxa"/>
            <w:tcBorders>
              <w:top w:val="single" w:color="auto" w:sz="6" w:space="0"/>
            </w:tcBorders>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电</w:t>
            </w:r>
          </w:p>
        </w:tc>
        <w:tc>
          <w:tcPr>
            <w:tcW w:w="2096" w:type="dxa"/>
            <w:tcBorders>
              <w:top w:val="single" w:color="auto" w:sz="6" w:space="0"/>
            </w:tcBorders>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吨标煤／万千瓦时</w:t>
            </w:r>
          </w:p>
        </w:tc>
        <w:tc>
          <w:tcPr>
            <w:tcW w:w="974" w:type="dxa"/>
            <w:tcBorders>
              <w:top w:val="single" w:color="auto" w:sz="6" w:space="0"/>
            </w:tcBorders>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1.229</w:t>
            </w:r>
          </w:p>
        </w:tc>
        <w:tc>
          <w:tcPr>
            <w:tcW w:w="1153" w:type="dxa"/>
            <w:tcBorders>
              <w:top w:val="single" w:color="auto" w:sz="6" w:space="0"/>
            </w:tcBorders>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万千瓦时</w:t>
            </w:r>
          </w:p>
        </w:tc>
        <w:tc>
          <w:tcPr>
            <w:tcW w:w="1503" w:type="dxa"/>
            <w:tcBorders>
              <w:top w:val="single" w:color="auto" w:sz="6" w:space="0"/>
            </w:tcBorders>
            <w:shd w:val="clear" w:color="auto" w:fill="auto"/>
            <w:vAlign w:val="center"/>
          </w:tcPr>
          <w:p>
            <w:pPr>
              <w:widowControl/>
              <w:spacing w:line="360" w:lineRule="auto"/>
              <w:jc w:val="center"/>
              <w:rPr>
                <w:rFonts w:ascii="仿宋_GB2312" w:eastAsia="仿宋_GB2312"/>
                <w:color w:val="000000"/>
                <w:szCs w:val="21"/>
              </w:rPr>
            </w:pPr>
            <w:r>
              <w:rPr>
                <w:rFonts w:hint="eastAsia" w:ascii="仿宋_GB2312" w:eastAsia="仿宋_GB2312"/>
                <w:color w:val="000000"/>
                <w:szCs w:val="21"/>
              </w:rPr>
              <w:t>1.39</w:t>
            </w:r>
          </w:p>
        </w:tc>
        <w:tc>
          <w:tcPr>
            <w:tcW w:w="1382" w:type="dxa"/>
            <w:tcBorders>
              <w:top w:val="single" w:color="auto" w:sz="6" w:space="0"/>
            </w:tcBorders>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1.71</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48"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2</w:t>
            </w:r>
          </w:p>
        </w:tc>
        <w:tc>
          <w:tcPr>
            <w:tcW w:w="766"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水</w:t>
            </w:r>
          </w:p>
        </w:tc>
        <w:tc>
          <w:tcPr>
            <w:tcW w:w="2096"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吨标煤／万立方米</w:t>
            </w:r>
          </w:p>
        </w:tc>
        <w:tc>
          <w:tcPr>
            <w:tcW w:w="974"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0.857</w:t>
            </w:r>
          </w:p>
        </w:tc>
        <w:tc>
          <w:tcPr>
            <w:tcW w:w="1153"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万立方米</w:t>
            </w:r>
          </w:p>
        </w:tc>
        <w:tc>
          <w:tcPr>
            <w:tcW w:w="1503" w:type="dxa"/>
            <w:shd w:val="clear" w:color="auto" w:fill="auto"/>
            <w:vAlign w:val="center"/>
          </w:tcPr>
          <w:p>
            <w:pPr>
              <w:widowControl/>
              <w:spacing w:line="360" w:lineRule="auto"/>
              <w:jc w:val="center"/>
              <w:rPr>
                <w:rFonts w:ascii="仿宋_GB2312" w:eastAsia="仿宋_GB2312"/>
                <w:color w:val="000000"/>
                <w:szCs w:val="21"/>
              </w:rPr>
            </w:pPr>
            <w:r>
              <w:rPr>
                <w:rFonts w:hint="eastAsia" w:ascii="仿宋_GB2312" w:eastAsia="仿宋_GB2312"/>
                <w:color w:val="000000"/>
                <w:szCs w:val="21"/>
              </w:rPr>
              <w:t>0.257</w:t>
            </w:r>
          </w:p>
        </w:tc>
        <w:tc>
          <w:tcPr>
            <w:tcW w:w="1382"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0.22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48"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3</w:t>
            </w:r>
          </w:p>
        </w:tc>
        <w:tc>
          <w:tcPr>
            <w:tcW w:w="766"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合计</w:t>
            </w:r>
          </w:p>
        </w:tc>
        <w:tc>
          <w:tcPr>
            <w:tcW w:w="2096"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w:t>
            </w:r>
          </w:p>
        </w:tc>
        <w:tc>
          <w:tcPr>
            <w:tcW w:w="974"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w:t>
            </w:r>
          </w:p>
        </w:tc>
        <w:tc>
          <w:tcPr>
            <w:tcW w:w="1153"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w:t>
            </w:r>
          </w:p>
        </w:tc>
        <w:tc>
          <w:tcPr>
            <w:tcW w:w="1503"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w:t>
            </w:r>
          </w:p>
        </w:tc>
        <w:tc>
          <w:tcPr>
            <w:tcW w:w="1382" w:type="dxa"/>
            <w:shd w:val="clear" w:color="auto" w:fill="auto"/>
            <w:vAlign w:val="center"/>
          </w:tcPr>
          <w:p>
            <w:pPr>
              <w:spacing w:line="360" w:lineRule="auto"/>
              <w:jc w:val="center"/>
              <w:rPr>
                <w:rFonts w:ascii="仿宋_GB2312" w:eastAsia="仿宋_GB2312"/>
                <w:color w:val="000000"/>
                <w:szCs w:val="21"/>
              </w:rPr>
            </w:pPr>
            <w:r>
              <w:rPr>
                <w:rFonts w:hint="eastAsia" w:ascii="仿宋_GB2312" w:eastAsia="仿宋_GB2312"/>
                <w:color w:val="000000"/>
                <w:szCs w:val="21"/>
              </w:rPr>
              <w:t>1.93</w:t>
            </w:r>
          </w:p>
        </w:tc>
      </w:tr>
    </w:tbl>
    <w:p>
      <w:pPr>
        <w:pStyle w:val="3"/>
        <w:rPr>
          <w:rFonts w:ascii="仿宋_GB2312" w:eastAsia="仿宋_GB2312" w:cs="Arial"/>
          <w:color w:val="000000"/>
          <w:sz w:val="28"/>
          <w:szCs w:val="28"/>
        </w:rPr>
      </w:pPr>
      <w:bookmarkStart w:id="50" w:name="_Toc464510823"/>
      <w:r>
        <w:rPr>
          <w:rFonts w:hint="eastAsia" w:ascii="仿宋_GB2312" w:eastAsia="仿宋_GB2312" w:cs="Arial"/>
          <w:color w:val="000000"/>
          <w:sz w:val="28"/>
          <w:szCs w:val="28"/>
        </w:rPr>
        <w:t>6.3 道路燃油消耗影响因素</w:t>
      </w:r>
      <w:bookmarkEnd w:id="50"/>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影响道路运输燃油消耗的因素很多，但主要有两类：第一类是车辆本身的燃油经济性，这是同车辆本身的构造和制造工艺决定的，即在出厂之前就已是定值；第二类是车辆的行驶状态，这取决于车辆运行环境内外，以及驾驶员的操作技能，具体来说，它可概括为如下几个方面：</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道路条件，包括几何特征（纵坡、曲率和路面宽度等）和路面特性（平整度等）；</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车辆特性，包括物理特性和行驶特性（发动机功率、转速和车辆重量等）；</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交通状况，如流量、交通组成、行人流量和非机动车流量等；地区因素，如司机的驾驶行为和车速限制等。</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车辆运行的燃油消耗量是与道路交通条件密切相关的。车辆的运行过程通常由起步、换档、加速、等速、滑行、制动等基本单元组成。当道路条件、交通条件变化时车辆运行油耗也随之改变，在良好的道路条件（路面平整度、路面密度、平纵线形等）和良好的交通状况（快慢车分道行驶、无非机动车、横向干扰小等）时，车辆运行状态稳定，其耗油量相对较小；而当道路、交通状况恶劣时，车辆行驶中加减速次数随之增加，车辆运行状态将变得不稳定，耗油量相对于稳定行驶时增加很多，当停车次数增加时尤其突出，因为起动加速所耗油将是稳定状态行驶时的几倍。</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1、道路条件对燃油消耗的影响</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道路几何条件对燃油消耗的影响直接由平曲线半径、纵坡、路面状况和道路 横坡所判定，此外燃油消耗也通过车速而受道路几何条件的间接影响（车辆因几 何条件变化而加速或减速）。</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当车辆由直线驶入曲线时，车辆的燃油消耗就要增加，这主要是由以下三个 因素造成的：</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（1）进入曲线前因换档减速而损失动能。</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（2）当车辆受到离心力作用时滚动阻力增加（离心力与曲线半径成反比，而与车速的平方成正比）。</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（3）在曲线段车辆以较低排档行驶，车辆内摩阻增大。</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许多试验性研究表明当路线纵坡较小时（-3%～+3%），行车速度主要随平曲线曲率的增加而降低，并当平曲线半径R≤400m时车辆行驶速度明显降低。</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道路纵坡对燃油消耗影响很大，在上坡时燃油消耗随着坡度的增加而增加，但在下坡时相应的燃油节约比较有限。从美国的研究可看出，当道路纵坡从6%降至3%时，小客车可节油20%，货车可节油70%。</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路面状况对车辆油耗也有直接的影响，其主要影响因素为路面平整度，如货车在高级及次高级路面上行驶要比在非高级路面上行驶节油30～40%，因为非高级路面要克服较大的滚动阻力。</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2、交通状况对燃油消耗的影响</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交通条件主要是指道路服务水平，包括混合交通状况，交通流大小及密集程度、行人及横向干扰程度、行车速度以及交通设施的完善程度等。研究表明，燃油消耗量是车速的函数，而车辆的实际行驶速度取决于交通量、交通组成和驾驶技术等因素，高等级公路的油耗明显优于其它等级公路。在二级及二级以下等级公路上行驶，由交通状况极为复杂，非机动车和行人以及横向干扰严重，导致车辆频繁加速、减速和停车，其燃油消耗比高等级公路大得多。</w:t>
      </w:r>
    </w:p>
    <w:p>
      <w:pPr>
        <w:pStyle w:val="3"/>
        <w:rPr>
          <w:rFonts w:ascii="仿宋_GB2312" w:eastAsia="仿宋_GB2312" w:cs="Arial"/>
          <w:color w:val="000000"/>
          <w:sz w:val="28"/>
          <w:szCs w:val="28"/>
        </w:rPr>
      </w:pPr>
      <w:bookmarkStart w:id="51" w:name="_Toc464510824"/>
      <w:r>
        <w:rPr>
          <w:rFonts w:hint="eastAsia" w:ascii="仿宋_GB2312" w:eastAsia="仿宋_GB2312" w:cs="Arial"/>
          <w:color w:val="000000"/>
          <w:sz w:val="28"/>
          <w:szCs w:val="28"/>
        </w:rPr>
        <w:t>6.4 项目施工和运营期间的节能措施</w:t>
      </w:r>
      <w:bookmarkEnd w:id="51"/>
    </w:p>
    <w:p>
      <w:pPr>
        <w:spacing w:beforeLines="50" w:afterLines="50" w:line="540" w:lineRule="exact"/>
        <w:jc w:val="left"/>
        <w:outlineLvl w:val="2"/>
        <w:rPr>
          <w:rFonts w:ascii="仿宋_GB2312" w:hAnsi="宋体" w:eastAsia="仿宋_GB2312"/>
          <w:b/>
          <w:color w:val="000000"/>
          <w:sz w:val="28"/>
          <w:szCs w:val="28"/>
        </w:rPr>
      </w:pPr>
      <w:r>
        <w:rPr>
          <w:rFonts w:hint="eastAsia" w:ascii="仿宋_GB2312" w:hAnsi="Arial" w:eastAsia="仿宋_GB2312" w:cs="Arial"/>
          <w:bCs/>
          <w:color w:val="000000"/>
          <w:sz w:val="28"/>
          <w:szCs w:val="28"/>
        </w:rPr>
        <w:t>6.4.1</w:t>
      </w:r>
      <w:r>
        <w:rPr>
          <w:rFonts w:hint="eastAsia" w:ascii="仿宋_GB2312" w:hAnsi="宋体" w:eastAsia="仿宋_GB2312"/>
          <w:b/>
          <w:color w:val="000000"/>
          <w:sz w:val="28"/>
          <w:szCs w:val="28"/>
        </w:rPr>
        <w:t xml:space="preserve"> </w:t>
      </w:r>
      <w:r>
        <w:rPr>
          <w:rFonts w:hint="eastAsia" w:ascii="仿宋_GB2312" w:hAnsi="Arial" w:eastAsia="仿宋_GB2312" w:cs="Arial"/>
          <w:bCs/>
          <w:color w:val="000000"/>
          <w:sz w:val="28"/>
          <w:szCs w:val="28"/>
        </w:rPr>
        <w:t>施工期间的节能措施</w:t>
      </w:r>
    </w:p>
    <w:p>
      <w:pPr>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（1）节能措施管理</w:t>
      </w:r>
    </w:p>
    <w:p>
      <w:pPr>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A、制订合理施工能耗指标，提高施工能源利用率。</w:t>
      </w:r>
    </w:p>
    <w:p>
      <w:pPr>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B、优先使用国家、行业推荐的节能、高效、环保的施工设备和机具，如选用变频技术的节能施工设备等。</w:t>
      </w:r>
    </w:p>
    <w:p>
      <w:pPr>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C、施工现场分别设定生产、生活、办公和施工设备的用电控制指标，定期进行计量、核算、对比分析，并有预防与纠正措施。</w:t>
      </w:r>
    </w:p>
    <w:p>
      <w:pPr>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D、在施工组织设计中，合理安排施工顺序、工作面，以减少作业区域的机具数量，相邻作业区充分利用共有的机具资源。安排施工工艺时，应优先考虑耗用电能的或其它能耗较少的施工工艺。避免设备额定功率远大于使用功率或超负荷使用设备的现象。</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lang w:eastAsia="zh-CN"/>
        </w:rPr>
        <w:t>（</w:t>
      </w:r>
      <w:r>
        <w:rPr>
          <w:rFonts w:hint="eastAsia" w:ascii="仿宋_GB2312" w:hAnsi="宋体" w:eastAsia="仿宋_GB2312"/>
          <w:color w:val="000000"/>
          <w:sz w:val="28"/>
          <w:szCs w:val="28"/>
        </w:rPr>
        <w:t>2</w:t>
      </w:r>
      <w:r>
        <w:rPr>
          <w:rFonts w:hint="eastAsia" w:ascii="仿宋_GB2312" w:hAnsi="宋体" w:eastAsia="仿宋_GB2312"/>
          <w:color w:val="000000"/>
          <w:sz w:val="28"/>
          <w:szCs w:val="28"/>
          <w:lang w:eastAsia="zh-CN"/>
        </w:rPr>
        <w:t>）</w:t>
      </w:r>
      <w:r>
        <w:rPr>
          <w:rFonts w:hint="eastAsia" w:ascii="仿宋_GB2312" w:hAnsi="宋体" w:eastAsia="仿宋_GB2312"/>
          <w:color w:val="000000"/>
          <w:sz w:val="28"/>
          <w:szCs w:val="28"/>
        </w:rPr>
        <w:t>主要施工设备选型及其配套</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施工机械的选择是提高施工效率及节能降耗的工作重点。本工程在施工机械设备选型及配套设计时，主要参考了《水电水利工程施工机械选择设计导则》（DL/T5133-2001）的有关要求和规定，并结合本工程自身实际情况确定。将满足工程进度要求，保证工程质量，降低工程造价的要求贯穿于施工机械设备选型及配套的设计全过程中。</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施工设备选型时遵循以下原则：</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1)施工设备的技术性能应适合工作的性质、施工对象、施工场地大小和材料运距远近等施工条件，充分发挥机械效率，保证施工质量，满足施工强度的要求；</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2)所选设备应是技术先进，生产效率高，操纵灵活，机动性高，安全可靠，结构简单，易于检修和改装，防护设备齐全，废气噪音得到控制，环保性能好；</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3)注意经济效果，所选机械的购置和运转费用少，劳动量和能源消耗低，并通过技术经济比较，优选出成本最低的机械化施工方案；</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4)选用适用性比较广泛、类型比较单一的通用的机械，所选机械的国别、型号和厂家应尽量少，配件供应要有保证；</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5)注意各工序所用机械的配套成龙，一般要使后续机械的施工能力略大于先头机械的施工能力，运输机械略大于挖掘装载机械和振动碾压机械的施工能力，充分发挥主要机械和费用高的机械的施工潜力。</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施工辅助生产系统的耗能主要是供水、混凝土拌和系统等。对供水系统则采用IS型单级离心泵，其优点是水力性能分布合理，适用范围广、节能效果好；砂石料从附近购买，简化运输过程，并尽可能做到依靠重力自流下料。在拌和楼和水泥罐的布置上利用现场的高低地形，减少水泥和成品骨料的运输距离。</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lang w:eastAsia="zh-CN"/>
        </w:rPr>
        <w:t>（</w:t>
      </w:r>
      <w:r>
        <w:rPr>
          <w:rFonts w:hint="eastAsia" w:ascii="仿宋_GB2312" w:hAnsi="宋体" w:eastAsia="仿宋_GB2312"/>
          <w:color w:val="000000"/>
          <w:sz w:val="28"/>
          <w:szCs w:val="28"/>
        </w:rPr>
        <w:t>3</w:t>
      </w:r>
      <w:r>
        <w:rPr>
          <w:rFonts w:hint="eastAsia" w:ascii="仿宋_GB2312" w:hAnsi="宋体" w:eastAsia="仿宋_GB2312"/>
          <w:color w:val="000000"/>
          <w:sz w:val="28"/>
          <w:szCs w:val="28"/>
          <w:lang w:eastAsia="zh-CN"/>
        </w:rPr>
        <w:t>）</w:t>
      </w:r>
      <w:r>
        <w:rPr>
          <w:rFonts w:hint="eastAsia" w:ascii="仿宋_GB2312" w:eastAsia="仿宋_GB2312"/>
          <w:color w:val="000000"/>
          <w:sz w:val="28"/>
          <w:szCs w:val="28"/>
        </w:rPr>
        <w:t>施工、生活及临时办公设施节能</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A、按照各施工营地、建设管理营地的建筑用途和所处气候条件、区域的不同，做好建筑、通风、空调及采光照明系统的设计，满足建筑节能标准的要求。</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eastAsia="仿宋_GB2312"/>
          <w:color w:val="000000"/>
          <w:sz w:val="28"/>
          <w:szCs w:val="28"/>
        </w:rPr>
        <w:t>B、临时设施宜采用节能材料，墙体、屋面使用隔热性能好的的材料，减少夏天空调的使用时间及耗能量。</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eastAsia="仿宋_GB2312"/>
          <w:color w:val="000000"/>
          <w:sz w:val="28"/>
          <w:szCs w:val="28"/>
        </w:rPr>
        <w:t>C、合理配置空调、风扇数量，规定使用时间，实行分段分时使用，节约用电。</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D、充分利用自然通风，合理组织室内气流路径。开发住宅用手动或自动调节进风量的通风器。</w:t>
      </w:r>
    </w:p>
    <w:p>
      <w:pPr>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E、临时用电优先选用节能电线和节能灯具，临电线路合理设计、布置，临电设备宜采用自动控制装置。采用声控、光控等节能照明灯具。</w:t>
      </w:r>
    </w:p>
    <w:p>
      <w:pPr>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F、照明设计以满足最低照度为原则，照度不应超过最低照度的20％。</w:t>
      </w:r>
    </w:p>
    <w:p>
      <w:pPr>
        <w:spacing w:beforeLines="50" w:afterLines="50" w:line="540" w:lineRule="exact"/>
        <w:jc w:val="left"/>
        <w:outlineLvl w:val="2"/>
        <w:rPr>
          <w:rFonts w:ascii="仿宋_GB2312" w:hAnsi="宋体" w:eastAsia="仿宋_GB2312"/>
          <w:b/>
          <w:color w:val="000000"/>
          <w:sz w:val="28"/>
          <w:szCs w:val="28"/>
        </w:rPr>
      </w:pPr>
      <w:r>
        <w:rPr>
          <w:rFonts w:hint="eastAsia" w:ascii="仿宋_GB2312" w:hAnsi="Arial" w:eastAsia="仿宋_GB2312" w:cs="Arial"/>
          <w:bCs/>
          <w:color w:val="000000"/>
          <w:sz w:val="28"/>
          <w:szCs w:val="28"/>
        </w:rPr>
        <w:t>6.4.2</w:t>
      </w:r>
      <w:r>
        <w:rPr>
          <w:rFonts w:hint="eastAsia" w:ascii="仿宋_GB2312" w:hAnsi="宋体" w:eastAsia="仿宋_GB2312"/>
          <w:b/>
          <w:color w:val="000000"/>
          <w:sz w:val="28"/>
          <w:szCs w:val="28"/>
        </w:rPr>
        <w:t xml:space="preserve"> </w:t>
      </w:r>
      <w:r>
        <w:rPr>
          <w:rFonts w:hint="eastAsia" w:ascii="仿宋_GB2312" w:hAnsi="Arial" w:eastAsia="仿宋_GB2312" w:cs="Arial"/>
          <w:bCs/>
          <w:color w:val="000000"/>
          <w:sz w:val="28"/>
          <w:szCs w:val="28"/>
        </w:rPr>
        <w:t>运营期间的节能措施</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（1）加强道路的养护维修管理，使道路经常保持良好状态，为车辆运行提供良好的交通条件。</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（2）通过加强交通管理，保持完善的交通设施和严格有序的交通组织，减少车辆频繁的加速、减速和停车，使道路上行驶的车辆具有良好的交通运行状态，从而达到节约燃油能耗的目的。</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（3）加强对行驶车辆的监控，对排气量超标和耗能高的车辆予以查控，除提出限期整改要求外，还应采取相应的责罚措施。</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（4）在道路项目能耗分析上，道路照明的节能尤其突出。</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目前，道路照明节能方面，逐步采用智能照明调控装置和高效节能灯措施，取得了较好的节能效果，既减少了政府财政的支出，又节约了照明系统的维护工作及材料。在照明工程具体设计时要注意选定合理的照明标准，采用智能照明调控装置和节能的光源、灯具。</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照明节能措施如下：</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可变功率镇流器，低损耗高效能型，利用气体放电灯在工作电流适当减少时，仍能正常运行的原理，通过后半夜增加镇流器电抗，从而降低光源电流，减少路灯系统电耗中占主要比例光源的电耗，达到路灯系统整体节能的目的。</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2）路灯采用的光源，基本是气体放电灯，其功率因数相当低，一般在0.45左右，从而使回路电流大，在线路上产生的损耗相当可观。故灯具配置补偿电容，补偿后功率因数达0.9，以减少损耗。</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3）合理确定照度标准及采用合理的设计方式，照明光泽均采用节能的高效光源。</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4）照明导线选用铜芯电缆，电缆截面根据经济电流密度确定，以减少线路损耗，降低运行成本。</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5）变压器选用节能型的高效变压器，以减少损耗，降低运行成本。</w:t>
      </w:r>
    </w:p>
    <w:p>
      <w:pPr>
        <w:spacing w:beforeLines="50" w:afterLines="50" w:line="540" w:lineRule="exact"/>
        <w:ind w:firstLine="560" w:firstLineChars="200"/>
        <w:rPr>
          <w:rFonts w:ascii="仿宋_GB2312" w:hAnsi="宋体" w:eastAsia="仿宋_GB2312"/>
          <w:color w:val="FF0000"/>
          <w:sz w:val="28"/>
          <w:szCs w:val="28"/>
        </w:rPr>
        <w:sectPr>
          <w:pgSz w:w="11906" w:h="16838"/>
          <w:pgMar w:top="1440" w:right="1800" w:bottom="1440" w:left="1800" w:header="851" w:footer="840" w:gutter="0"/>
          <w:cols w:space="425" w:num="1"/>
          <w:docGrid w:type="lines" w:linePitch="312" w:charSpace="0"/>
        </w:sectPr>
      </w:pPr>
      <w:r>
        <w:rPr>
          <w:rFonts w:hint="eastAsia" w:ascii="仿宋_GB2312" w:hAnsi="宋体" w:eastAsia="仿宋_GB2312"/>
          <w:color w:val="000000"/>
          <w:sz w:val="28"/>
          <w:szCs w:val="28"/>
        </w:rPr>
        <w:t>6）反光罩外形和内部结构能使光源发出的光线经过反射和折射后，并避免光效直接照射在光源上，延长光源使用寿命。</w:t>
      </w:r>
    </w:p>
    <w:p>
      <w:pPr>
        <w:pStyle w:val="2"/>
        <w:jc w:val="center"/>
        <w:rPr>
          <w:rFonts w:ascii="仿宋_GB2312" w:eastAsia="仿宋_GB2312"/>
          <w:color w:val="000000"/>
          <w:sz w:val="32"/>
          <w:szCs w:val="32"/>
        </w:rPr>
      </w:pPr>
      <w:bookmarkStart w:id="52" w:name="_Toc464510825"/>
      <w:r>
        <w:rPr>
          <w:rFonts w:hint="eastAsia" w:ascii="仿宋_GB2312" w:eastAsia="仿宋_GB2312"/>
          <w:color w:val="000000"/>
          <w:sz w:val="32"/>
          <w:szCs w:val="32"/>
        </w:rPr>
        <w:t>第七章  安全措施</w:t>
      </w:r>
      <w:bookmarkEnd w:id="52"/>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道路交通安全措施包括道路交通安全技术措施和道路交通安全管理措施。而道路安全技术措施包括道路安全设计技术、道路交通安全监控与检测技术、道路交通安全救援技术。</w:t>
      </w:r>
    </w:p>
    <w:p>
      <w:pPr>
        <w:pStyle w:val="3"/>
        <w:rPr>
          <w:rFonts w:ascii="仿宋_GB2312" w:eastAsia="仿宋_GB2312" w:cs="Arial"/>
          <w:color w:val="000000"/>
          <w:sz w:val="28"/>
          <w:szCs w:val="28"/>
        </w:rPr>
      </w:pPr>
      <w:bookmarkStart w:id="53" w:name="_Toc464510826"/>
      <w:r>
        <w:rPr>
          <w:rFonts w:hint="eastAsia" w:ascii="仿宋_GB2312" w:eastAsia="仿宋_GB2312" w:cs="Arial"/>
          <w:color w:val="000000"/>
          <w:sz w:val="28"/>
          <w:szCs w:val="28"/>
        </w:rPr>
        <w:t>7.1 道路交通安全技术措施</w:t>
      </w:r>
      <w:bookmarkEnd w:id="53"/>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1、道路交通安全设计技术</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通过设计来从源头上减少事故发生，是保障交通安全的最佳手段。道路交通安全设计技术包括道路线形设计、路面设计和安全设施设计。</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（1）道路线形设计要考虑线形与地区的土地利用相协调，同时要使道路线形连续、协调，并能满足施工、维修管理、经济、交通等各方面的要求。</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（2）为保证安全，路面设计应具有一定的平整度和粗糙程度。路面的平整度直接影响到行车平稳性、舒适性、轮胎磨损程度等；为防止产生汽车滑水现象，路面还需保持一定的粗糙度。</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（3）交通安全设施的设计应以《道路交通标志和标线》(GB 5768-1999)、交通部行业标准《高速公路交通安全设施设计施工技术规范》(JTJ 074-1994)为依据，设置完善的交通安全设施系统。</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2、道路交通安全监控与检测技术</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道路交通安全监控与检测技术分两大类，一类是基于事故避免的监控与检测技术，一类是基于维护和维修的检修与诊断技术。</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（1）基于事故避免的监控与检测技术。</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A、驾驶警报系统。由于驾驶员疲劳或注意力不集中而导致车辆发生事故的情况非常常见。为解决这一问题，可用监视转向盘输入和车辆位置的办法检查驾驶员状态，并通过“刺激”方法给予驾驶员警告，以便及时纠正驾驶员状态，减少事故发生。</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B、视觉增强系统。为使风窗玻璃在雨天保持良好清洁的视野，需采用降水防护薄膜等措施；为解决盲区视野问题，需在现有灯光系统上增加额外措施。</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C、汽车行驶记录仪。汽车行驶记录仪是安装在汽车上，记录、存储、显示、打印车辆运行速度、时间、里程以及有关车辆运行安全的其他状态信息的数字式电子记录装置。这些记录的信息在遏止疲劳驾驶、车辆超速等严重交通违法行为，预防道路交通事故，保障车辆行驶安全，提高营运管理水平等方面发挥着重要的作用，并将为事故分析鉴定提供原始数据。</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 xml:space="preserve">D、车辆导行系统。汽车导行系统是一种以GPS为基础的技术扩展。导行系统可根据驾驶员的目的地、交通密集程度及其他环境因素，通过信号站和卫星信号选择最佳交通路线，从而可提高交通运输效率、节约旅行时间，有益交通安全。 </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E、速度控制系统。为使行驶在同一条路线上的车辆始终保持一定距离，车辆应装有速度控制装置。该装置可调节车速，使跟随车辆始终与前面车辆保持正确的距离，以减轻驾驶员劳动强度并避免事故发生。</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（2）基于维护和维修的检测与诊断技术。</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汽车检测。汽车检测是对汽车技术状况和工作能力进行检查，目的是判别汽车技术状况是否处于规定水平，是否达到合格指标。检测内容包括：侧滑检验、制动检验、车速表检验、前照灯检验、噪声检验、CO检验、烟度检验等。</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3、道路交通事故救援技术</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道路交通事故救援包括事故调查和救护救援两部分。</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（1）交通事故调查包括事故的分类与等级划分、事故调查的目的、事故调查的方法、事故调查的内容四个部分。</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（2）事故的救护救援包括事故救援的组织、事故救援的设备、事故救援的程序等要素。</w:t>
      </w:r>
    </w:p>
    <w:p>
      <w:pPr>
        <w:pStyle w:val="3"/>
        <w:rPr>
          <w:rFonts w:ascii="仿宋_GB2312" w:eastAsia="仿宋_GB2312" w:cs="Arial"/>
          <w:color w:val="000000"/>
          <w:sz w:val="28"/>
          <w:szCs w:val="28"/>
        </w:rPr>
      </w:pPr>
      <w:bookmarkStart w:id="54" w:name="_Toc464510827"/>
      <w:r>
        <w:rPr>
          <w:rFonts w:hint="eastAsia" w:ascii="仿宋_GB2312" w:eastAsia="仿宋_GB2312" w:cs="Arial"/>
          <w:color w:val="000000"/>
          <w:sz w:val="28"/>
          <w:szCs w:val="28"/>
        </w:rPr>
        <w:t>7.2 道路交通安全管理</w:t>
      </w:r>
      <w:bookmarkEnd w:id="54"/>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1、道路的养护</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定期检查道路的负载能力、路面粗糙度、平整度等，对路基、路面应实行定期养护，以保持道路的安全要求。经常清扫路面，保持路面整洁；路基损坏、路面坍塌凹陷，应及时修复。</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2、安全设施的维护与管理</w:t>
      </w:r>
    </w:p>
    <w:p>
      <w:pPr>
        <w:spacing w:beforeLines="50" w:afterLines="50" w:line="54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道路安全设施应定期保养，及时修理和更换损坏部分。设施不全或没有设施的道路，应根据道路性质、技术等级和使用要求，有计划、有步骤地增设。如对护栏、交通标志、交通标线、隔离栅、防眩设施和视线诱导设施的维护与管理。除日常巡回检查外，还应进行定期检查，发现损坏松动的应予及时修复或更换。</w:t>
      </w:r>
    </w:p>
    <w:p>
      <w:pPr>
        <w:pStyle w:val="2"/>
        <w:spacing w:before="100" w:beforeAutospacing="1" w:after="100" w:afterAutospacing="1" w:line="360" w:lineRule="auto"/>
        <w:ind w:left="560"/>
        <w:jc w:val="center"/>
        <w:rPr>
          <w:rFonts w:ascii="仿宋_GB2312" w:eastAsia="仿宋_GB2312"/>
          <w:sz w:val="32"/>
          <w:szCs w:val="32"/>
        </w:rPr>
      </w:pPr>
      <w:bookmarkStart w:id="55" w:name="_Toc415647888"/>
      <w:bookmarkStart w:id="56" w:name="_Toc464510828"/>
      <w:r>
        <w:rPr>
          <w:rFonts w:hint="eastAsia" w:ascii="仿宋_GB2312" w:eastAsia="仿宋_GB2312"/>
          <w:sz w:val="32"/>
          <w:szCs w:val="32"/>
        </w:rPr>
        <w:t>第八章</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项目组织机构和管理</w:t>
      </w:r>
      <w:bookmarkEnd w:id="55"/>
      <w:bookmarkEnd w:id="56"/>
    </w:p>
    <w:p>
      <w:pPr>
        <w:pStyle w:val="3"/>
        <w:tabs>
          <w:tab w:val="left" w:pos="992"/>
        </w:tabs>
        <w:spacing w:beforeLines="50" w:afterLines="50" w:line="540" w:lineRule="exact"/>
        <w:jc w:val="left"/>
        <w:rPr>
          <w:rFonts w:ascii="仿宋_GB2312" w:eastAsia="仿宋_GB2312" w:cs="Arial"/>
          <w:sz w:val="28"/>
          <w:szCs w:val="28"/>
        </w:rPr>
      </w:pPr>
      <w:bookmarkStart w:id="57" w:name="_Toc464510829"/>
      <w:bookmarkStart w:id="58" w:name="_Toc369878304"/>
      <w:bookmarkStart w:id="59" w:name="_Toc415647889"/>
      <w:r>
        <w:rPr>
          <w:rFonts w:hint="eastAsia" w:ascii="仿宋_GB2312" w:eastAsia="仿宋_GB2312" w:cs="Arial"/>
          <w:color w:val="000000"/>
          <w:sz w:val="28"/>
          <w:szCs w:val="28"/>
        </w:rPr>
        <w:t>8.1</w:t>
      </w:r>
      <w:r>
        <w:rPr>
          <w:rFonts w:hint="eastAsia" w:ascii="仿宋_GB2312" w:eastAsia="仿宋_GB2312" w:cs="Arial"/>
          <w:sz w:val="28"/>
          <w:szCs w:val="28"/>
        </w:rPr>
        <w:t xml:space="preserve"> 组织机构</w:t>
      </w:r>
      <w:bookmarkEnd w:id="57"/>
      <w:bookmarkEnd w:id="58"/>
      <w:bookmarkEnd w:id="59"/>
    </w:p>
    <w:p>
      <w:pPr>
        <w:spacing w:line="360" w:lineRule="auto"/>
        <w:ind w:firstLine="560" w:firstLineChars="200"/>
        <w:rPr>
          <w:rFonts w:ascii="仿宋_GB2312" w:eastAsia="仿宋_GB2312"/>
          <w:sz w:val="28"/>
          <w:szCs w:val="28"/>
        </w:rPr>
      </w:pPr>
      <w:r>
        <w:rPr>
          <w:rFonts w:hint="eastAsia" w:ascii="仿宋_GB2312" w:hAnsi="宋体" w:eastAsia="仿宋_GB2312"/>
          <w:color w:val="000000"/>
          <w:sz w:val="28"/>
          <w:szCs w:val="28"/>
        </w:rPr>
        <w:t>桑浦山龙泉岩森林消防应急通道上山段（慈园路）工程</w:t>
      </w:r>
      <w:r>
        <w:rPr>
          <w:rFonts w:hint="eastAsia" w:ascii="仿宋_GB2312" w:eastAsia="仿宋_GB2312"/>
          <w:sz w:val="28"/>
          <w:szCs w:val="28"/>
        </w:rPr>
        <w:t>由汕头市政府作为项目业主，负责组织管理项目的统筹工作，并采用自管方式进行项目的具体实施。</w:t>
      </w:r>
    </w:p>
    <w:p>
      <w:pPr>
        <w:spacing w:line="360" w:lineRule="auto"/>
        <w:ind w:firstLine="560" w:firstLineChars="200"/>
        <w:rPr>
          <w:rFonts w:ascii="仿宋_GB2312" w:eastAsia="仿宋_GB2312"/>
          <w:sz w:val="28"/>
          <w:szCs w:val="28"/>
        </w:rPr>
      </w:pPr>
      <w:r>
        <w:rPr>
          <w:rFonts w:hint="eastAsia" w:ascii="仿宋_GB2312" w:eastAsia="仿宋_GB2312"/>
          <w:sz w:val="28"/>
          <w:szCs w:val="28"/>
        </w:rPr>
        <w:t>建设过程管理将以政府技术及管理部门为依托，按规划部门批准的规划方案落实整个项目建设过程(包含项目前期规划、筹备；项目报批、报建；项目设计、监理、施工等招投标；项目资金财政评审；施工组织、落实、管理；竣工验收等一系列项目实施的具体工作)。</w:t>
      </w:r>
    </w:p>
    <w:p>
      <w:pPr>
        <w:spacing w:line="360" w:lineRule="auto"/>
        <w:ind w:firstLine="560" w:firstLineChars="200"/>
        <w:rPr>
          <w:rFonts w:ascii="仿宋_GB2312" w:eastAsia="仿宋_GB2312"/>
          <w:sz w:val="28"/>
          <w:szCs w:val="28"/>
        </w:rPr>
      </w:pPr>
      <w:r>
        <w:rPr>
          <w:rFonts w:hint="eastAsia" w:ascii="仿宋_GB2312" w:eastAsia="仿宋_GB2312"/>
          <w:sz w:val="28"/>
          <w:szCs w:val="28"/>
        </w:rPr>
        <w:t>本项目主要由市政府履行项目建设过程中的实际建设工作。</w:t>
      </w:r>
    </w:p>
    <w:p>
      <w:pPr>
        <w:spacing w:line="360" w:lineRule="auto"/>
        <w:ind w:firstLine="560" w:firstLineChars="200"/>
        <w:rPr>
          <w:rFonts w:ascii="仿宋_GB2312" w:eastAsia="仿宋_GB2312"/>
          <w:sz w:val="28"/>
          <w:szCs w:val="28"/>
        </w:rPr>
      </w:pPr>
      <w:r>
        <w:rPr>
          <w:rFonts w:hint="eastAsia" w:ascii="仿宋_GB2312" w:eastAsia="仿宋_GB2312"/>
          <w:sz w:val="28"/>
          <w:szCs w:val="28"/>
        </w:rPr>
        <w:t>建设期组织架构见图8-1。</w:t>
      </w:r>
    </w:p>
    <w:p>
      <w:pPr>
        <w:snapToGrid w:val="0"/>
        <w:spacing w:line="360" w:lineRule="auto"/>
        <w:rPr>
          <w:rFonts w:ascii="仿宋_GB2312" w:eastAsia="仿宋_GB2312"/>
          <w:sz w:val="28"/>
        </w:rPr>
      </w:pPr>
      <w:r>
        <w:rPr>
          <w:rFonts w:ascii="仿宋_GB2312" w:eastAsia="仿宋_GB2312"/>
        </w:rPr>
        <w:pict>
          <v:group id="Group 4" o:spid="_x0000_s1081" o:spt="203" style="height:195.6pt;width:418.3pt;" coordsize="7398,4180">
            <o:lock v:ext="edit"/>
            <v:shape id="Picture 5" o:spid="_x0000_s1082" o:spt="75" type="#_x0000_t75" style="position:absolute;left:0;top:0;height:4180;width:7398;" filled="f" o:preferrelative="f" stroked="f" coordsize="21600,21600">
              <v:path/>
              <v:fill on="f" focussize="0,0"/>
              <v:stroke on="f" joinstyle="miter"/>
              <v:imagedata o:title=""/>
              <o:lock v:ext="edit" text="t" aspectratio="t"/>
            </v:shape>
            <v:shape id="Text Box 6" o:spid="_x0000_s1083" o:spt="202" type="#_x0000_t202" style="position:absolute;left:2540;top:1186;height:700;width:1963;v-text-anchor:middle-center;" fillcolor="#FE9578" filled="t" stroked="f" coordsize="21600,21600">
              <v:path/>
              <v:fill type="gradientRadial" on="t" color2="#FFFF00" focussize="0f,0f" focusposition="32768f,32768f">
                <o:fill type="gradientRadial" v:ext="backwardCompatible"/>
              </v:fill>
              <v:stroke on="f" joinstyle="miter"/>
              <v:imagedata o:title=""/>
              <o:lock v:ext="edit"/>
              <v:shadow on="t" type="double" color2="shadow add(102)" offset="-3pt,-3pt" offset2="-6pt,-6pt"/>
              <v:textbox inset="0mm,0mm,0mm,0mm">
                <w:txbxContent>
                  <w:p>
                    <w:pPr>
                      <w:autoSpaceDE w:val="0"/>
                      <w:autoSpaceDN w:val="0"/>
                      <w:adjustRightInd w:val="0"/>
                      <w:ind w:firstLine="293" w:firstLineChars="146"/>
                      <w:jc w:val="center"/>
                    </w:pPr>
                    <w:r>
                      <w:rPr>
                        <w:rFonts w:hint="eastAsia" w:ascii="仿宋_GB2312" w:eastAsia="仿宋_GB2312" w:cs="宋体"/>
                        <w:b/>
                        <w:bCs/>
                        <w:sz w:val="20"/>
                        <w:lang w:val="zh-CN"/>
                      </w:rPr>
                      <w:t>市政府管委会</w:t>
                    </w:r>
                  </w:p>
                </w:txbxContent>
              </v:textbox>
            </v:shape>
            <v:shape id="Text Box 7" o:spid="_x0000_s1084" o:spt="202" type="#_x0000_t202" style="position:absolute;left:4689;top:1090;height:922;width:2084;" fillcolor="#FF0000" filled="f" stroked="f" coordsize="21600,21600">
              <v:path/>
              <v:fill on="f" focussize="0,0"/>
              <v:stroke on="f" joinstyle="miter"/>
              <v:imagedata o:title=""/>
              <o:lock v:ext="edit"/>
              <v:textbox inset="0mm,0mm,0mm,0mm">
                <w:txbxContent>
                  <w:p>
                    <w:pPr>
                      <w:numPr>
                        <w:ilvl w:val="0"/>
                        <w:numId w:val="3"/>
                      </w:numPr>
                      <w:autoSpaceDE w:val="0"/>
                      <w:autoSpaceDN w:val="0"/>
                      <w:adjustRightInd w:val="0"/>
                      <w:rPr>
                        <w:rFonts w:ascii="仿宋_GB2312" w:eastAsia="仿宋_GB2312" w:cs="宋体"/>
                        <w:b/>
                        <w:bCs/>
                        <w:color w:val="0000FF"/>
                        <w:sz w:val="20"/>
                        <w:lang w:val="zh-CN"/>
                      </w:rPr>
                    </w:pPr>
                    <w:r>
                      <w:rPr>
                        <w:rFonts w:hint="eastAsia" w:ascii="仿宋_GB2312" w:eastAsia="仿宋_GB2312" w:cs="宋体"/>
                        <w:b/>
                        <w:bCs/>
                        <w:color w:val="0000FF"/>
                        <w:sz w:val="20"/>
                        <w:lang w:val="zh-CN"/>
                      </w:rPr>
                      <w:t>统筹管理项目决策</w:t>
                    </w:r>
                  </w:p>
                </w:txbxContent>
              </v:textbox>
            </v:shape>
            <v:shape id="Text Box 8" o:spid="_x0000_s1085" o:spt="202" type="#_x0000_t202" style="position:absolute;left:3003;top:2840;height:692;width:1319;v-text-anchor:middle-center;" fillcolor="#FFCC99" filled="t" stroked="t" coordsize="21600,21600">
              <v:path/>
              <v:fill on="t" focussize="0,0"/>
              <v:stroke color="#C0C0C0" joinstyle="miter"/>
              <v:imagedata o:title=""/>
              <o:lock v:ext="edit"/>
              <v:shadow on="t" type="double" color2="shadow add(102)" offset="-3pt,-3pt" offset2="-6pt,-6pt"/>
              <v:textbox inset="0mm,0mm,0mm,0mm">
                <w:txbxContent>
                  <w:p>
                    <w:pPr>
                      <w:autoSpaceDE w:val="0"/>
                      <w:autoSpaceDN w:val="0"/>
                      <w:adjustRightInd w:val="0"/>
                      <w:jc w:val="center"/>
                      <w:rPr>
                        <w:rFonts w:ascii="仿宋_GB2312" w:eastAsia="仿宋_GB2312" w:cs="宋体"/>
                        <w:b/>
                        <w:bCs/>
                        <w:sz w:val="20"/>
                        <w:lang w:val="zh-CN"/>
                      </w:rPr>
                    </w:pPr>
                    <w:r>
                      <w:rPr>
                        <w:rFonts w:hint="eastAsia" w:ascii="仿宋_GB2312" w:eastAsia="仿宋_GB2312" w:cs="宋体"/>
                        <w:b/>
                        <w:bCs/>
                        <w:sz w:val="20"/>
                        <w:lang w:val="zh-CN"/>
                      </w:rPr>
                      <w:t>施工单位</w:t>
                    </w:r>
                  </w:p>
                </w:txbxContent>
              </v:textbox>
            </v:shape>
            <v:shape id="Text Box 9" o:spid="_x0000_s1086" o:spt="202" type="#_x0000_t202" style="position:absolute;left:4605;top:2886;height:691;width:1269;v-text-anchor:middle-center;" fillcolor="#FFFF99" filled="t" stroked="t" coordsize="21600,21600">
              <v:path/>
              <v:fill on="t" focussize="0,0"/>
              <v:stroke color="#FFFF99" joinstyle="miter"/>
              <v:imagedata o:title=""/>
              <o:lock v:ext="edit"/>
              <v:shadow on="t" type="double" color2="shadow add(102)" offset="-3pt,-3pt" offset2="-6pt,-6pt"/>
              <v:textbox inset="0mm,0mm,0mm,0mm">
                <w:txbxContent>
                  <w:p>
                    <w:pPr>
                      <w:autoSpaceDE w:val="0"/>
                      <w:autoSpaceDN w:val="0"/>
                      <w:adjustRightInd w:val="0"/>
                      <w:jc w:val="center"/>
                      <w:rPr>
                        <w:rFonts w:ascii="仿宋_GB2312" w:eastAsia="仿宋_GB2312" w:cs="宋体"/>
                        <w:b/>
                        <w:bCs/>
                        <w:sz w:val="20"/>
                        <w:lang w:val="zh-CN"/>
                      </w:rPr>
                    </w:pPr>
                    <w:r>
                      <w:rPr>
                        <w:rFonts w:hint="eastAsia" w:ascii="仿宋_GB2312" w:eastAsia="仿宋_GB2312" w:cs="宋体"/>
                        <w:b/>
                        <w:bCs/>
                        <w:sz w:val="20"/>
                        <w:lang w:val="zh-CN"/>
                      </w:rPr>
                      <w:t>招标代理单位</w:t>
                    </w:r>
                  </w:p>
                </w:txbxContent>
              </v:textbox>
            </v:shape>
            <v:shape id="Text Box 10" o:spid="_x0000_s1087" o:spt="202" type="#_x0000_t202" style="position:absolute;left:0;top:2886;height:691;width:1269;v-text-anchor:middle-center;" fillcolor="#99CCFF" filled="t" stroked="f" coordsize="21600,21600">
              <v:path/>
              <v:fill type="gradient" on="t" color2="fill darken(118)" focussize="0f,0f" method="linear sigma" rotate="t"/>
              <v:stroke on="f" joinstyle="miter"/>
              <v:imagedata o:title=""/>
              <o:lock v:ext="edit"/>
              <v:shadow on="t" type="double" color2="shadow add(102)" offset="-3pt,-3pt" offset2="-6pt,-6pt"/>
              <v:textbox inset="0mm,0mm,0mm,0mm">
                <w:txbxContent>
                  <w:p>
                    <w:pPr>
                      <w:autoSpaceDE w:val="0"/>
                      <w:autoSpaceDN w:val="0"/>
                      <w:adjustRightInd w:val="0"/>
                      <w:jc w:val="center"/>
                      <w:rPr>
                        <w:rFonts w:ascii="仿宋_GB2312" w:eastAsia="仿宋_GB2312" w:cs="宋体"/>
                        <w:b/>
                        <w:bCs/>
                        <w:sz w:val="20"/>
                        <w:lang w:val="zh-CN"/>
                      </w:rPr>
                    </w:pPr>
                    <w:r>
                      <w:rPr>
                        <w:rFonts w:hint="eastAsia" w:ascii="仿宋_GB2312" w:eastAsia="仿宋_GB2312" w:cs="宋体"/>
                        <w:b/>
                        <w:bCs/>
                        <w:sz w:val="20"/>
                        <w:lang w:val="zh-CN"/>
                      </w:rPr>
                      <w:t>设计单位</w:t>
                    </w:r>
                  </w:p>
                </w:txbxContent>
              </v:textbox>
            </v:shape>
            <v:shape id="Text Box 11" o:spid="_x0000_s1088" o:spt="202" type="#_x0000_t202" style="position:absolute;left:1524;top:2840;height:691;width:1268;v-text-anchor:middle-center;" fillcolor="#00FFFF" filled="t" stroked="f" coordsize="21600,21600">
              <v:path/>
              <v:fill on="t" focussize="0,0"/>
              <v:stroke on="f" joinstyle="miter"/>
              <v:imagedata o:title=""/>
              <o:lock v:ext="edit"/>
              <v:shadow on="t" type="double" color2="shadow add(102)" offset="-3pt,-3pt" offset2="-6pt,-6pt"/>
              <v:textbox inset="0mm,0mm,0mm,0mm">
                <w:txbxContent>
                  <w:p>
                    <w:pPr>
                      <w:autoSpaceDE w:val="0"/>
                      <w:autoSpaceDN w:val="0"/>
                      <w:adjustRightInd w:val="0"/>
                      <w:jc w:val="center"/>
                      <w:rPr>
                        <w:rFonts w:ascii="仿宋_GB2312" w:eastAsia="仿宋_GB2312" w:cs="宋体"/>
                        <w:b/>
                        <w:bCs/>
                        <w:sz w:val="20"/>
                        <w:lang w:val="zh-CN"/>
                      </w:rPr>
                    </w:pPr>
                    <w:r>
                      <w:rPr>
                        <w:rFonts w:hint="eastAsia" w:ascii="仿宋_GB2312" w:eastAsia="仿宋_GB2312" w:cs="宋体"/>
                        <w:b/>
                        <w:bCs/>
                        <w:sz w:val="20"/>
                        <w:lang w:val="zh-CN"/>
                      </w:rPr>
                      <w:t>监理单位</w:t>
                    </w:r>
                  </w:p>
                </w:txbxContent>
              </v:textbox>
            </v:shape>
            <v:line id="Line 12" o:spid="_x0000_s1089" o:spt="20" style="position:absolute;left:3551;top:1886;height:600;width:1;" coordsize="21600,21600">
              <v:path arrowok="t"/>
              <v:fill focussize="0,0"/>
              <v:stroke/>
              <v:imagedata o:title=""/>
              <o:lock v:ext="edit"/>
            </v:line>
            <v:line id="Line 13" o:spid="_x0000_s1090" o:spt="20" style="position:absolute;left:577;top:2486;flip:y;height:400;width:0;" coordsize="21600,21600">
              <v:path arrowok="t"/>
              <v:fill focussize="0,0"/>
              <v:stroke/>
              <v:imagedata o:title=""/>
              <o:lock v:ext="edit"/>
            </v:line>
            <v:line id="Line 14" o:spid="_x0000_s1091" o:spt="20" style="position:absolute;left:577;top:2486;height:0;width:6350;" coordsize="21600,21600">
              <v:path arrowok="t"/>
              <v:fill focussize="0,0"/>
              <v:stroke/>
              <v:imagedata o:title=""/>
              <o:lock v:ext="edit"/>
            </v:line>
            <v:line id="Line 15" o:spid="_x0000_s1092" o:spt="20" style="position:absolute;left:4875;top:2486;flip:y;height:400;width:1;" coordsize="21600,21600">
              <v:path arrowok="t"/>
              <v:fill focussize="0,0"/>
              <v:stroke/>
              <v:imagedata o:title=""/>
              <o:lock v:ext="edit"/>
            </v:line>
            <v:line id="Line 16" o:spid="_x0000_s1093" o:spt="20" style="position:absolute;left:6930;top:2486;flip:y;height:400;width:0;" coordsize="21600,21600">
              <v:path arrowok="t"/>
              <v:fill focussize="0,0"/>
              <v:stroke/>
              <v:imagedata o:title=""/>
              <o:lock v:ext="edit"/>
            </v:line>
            <v:line id="Line 17" o:spid="_x0000_s1094" o:spt="20" style="position:absolute;left:3550;top:2423;height:393;width:1;" coordsize="21600,21600">
              <v:path arrowok="t"/>
              <v:fill focussize="0,0"/>
              <v:stroke/>
              <v:imagedata o:title=""/>
              <o:lock v:ext="edit"/>
            </v:line>
            <v:shape id="Text Box 18" o:spid="_x0000_s1095" o:spt="202" type="#_x0000_t202" style="position:absolute;left:6129;top:2840;height:692;width:1269;v-text-anchor:middle-center;" fillcolor="#808000" filled="t" stroked="t" coordsize="21600,21600">
              <v:path/>
              <v:fill on="t" focussize="0,0"/>
              <v:stroke color="#808000" joinstyle="miter"/>
              <v:imagedata o:title=""/>
              <o:lock v:ext="edit"/>
              <v:shadow on="t" type="double" color2="shadow add(102)" offset="-3pt,-3pt" offset2="-6pt,-6pt"/>
              <v:textbox inset="0mm,0mm,0mm,0mm">
                <w:txbxContent>
                  <w:p>
                    <w:pPr>
                      <w:autoSpaceDE w:val="0"/>
                      <w:autoSpaceDN w:val="0"/>
                      <w:adjustRightInd w:val="0"/>
                      <w:jc w:val="center"/>
                      <w:rPr>
                        <w:rFonts w:ascii="仿宋_GB2312" w:eastAsia="仿宋_GB2312" w:cs="宋体"/>
                        <w:b/>
                        <w:bCs/>
                        <w:sz w:val="20"/>
                        <w:lang w:val="zh-CN"/>
                      </w:rPr>
                    </w:pPr>
                    <w:r>
                      <w:rPr>
                        <w:rFonts w:hint="eastAsia" w:ascii="仿宋_GB2312" w:eastAsia="仿宋_GB2312" w:cs="宋体"/>
                        <w:b/>
                        <w:bCs/>
                        <w:sz w:val="20"/>
                        <w:lang w:val="zh-CN"/>
                      </w:rPr>
                      <w:t>造价咨询单位</w:t>
                    </w:r>
                  </w:p>
                </w:txbxContent>
              </v:textbox>
            </v:shape>
            <v:line id="Line 19" o:spid="_x0000_s1096" o:spt="20" style="position:absolute;left:2215;top:2486;flip:y;height:400;width:1;" coordsize="21600,21600">
              <v:path arrowok="t"/>
              <v:fill focussize="0,0"/>
              <v:stroke/>
              <v:imagedata o:title=""/>
              <o:lock v:ext="edit"/>
            </v:line>
            <w10:wrap type="none"/>
            <w10:anchorlock/>
          </v:group>
        </w:pict>
      </w:r>
    </w:p>
    <w:p>
      <w:pPr>
        <w:spacing w:line="360" w:lineRule="auto"/>
        <w:jc w:val="center"/>
        <w:rPr>
          <w:rFonts w:ascii="仿宋_GB2312" w:hAnsi="宋体" w:eastAsia="仿宋_GB2312"/>
          <w:b/>
          <w:sz w:val="24"/>
        </w:rPr>
      </w:pPr>
      <w:r>
        <w:rPr>
          <w:rFonts w:hint="eastAsia" w:ascii="仿宋_GB2312" w:hAnsi="宋体" w:eastAsia="仿宋_GB2312"/>
          <w:b/>
          <w:sz w:val="24"/>
        </w:rPr>
        <w:t>附图8-1 项目建设期组织架构</w:t>
      </w:r>
    </w:p>
    <w:p>
      <w:pPr>
        <w:pStyle w:val="3"/>
        <w:tabs>
          <w:tab w:val="left" w:pos="992"/>
        </w:tabs>
        <w:spacing w:beforeLines="50" w:afterLines="50" w:line="540" w:lineRule="exact"/>
        <w:jc w:val="left"/>
        <w:rPr>
          <w:rFonts w:ascii="仿宋_GB2312" w:eastAsia="仿宋_GB2312" w:cs="Arial"/>
          <w:sz w:val="28"/>
          <w:szCs w:val="28"/>
        </w:rPr>
      </w:pPr>
      <w:bookmarkStart w:id="60" w:name="_Toc415647890"/>
      <w:bookmarkStart w:id="61" w:name="_Toc369878305"/>
      <w:bookmarkStart w:id="62" w:name="_Toc464510830"/>
      <w:r>
        <w:rPr>
          <w:rFonts w:hint="eastAsia" w:ascii="仿宋_GB2312" w:eastAsia="仿宋_GB2312" w:cs="Arial"/>
          <w:color w:val="000000"/>
          <w:sz w:val="28"/>
          <w:szCs w:val="28"/>
        </w:rPr>
        <w:t>8.2</w:t>
      </w:r>
      <w:r>
        <w:rPr>
          <w:rFonts w:hint="eastAsia" w:ascii="仿宋_GB2312" w:eastAsia="仿宋_GB2312" w:cs="Arial"/>
          <w:sz w:val="28"/>
          <w:szCs w:val="28"/>
        </w:rPr>
        <w:t xml:space="preserve"> 人力资源配置</w:t>
      </w:r>
      <w:bookmarkEnd w:id="60"/>
      <w:bookmarkEnd w:id="61"/>
      <w:bookmarkEnd w:id="62"/>
    </w:p>
    <w:p>
      <w:pPr>
        <w:spacing w:beforeLines="50" w:afterLines="50" w:line="540" w:lineRule="exact"/>
        <w:ind w:firstLine="560" w:firstLineChars="200"/>
        <w:rPr>
          <w:rFonts w:ascii="仿宋_GB2312" w:hAnsi="宋体" w:eastAsia="仿宋_GB2312"/>
          <w:sz w:val="28"/>
          <w:szCs w:val="28"/>
        </w:rPr>
        <w:sectPr>
          <w:pgSz w:w="11906" w:h="16838"/>
          <w:pgMar w:top="1440" w:right="1800" w:bottom="1440" w:left="1800" w:header="851" w:footer="840" w:gutter="0"/>
          <w:cols w:space="425" w:num="1"/>
          <w:docGrid w:type="lines" w:linePitch="312" w:charSpace="0"/>
        </w:sectPr>
      </w:pPr>
      <w:r>
        <w:rPr>
          <w:rFonts w:hint="eastAsia" w:ascii="仿宋_GB2312" w:hAnsi="宋体" w:eastAsia="仿宋_GB2312"/>
          <w:sz w:val="28"/>
          <w:szCs w:val="28"/>
        </w:rPr>
        <w:t>本项目建成后，直接交付相关部门进行运营管理，故本报告中不对后续运营的人员定额进行配置。</w:t>
      </w:r>
    </w:p>
    <w:p>
      <w:pPr>
        <w:pStyle w:val="2"/>
        <w:jc w:val="center"/>
        <w:rPr>
          <w:rFonts w:ascii="仿宋_GB2312" w:eastAsia="仿宋_GB2312"/>
          <w:color w:val="000000"/>
          <w:sz w:val="32"/>
          <w:szCs w:val="32"/>
        </w:rPr>
      </w:pPr>
      <w:bookmarkStart w:id="63" w:name="_Toc464510831"/>
      <w:r>
        <w:rPr>
          <w:rFonts w:hint="eastAsia" w:ascii="仿宋_GB2312" w:eastAsia="仿宋_GB2312"/>
          <w:color w:val="000000"/>
          <w:sz w:val="32"/>
          <w:szCs w:val="32"/>
        </w:rPr>
        <w:t>第九章  建设进度计划与招投标</w:t>
      </w:r>
      <w:bookmarkEnd w:id="63"/>
    </w:p>
    <w:p>
      <w:pPr>
        <w:pStyle w:val="3"/>
        <w:rPr>
          <w:rFonts w:ascii="仿宋_GB2312" w:eastAsia="仿宋_GB2312" w:cs="Arial"/>
          <w:color w:val="000000"/>
          <w:sz w:val="28"/>
          <w:szCs w:val="28"/>
        </w:rPr>
      </w:pPr>
      <w:bookmarkStart w:id="64" w:name="_Toc464510832"/>
      <w:r>
        <w:rPr>
          <w:rFonts w:hint="eastAsia" w:ascii="仿宋_GB2312" w:eastAsia="仿宋_GB2312" w:cs="Arial"/>
          <w:color w:val="000000"/>
          <w:sz w:val="28"/>
          <w:szCs w:val="28"/>
        </w:rPr>
        <w:t>9.1 建设进度</w:t>
      </w:r>
      <w:bookmarkEnd w:id="64"/>
    </w:p>
    <w:p>
      <w:pPr>
        <w:spacing w:beforeLines="50" w:afterLines="50" w:line="360" w:lineRule="auto"/>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鉴于项目的实际需求，根据项目的建设规模与建设难度，项目实施的总跨度为10个月。为使各方工作能顺利进行，项目建设的各个期间把握好进度节奏，使建设项目高质量高效率完成。</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考虑到实际情况，项目拟分期实施，工程建设工期为10月，从2016年9月至2017年6月；通车试运行为1个月。</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 xml:space="preserve">1、2016年10月完成项目前期工作； </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2、2016年11月完成勘察设计工作；</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3、2016年12月完成招投标及开工前准备</w:t>
      </w:r>
      <w:r>
        <w:rPr>
          <w:rFonts w:hint="eastAsia" w:ascii="仿宋_GB2312" w:hAnsi="Arial" w:eastAsia="仿宋_GB2312"/>
          <w:color w:val="000000"/>
          <w:sz w:val="28"/>
          <w:szCs w:val="28"/>
          <w:lang w:eastAsia="zh-CN"/>
        </w:rPr>
        <w:t>，并正式开工</w:t>
      </w:r>
      <w:r>
        <w:rPr>
          <w:rFonts w:hint="eastAsia" w:ascii="仿宋_GB2312" w:hAnsi="Arial" w:eastAsia="仿宋_GB2312"/>
          <w:color w:val="000000"/>
          <w:sz w:val="28"/>
          <w:szCs w:val="28"/>
        </w:rPr>
        <w:t>；</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4、2017年5月完成工程施工；</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 xml:space="preserve">5、2017年6月进行竣工验收及通车试运行； </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建设进度计划详见下表9-1。</w:t>
      </w:r>
    </w:p>
    <w:p>
      <w:pPr>
        <w:spacing w:beforeLines="50" w:afterLines="50" w:line="540" w:lineRule="exact"/>
        <w:ind w:firstLine="480" w:firstLineChars="200"/>
        <w:rPr>
          <w:rFonts w:ascii="仿宋_GB2312" w:hAnsi="Arial" w:eastAsia="仿宋_GB2312"/>
          <w:color w:val="FF0000"/>
          <w:sz w:val="24"/>
        </w:rPr>
        <w:sectPr>
          <w:pgSz w:w="11906" w:h="16838"/>
          <w:pgMar w:top="1440" w:right="1800" w:bottom="1440" w:left="1800" w:header="851" w:footer="840" w:gutter="0"/>
          <w:cols w:space="425" w:num="1"/>
          <w:docGrid w:type="lines" w:linePitch="312" w:charSpace="0"/>
        </w:sectPr>
      </w:pPr>
    </w:p>
    <w:p>
      <w:pPr>
        <w:pStyle w:val="40"/>
        <w:snapToGrid w:val="0"/>
        <w:ind w:firstLine="1407" w:firstLineChars="584"/>
        <w:jc w:val="center"/>
        <w:rPr>
          <w:rFonts w:hint="eastAsia" w:ascii="仿宋_GB2312" w:hAnsi="宋体" w:eastAsia="仿宋_GB2312"/>
          <w:b/>
          <w:kern w:val="0"/>
          <w:szCs w:val="24"/>
        </w:rPr>
      </w:pPr>
      <w:r>
        <w:rPr>
          <w:rFonts w:hint="eastAsia" w:ascii="仿宋_GB2312" w:hAnsi="宋体" w:eastAsia="仿宋_GB2312"/>
          <w:b/>
          <w:kern w:val="0"/>
          <w:szCs w:val="24"/>
        </w:rPr>
        <w:t>施工进度计划表</w:t>
      </w:r>
    </w:p>
    <w:tbl>
      <w:tblPr>
        <w:tblStyle w:val="28"/>
        <w:tblW w:w="12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3214"/>
        <w:gridCol w:w="851"/>
        <w:gridCol w:w="851"/>
        <w:gridCol w:w="851"/>
        <w:gridCol w:w="851"/>
        <w:gridCol w:w="851"/>
        <w:gridCol w:w="851"/>
        <w:gridCol w:w="851"/>
        <w:gridCol w:w="851"/>
        <w:gridCol w:w="851"/>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15"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rPr>
            </w:pPr>
            <w:r>
              <w:rPr>
                <w:rFonts w:hint="eastAsia" w:ascii="仿宋_GB2312" w:eastAsia="仿宋_GB2312"/>
                <w:color w:val="000000"/>
                <w:sz w:val="24"/>
              </w:rPr>
              <w:t xml:space="preserve">     表9-1 </w:t>
            </w:r>
            <w:r>
              <w:rPr>
                <w:rFonts w:hint="eastAsia" w:ascii="仿宋_GB2312" w:hAnsi="宋体" w:eastAsia="仿宋_GB2312" w:cs="宋体"/>
                <w:kern w:val="0"/>
                <w:sz w:val="24"/>
              </w:rPr>
              <w:t>序号</w:t>
            </w:r>
          </w:p>
        </w:tc>
        <w:tc>
          <w:tcPr>
            <w:tcW w:w="321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项目名称</w:t>
            </w:r>
          </w:p>
        </w:tc>
        <w:tc>
          <w:tcPr>
            <w:tcW w:w="3404"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2016</w:t>
            </w:r>
          </w:p>
        </w:tc>
        <w:tc>
          <w:tcPr>
            <w:tcW w:w="5106" w:type="dxa"/>
            <w:gridSpan w:val="6"/>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15"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3214"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9</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10</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11</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12</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1</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2</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3</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4</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5</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jc w:val="center"/>
        </w:trPr>
        <w:tc>
          <w:tcPr>
            <w:tcW w:w="915"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3214"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前期工作阶段</w:t>
            </w: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jc w:val="center"/>
        </w:trPr>
        <w:tc>
          <w:tcPr>
            <w:tcW w:w="915"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w:t>
            </w:r>
          </w:p>
        </w:tc>
        <w:tc>
          <w:tcPr>
            <w:tcW w:w="3214"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勘察设计阶段</w:t>
            </w: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pict>
                <v:shape id="AutoShape 29" o:spid="_x0000_s1062" o:spt="32" type="#_x0000_t32" style="position:absolute;left:0pt;margin-left:-6pt;margin-top:17.45pt;height:0pt;width:42.15pt;z-index:251655168;mso-width-relative:page;mso-height-relative:page;" o:connectortype="straight" filled="f" coordsize="21600,21600">
                  <v:path arrowok="t"/>
                  <v:fill on="f" focussize="0,0"/>
                  <v:stroke weight="3.5pt"/>
                  <v:imagedata o:title=""/>
                  <o:lock v:ext="edit"/>
                  <w10:anchorlock/>
                </v:shape>
              </w:pict>
            </w: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jc w:val="center"/>
        </w:trPr>
        <w:tc>
          <w:tcPr>
            <w:tcW w:w="915"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pict>
                <v:shape id="AutoShape 28" o:spid="_x0000_s1061" o:spt="32" type="#_x0000_t32" style="position:absolute;left:0pt;margin-left:201.45pt;margin-top:-49.35pt;height:0pt;width:83.95pt;z-index:251654144;mso-width-relative:page;mso-height-relative:page;" o:connectortype="straight" filled="f" coordsize="21600,21600">
                  <v:path arrowok="t"/>
                  <v:fill on="f" focussize="0,0"/>
                  <v:stroke weight="3.5pt"/>
                  <v:imagedata o:title=""/>
                  <o:lock v:ext="edit"/>
                  <w10:anchorlock/>
                </v:shape>
              </w:pict>
            </w:r>
            <w:r>
              <w:rPr>
                <w:rFonts w:hint="eastAsia" w:ascii="仿宋_GB2312" w:hAnsi="宋体" w:eastAsia="仿宋_GB2312" w:cs="宋体"/>
                <w:kern w:val="0"/>
                <w:sz w:val="24"/>
              </w:rPr>
              <w:t>3</w:t>
            </w:r>
          </w:p>
        </w:tc>
        <w:tc>
          <w:tcPr>
            <w:tcW w:w="3214"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招标及开工前准备阶段</w:t>
            </w: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pict>
                <v:shape id="AutoShape 30" o:spid="_x0000_s1063" o:spt="32" type="#_x0000_t32" style="position:absolute;left:0pt;margin-left:-5.85pt;margin-top:18.75pt;height:0.05pt;width:41.5pt;z-index:251656192;mso-width-relative:page;mso-height-relative:page;" o:connectortype="straight" filled="f" coordsize="21600,21600">
                  <v:path arrowok="t"/>
                  <v:fill on="f" focussize="0,0"/>
                  <v:stroke weight="3.5pt"/>
                  <v:imagedata o:title=""/>
                  <o:lock v:ext="edit"/>
                  <w10:anchorlock/>
                </v:shape>
              </w:pict>
            </w: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jc w:val="center"/>
        </w:trPr>
        <w:tc>
          <w:tcPr>
            <w:tcW w:w="915"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3214"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施工建设阶段</w:t>
            </w: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pict>
                <v:shape id="AutoShape 31" o:spid="_x0000_s1064" o:spt="32" type="#_x0000_t32" style="position:absolute;left:0pt;margin-left:-11.3pt;margin-top:15.15pt;height:1.35pt;width:219.5pt;z-index:251657216;mso-width-relative:page;mso-height-relative:page;" filled="f" stroked="t" coordsize="21600,21600">
                  <v:path arrowok="t"/>
                  <v:fill on="f" focussize="0,0"/>
                  <v:stroke weight="3.5pt" color="#000000"/>
                  <v:imagedata o:title=""/>
                  <o:lock v:ext="edit" aspectratio="f"/>
                  <w10:anchorlock/>
                </v:shape>
              </w:pict>
            </w: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jc w:val="center"/>
        </w:trPr>
        <w:tc>
          <w:tcPr>
            <w:tcW w:w="915"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5</w:t>
            </w:r>
          </w:p>
        </w:tc>
        <w:tc>
          <w:tcPr>
            <w:tcW w:w="3214"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项目竣工验收阶段及试通车</w:t>
            </w: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pict>
                <v:shape id="AutoShape 32" o:spid="_x0000_s1065" o:spt="32" type="#_x0000_t32" style="position:absolute;left:0pt;margin-left:80.9pt;margin-top:14.8pt;height:0.05pt;width:41.1pt;z-index:251658240;mso-width-relative:page;mso-height-relative:page;" o:connectortype="straight" filled="f" coordsize="21600,21600">
                  <v:path arrowok="t"/>
                  <v:fill on="f" focussize="0,0"/>
                  <v:stroke weight="3.5pt"/>
                  <v:imagedata o:title=""/>
                  <o:lock v:ext="edit"/>
                  <w10:anchorlock/>
                </v:shape>
              </w:pict>
            </w: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851" w:type="dxa"/>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kern w:val="0"/>
                <w:sz w:val="24"/>
              </w:rPr>
            </w:pPr>
          </w:p>
        </w:tc>
      </w:tr>
    </w:tbl>
    <w:p>
      <w:pPr>
        <w:pStyle w:val="40"/>
        <w:ind w:firstLine="0"/>
        <w:jc w:val="center"/>
        <w:rPr>
          <w:rFonts w:ascii="仿宋_GB2312" w:eastAsia="仿宋_GB2312"/>
          <w:sz w:val="28"/>
          <w:szCs w:val="28"/>
        </w:rPr>
      </w:pPr>
      <w:r>
        <w:rPr>
          <w:rFonts w:hint="eastAsia" w:ascii="仿宋_GB2312" w:eastAsia="仿宋_GB2312"/>
          <w:sz w:val="28"/>
          <w:szCs w:val="28"/>
        </w:rPr>
        <w:tab/>
      </w:r>
    </w:p>
    <w:p>
      <w:pPr>
        <w:spacing w:beforeLines="50" w:afterLines="50" w:line="540" w:lineRule="exact"/>
        <w:rPr>
          <w:rFonts w:ascii="仿宋_GB2312" w:eastAsia="仿宋_GB2312"/>
          <w:color w:val="FF0000"/>
        </w:rPr>
      </w:pPr>
    </w:p>
    <w:p>
      <w:pPr>
        <w:pStyle w:val="3"/>
        <w:spacing w:line="520" w:lineRule="exact"/>
        <w:rPr>
          <w:rFonts w:ascii="仿宋_GB2312" w:eastAsia="仿宋_GB2312" w:cs="Arial"/>
          <w:i/>
          <w:color w:val="FF0000"/>
          <w:sz w:val="28"/>
          <w:szCs w:val="28"/>
        </w:rPr>
        <w:sectPr>
          <w:pgSz w:w="16838" w:h="11906" w:orient="landscape"/>
          <w:pgMar w:top="1797" w:right="1440" w:bottom="1797" w:left="1440" w:header="1160" w:footer="1180" w:gutter="0"/>
          <w:cols w:space="425" w:num="1"/>
          <w:docGrid w:type="linesAndChars" w:linePitch="312" w:charSpace="0"/>
        </w:sectPr>
      </w:pPr>
    </w:p>
    <w:p>
      <w:pPr>
        <w:pStyle w:val="3"/>
        <w:rPr>
          <w:rFonts w:ascii="仿宋_GB2312" w:eastAsia="仿宋_GB2312" w:cs="Arial"/>
          <w:color w:val="000000"/>
          <w:sz w:val="28"/>
          <w:szCs w:val="28"/>
        </w:rPr>
      </w:pPr>
      <w:bookmarkStart w:id="65" w:name="_Toc464510833"/>
      <w:r>
        <w:rPr>
          <w:rFonts w:hint="eastAsia" w:ascii="仿宋_GB2312" w:eastAsia="仿宋_GB2312" w:cs="Arial"/>
          <w:color w:val="000000"/>
          <w:sz w:val="28"/>
          <w:szCs w:val="28"/>
        </w:rPr>
        <w:t>9.2 招投标</w:t>
      </w:r>
      <w:bookmarkEnd w:id="65"/>
    </w:p>
    <w:p>
      <w:pPr>
        <w:spacing w:beforeLines="50" w:afterLines="50" w:line="540" w:lineRule="exact"/>
        <w:ind w:left="426" w:hanging="426" w:hangingChars="152"/>
        <w:rPr>
          <w:rFonts w:ascii="仿宋_GB2312" w:hAnsi="Arial" w:eastAsia="仿宋_GB2312" w:cs="Arial"/>
          <w:bCs/>
          <w:color w:val="000000"/>
          <w:sz w:val="28"/>
          <w:szCs w:val="28"/>
        </w:rPr>
      </w:pPr>
      <w:bookmarkStart w:id="66" w:name="_Toc216020237"/>
      <w:bookmarkStart w:id="67" w:name="_Toc217104202"/>
      <w:r>
        <w:rPr>
          <w:rFonts w:hint="eastAsia" w:ascii="仿宋_GB2312" w:hAnsi="Arial" w:eastAsia="仿宋_GB2312" w:cs="Arial"/>
          <w:bCs/>
          <w:color w:val="000000"/>
          <w:sz w:val="28"/>
          <w:szCs w:val="28"/>
        </w:rPr>
        <w:t>9.2.1 项目招标的主要依据</w:t>
      </w:r>
    </w:p>
    <w:p>
      <w:pPr>
        <w:spacing w:beforeLines="50" w:afterLines="50" w:line="540" w:lineRule="exact"/>
        <w:rPr>
          <w:rFonts w:ascii="仿宋_GB2312" w:hAnsi="Arial" w:eastAsia="仿宋_GB2312" w:cs="Arial"/>
          <w:bCs/>
          <w:color w:val="000000"/>
          <w:sz w:val="28"/>
          <w:szCs w:val="28"/>
        </w:rPr>
      </w:pP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1、《中华人民共和国招标投标法》；</w:t>
      </w:r>
    </w:p>
    <w:p>
      <w:pPr>
        <w:spacing w:beforeLines="50" w:afterLines="50" w:line="540" w:lineRule="exact"/>
        <w:ind w:left="424" w:leftChars="202"/>
        <w:rPr>
          <w:rFonts w:ascii="仿宋_GB2312" w:hAnsi="Arial" w:eastAsia="仿宋_GB2312" w:cs="Arial"/>
          <w:bCs/>
          <w:color w:val="000000"/>
          <w:sz w:val="28"/>
          <w:szCs w:val="28"/>
        </w:rPr>
      </w:pP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2、广东省实施《中华人民共和国招标投标法》办法；</w:t>
      </w:r>
    </w:p>
    <w:p>
      <w:pPr>
        <w:spacing w:beforeLines="50" w:afterLines="50" w:line="540" w:lineRule="exact"/>
        <w:ind w:left="424" w:leftChars="202"/>
        <w:rPr>
          <w:rFonts w:ascii="仿宋_GB2312" w:hAnsi="Arial" w:eastAsia="仿宋_GB2312" w:cs="Arial"/>
          <w:bCs/>
          <w:color w:val="000000"/>
          <w:sz w:val="28"/>
          <w:szCs w:val="28"/>
        </w:rPr>
      </w:pP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3、工程建设项目勘察设计招标投标法办法；</w:t>
      </w:r>
    </w:p>
    <w:p>
      <w:pPr>
        <w:spacing w:beforeLines="50" w:afterLines="50" w:line="540" w:lineRule="exact"/>
        <w:ind w:left="4" w:leftChars="0" w:firstLine="420" w:firstLineChars="150"/>
        <w:rPr>
          <w:rFonts w:ascii="仿宋_GB2312" w:hAnsi="Arial" w:eastAsia="仿宋_GB2312" w:cs="Arial"/>
          <w:bCs/>
          <w:color w:val="000000"/>
          <w:sz w:val="28"/>
          <w:szCs w:val="28"/>
        </w:rPr>
      </w:pP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4、《工程建设项目可行性研究报告增加招标内容和核准招标事项暂行规定》；</w:t>
      </w:r>
    </w:p>
    <w:p>
      <w:pPr>
        <w:spacing w:beforeLines="50" w:afterLines="50" w:line="540" w:lineRule="exact"/>
        <w:ind w:left="424" w:leftChars="202"/>
        <w:rPr>
          <w:rFonts w:ascii="仿宋_GB2312" w:hAnsi="Arial" w:eastAsia="仿宋_GB2312" w:cs="Arial"/>
          <w:bCs/>
          <w:color w:val="000000"/>
          <w:sz w:val="28"/>
          <w:szCs w:val="28"/>
        </w:rPr>
      </w:pP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5、其他有关招标投标事项的规定。</w:t>
      </w:r>
    </w:p>
    <w:p>
      <w:pPr>
        <w:spacing w:beforeLines="50" w:afterLines="50" w:line="540" w:lineRule="exact"/>
        <w:ind w:left="426" w:hanging="426" w:hangingChars="15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9.2.2</w:t>
      </w: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招标的范围</w:t>
      </w:r>
    </w:p>
    <w:p>
      <w:pPr>
        <w:spacing w:beforeLines="50" w:afterLines="50" w:line="540" w:lineRule="exact"/>
        <w:ind w:firstLine="426" w:firstLineChars="152"/>
        <w:rPr>
          <w:rFonts w:ascii="仿宋_GB2312" w:hAnsi="Arial" w:eastAsia="仿宋_GB2312" w:cs="Arial"/>
          <w:bCs/>
          <w:color w:val="000000"/>
          <w:sz w:val="28"/>
          <w:szCs w:val="28"/>
        </w:rPr>
      </w:pP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项目的招标范围为勘察设计招标、施工招标、监理招标、设备采购招标。</w:t>
      </w:r>
    </w:p>
    <w:p>
      <w:pPr>
        <w:spacing w:beforeLines="50" w:afterLines="50" w:line="540" w:lineRule="exact"/>
        <w:ind w:left="426" w:hanging="426" w:hangingChars="15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9.2.3 项目招标的组织形式</w:t>
      </w:r>
    </w:p>
    <w:p>
      <w:pPr>
        <w:spacing w:beforeLines="50" w:afterLines="50" w:line="540" w:lineRule="exact"/>
        <w:ind w:firstLine="426" w:firstLineChars="152"/>
        <w:rPr>
          <w:rFonts w:ascii="仿宋_GB2312" w:hAnsi="Arial" w:eastAsia="仿宋_GB2312" w:cs="Arial"/>
          <w:bCs/>
          <w:color w:val="000000"/>
          <w:sz w:val="28"/>
          <w:szCs w:val="28"/>
        </w:rPr>
      </w:pP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委托招标，不采用自行招标。项目招标拟委托有资质的中介机构进行招标。</w:t>
      </w:r>
    </w:p>
    <w:p>
      <w:pPr>
        <w:spacing w:beforeLines="50" w:afterLines="50" w:line="540" w:lineRule="exact"/>
        <w:ind w:left="426" w:hanging="426" w:hangingChars="15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9.2.4 项目招标的方式</w:t>
      </w:r>
    </w:p>
    <w:p>
      <w:pPr>
        <w:spacing w:beforeLines="50" w:afterLines="50" w:line="540" w:lineRule="exact"/>
        <w:ind w:firstLine="426" w:firstLineChars="152"/>
        <w:rPr>
          <w:rFonts w:ascii="仿宋_GB2312" w:hAnsi="Arial" w:eastAsia="仿宋_GB2312" w:cs="Arial"/>
          <w:bCs/>
          <w:color w:val="000000"/>
          <w:sz w:val="28"/>
          <w:szCs w:val="28"/>
        </w:rPr>
      </w:pP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项目的招标方式为公开招标。</w:t>
      </w:r>
    </w:p>
    <w:p>
      <w:pPr>
        <w:spacing w:beforeLines="50" w:afterLines="50" w:line="540" w:lineRule="exact"/>
        <w:ind w:left="426" w:hanging="426" w:hangingChars="152"/>
        <w:rPr>
          <w:rFonts w:ascii="仿宋_GB2312" w:hAnsi="Arial" w:eastAsia="仿宋_GB2312" w:cs="Arial"/>
          <w:bCs/>
          <w:color w:val="000000"/>
          <w:sz w:val="28"/>
          <w:szCs w:val="28"/>
        </w:rPr>
      </w:pPr>
      <w:r>
        <w:rPr>
          <w:rFonts w:hint="eastAsia" w:ascii="仿宋_GB2312" w:hAnsi="Arial" w:eastAsia="仿宋_GB2312" w:cs="Arial"/>
          <w:bCs/>
          <w:color w:val="000000"/>
          <w:sz w:val="28"/>
          <w:szCs w:val="28"/>
        </w:rPr>
        <w:t>9.2.5 项目招标的具体实施</w:t>
      </w:r>
    </w:p>
    <w:p>
      <w:pPr>
        <w:spacing w:beforeLines="50" w:afterLines="50" w:line="540" w:lineRule="exact"/>
        <w:ind w:firstLine="426" w:firstLineChars="152"/>
        <w:rPr>
          <w:rFonts w:ascii="仿宋_GB2312" w:hAnsi="Arial" w:eastAsia="仿宋_GB2312" w:cs="Arial"/>
          <w:bCs/>
          <w:color w:val="000000"/>
          <w:sz w:val="28"/>
          <w:szCs w:val="28"/>
        </w:rPr>
      </w:pPr>
      <w:r>
        <w:rPr>
          <w:rFonts w:hint="eastAsia" w:ascii="仿宋_GB2312" w:hAnsi="Arial" w:eastAsia="仿宋_GB2312" w:cs="Arial"/>
          <w:bCs/>
          <w:color w:val="000000"/>
          <w:sz w:val="28"/>
          <w:szCs w:val="28"/>
          <w:lang w:val="en-US" w:eastAsia="zh-CN"/>
        </w:rPr>
        <w:t xml:space="preserve"> </w:t>
      </w:r>
      <w:r>
        <w:rPr>
          <w:rFonts w:hint="eastAsia" w:ascii="仿宋_GB2312" w:hAnsi="Arial" w:eastAsia="仿宋_GB2312" w:cs="Arial"/>
          <w:bCs/>
          <w:color w:val="000000"/>
          <w:sz w:val="28"/>
          <w:szCs w:val="28"/>
        </w:rPr>
        <w:t>本项目依法采用资格预审，具体细节严格按招标投标法规定和相关法规操作。开标、评标的具体程序及控制环节严格依法执行。</w:t>
      </w:r>
    </w:p>
    <w:p>
      <w:pPr>
        <w:spacing w:line="360" w:lineRule="auto"/>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项目招标具体要求详见表9-2。</w:t>
      </w:r>
    </w:p>
    <w:bookmarkEnd w:id="66"/>
    <w:bookmarkEnd w:id="67"/>
    <w:p>
      <w:pPr>
        <w:spacing w:beforeLines="50" w:afterLines="50" w:line="540" w:lineRule="exact"/>
        <w:ind w:firstLine="560" w:firstLineChars="200"/>
        <w:rPr>
          <w:rFonts w:ascii="仿宋_GB2312" w:hAnsi="Arial" w:eastAsia="仿宋_GB2312"/>
          <w:color w:val="000000"/>
          <w:sz w:val="28"/>
          <w:szCs w:val="28"/>
        </w:rPr>
        <w:sectPr>
          <w:pgSz w:w="11906" w:h="16838"/>
          <w:pgMar w:top="1440" w:right="1800" w:bottom="1440" w:left="1800" w:header="851" w:footer="840" w:gutter="0"/>
          <w:cols w:space="425" w:num="1"/>
          <w:docGrid w:type="lines" w:linePitch="312" w:charSpace="0"/>
        </w:sectPr>
      </w:pPr>
    </w:p>
    <w:p>
      <w:pPr>
        <w:spacing w:beforeLines="50" w:afterLines="50" w:line="360" w:lineRule="auto"/>
        <w:jc w:val="center"/>
        <w:rPr>
          <w:rFonts w:ascii="仿宋_GB2312" w:eastAsia="仿宋_GB2312"/>
          <w:b/>
          <w:color w:val="000000"/>
          <w:sz w:val="28"/>
          <w:szCs w:val="28"/>
        </w:rPr>
      </w:pPr>
      <w:r>
        <w:rPr>
          <w:rFonts w:hint="eastAsia" w:ascii="仿宋_GB2312" w:eastAsia="仿宋_GB2312"/>
          <w:b/>
          <w:color w:val="000000"/>
          <w:sz w:val="28"/>
          <w:szCs w:val="28"/>
        </w:rPr>
        <w:t>项目招标的基本情况表</w:t>
      </w:r>
    </w:p>
    <w:tbl>
      <w:tblPr>
        <w:tblStyle w:val="28"/>
        <w:tblpPr w:leftFromText="180" w:rightFromText="180" w:vertAnchor="page" w:horzAnchor="margin" w:tblpY="3046"/>
        <w:tblW w:w="14472"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48"/>
        <w:gridCol w:w="1250"/>
        <w:gridCol w:w="1334"/>
        <w:gridCol w:w="1291"/>
        <w:gridCol w:w="1294"/>
        <w:gridCol w:w="1291"/>
        <w:gridCol w:w="1294"/>
        <w:gridCol w:w="2020"/>
        <w:gridCol w:w="2411"/>
        <w:gridCol w:w="103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248" w:type="dxa"/>
            <w:vAlign w:val="center"/>
          </w:tcPr>
          <w:p>
            <w:pPr>
              <w:jc w:val="center"/>
              <w:rPr>
                <w:rFonts w:ascii="仿宋_GB2312" w:eastAsia="仿宋_GB2312"/>
                <w:color w:val="000000"/>
                <w:sz w:val="24"/>
              </w:rPr>
            </w:pPr>
          </w:p>
        </w:tc>
        <w:tc>
          <w:tcPr>
            <w:tcW w:w="2584" w:type="dxa"/>
            <w:gridSpan w:val="2"/>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招标范围</w:t>
            </w:r>
          </w:p>
        </w:tc>
        <w:tc>
          <w:tcPr>
            <w:tcW w:w="2585" w:type="dxa"/>
            <w:gridSpan w:val="2"/>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招标组织形式</w:t>
            </w:r>
          </w:p>
        </w:tc>
        <w:tc>
          <w:tcPr>
            <w:tcW w:w="2585" w:type="dxa"/>
            <w:gridSpan w:val="2"/>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招标方式</w:t>
            </w:r>
          </w:p>
        </w:tc>
        <w:tc>
          <w:tcPr>
            <w:tcW w:w="2020"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不采用招标方式</w:t>
            </w:r>
          </w:p>
        </w:tc>
        <w:tc>
          <w:tcPr>
            <w:tcW w:w="2411"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招标估算金额（万元）</w:t>
            </w:r>
          </w:p>
        </w:tc>
        <w:tc>
          <w:tcPr>
            <w:tcW w:w="1039"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248" w:type="dxa"/>
            <w:vAlign w:val="center"/>
          </w:tcPr>
          <w:p>
            <w:pPr>
              <w:jc w:val="center"/>
              <w:rPr>
                <w:rFonts w:ascii="仿宋_GB2312" w:eastAsia="仿宋_GB2312"/>
                <w:color w:val="000000"/>
                <w:sz w:val="24"/>
              </w:rPr>
            </w:pPr>
          </w:p>
        </w:tc>
        <w:tc>
          <w:tcPr>
            <w:tcW w:w="1250"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全部招标</w:t>
            </w:r>
          </w:p>
        </w:tc>
        <w:tc>
          <w:tcPr>
            <w:tcW w:w="1334"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部分招标</w:t>
            </w:r>
          </w:p>
        </w:tc>
        <w:tc>
          <w:tcPr>
            <w:tcW w:w="1291"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自行招标</w:t>
            </w:r>
          </w:p>
        </w:tc>
        <w:tc>
          <w:tcPr>
            <w:tcW w:w="1294"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委托招标</w:t>
            </w:r>
          </w:p>
        </w:tc>
        <w:tc>
          <w:tcPr>
            <w:tcW w:w="1291"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公开招标</w:t>
            </w:r>
          </w:p>
        </w:tc>
        <w:tc>
          <w:tcPr>
            <w:tcW w:w="1294"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邀请招标</w:t>
            </w:r>
          </w:p>
        </w:tc>
        <w:tc>
          <w:tcPr>
            <w:tcW w:w="2020" w:type="dxa"/>
            <w:vAlign w:val="center"/>
          </w:tcPr>
          <w:p>
            <w:pPr>
              <w:jc w:val="center"/>
              <w:rPr>
                <w:rFonts w:ascii="仿宋_GB2312" w:eastAsia="仿宋_GB2312"/>
                <w:color w:val="000000"/>
                <w:sz w:val="24"/>
              </w:rPr>
            </w:pPr>
          </w:p>
        </w:tc>
        <w:tc>
          <w:tcPr>
            <w:tcW w:w="2411" w:type="dxa"/>
            <w:vAlign w:val="center"/>
          </w:tcPr>
          <w:p>
            <w:pPr>
              <w:jc w:val="center"/>
              <w:rPr>
                <w:rFonts w:ascii="仿宋_GB2312" w:eastAsia="仿宋_GB2312"/>
                <w:color w:val="000000" w:themeColor="text1"/>
                <w:sz w:val="24"/>
              </w:rPr>
            </w:pPr>
          </w:p>
        </w:tc>
        <w:tc>
          <w:tcPr>
            <w:tcW w:w="1039" w:type="dxa"/>
            <w:vAlign w:val="center"/>
          </w:tcPr>
          <w:p>
            <w:pPr>
              <w:jc w:val="center"/>
              <w:rPr>
                <w:rFonts w:ascii="仿宋_GB2312"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248"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勘察</w:t>
            </w:r>
          </w:p>
        </w:tc>
        <w:tc>
          <w:tcPr>
            <w:tcW w:w="1250"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334" w:type="dxa"/>
            <w:vAlign w:val="center"/>
          </w:tcPr>
          <w:p>
            <w:pPr>
              <w:jc w:val="center"/>
              <w:rPr>
                <w:rFonts w:ascii="仿宋_GB2312" w:eastAsia="仿宋_GB2312"/>
                <w:b/>
                <w:color w:val="000000"/>
                <w:sz w:val="24"/>
              </w:rPr>
            </w:pPr>
          </w:p>
        </w:tc>
        <w:tc>
          <w:tcPr>
            <w:tcW w:w="1291" w:type="dxa"/>
            <w:vAlign w:val="center"/>
          </w:tcPr>
          <w:p>
            <w:pPr>
              <w:jc w:val="center"/>
              <w:rPr>
                <w:rFonts w:ascii="仿宋_GB2312" w:eastAsia="仿宋_GB2312"/>
                <w:b/>
                <w:color w:val="000000"/>
                <w:sz w:val="24"/>
              </w:rPr>
            </w:pPr>
          </w:p>
        </w:tc>
        <w:tc>
          <w:tcPr>
            <w:tcW w:w="1294"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291"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294" w:type="dxa"/>
            <w:vAlign w:val="center"/>
          </w:tcPr>
          <w:p>
            <w:pPr>
              <w:jc w:val="center"/>
              <w:rPr>
                <w:rFonts w:ascii="仿宋_GB2312" w:eastAsia="仿宋_GB2312"/>
                <w:b/>
                <w:color w:val="000000"/>
                <w:sz w:val="24"/>
              </w:rPr>
            </w:pPr>
          </w:p>
        </w:tc>
        <w:tc>
          <w:tcPr>
            <w:tcW w:w="2020" w:type="dxa"/>
            <w:vAlign w:val="center"/>
          </w:tcPr>
          <w:p>
            <w:pPr>
              <w:jc w:val="center"/>
              <w:rPr>
                <w:rFonts w:ascii="仿宋_GB2312" w:eastAsia="仿宋_GB2312"/>
                <w:color w:val="000000"/>
                <w:sz w:val="24"/>
              </w:rPr>
            </w:pPr>
          </w:p>
        </w:tc>
        <w:tc>
          <w:tcPr>
            <w:tcW w:w="2411" w:type="dxa"/>
            <w:shd w:val="clear" w:color="auto" w:fill="auto"/>
            <w:vAlign w:val="center"/>
          </w:tcPr>
          <w:p>
            <w:pPr>
              <w:tabs>
                <w:tab w:val="left" w:pos="992"/>
              </w:tabs>
              <w:jc w:val="center"/>
              <w:rPr>
                <w:rFonts w:ascii="仿宋_GB2312" w:hAnsi="宋体" w:eastAsia="仿宋_GB2312"/>
                <w:color w:val="000000" w:themeColor="text1"/>
                <w:sz w:val="24"/>
              </w:rPr>
            </w:pPr>
            <w:r>
              <w:rPr>
                <w:rFonts w:ascii="仿宋_GB2312" w:hAnsi="宋体" w:eastAsia="仿宋_GB2312"/>
                <w:color w:val="000000" w:themeColor="text1"/>
                <w:sz w:val="24"/>
              </w:rPr>
              <w:t>20.14</w:t>
            </w:r>
          </w:p>
        </w:tc>
        <w:tc>
          <w:tcPr>
            <w:tcW w:w="1039" w:type="dxa"/>
            <w:vAlign w:val="center"/>
          </w:tcPr>
          <w:p>
            <w:pPr>
              <w:jc w:val="center"/>
              <w:rPr>
                <w:rFonts w:ascii="仿宋_GB2312"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248"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设计</w:t>
            </w:r>
          </w:p>
        </w:tc>
        <w:tc>
          <w:tcPr>
            <w:tcW w:w="1250"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334" w:type="dxa"/>
            <w:vAlign w:val="center"/>
          </w:tcPr>
          <w:p>
            <w:pPr>
              <w:jc w:val="center"/>
              <w:rPr>
                <w:rFonts w:ascii="仿宋_GB2312" w:eastAsia="仿宋_GB2312"/>
                <w:b/>
                <w:color w:val="000000"/>
                <w:sz w:val="24"/>
              </w:rPr>
            </w:pPr>
          </w:p>
        </w:tc>
        <w:tc>
          <w:tcPr>
            <w:tcW w:w="1291" w:type="dxa"/>
            <w:vAlign w:val="center"/>
          </w:tcPr>
          <w:p>
            <w:pPr>
              <w:jc w:val="center"/>
              <w:rPr>
                <w:rFonts w:ascii="仿宋_GB2312" w:eastAsia="仿宋_GB2312"/>
                <w:b/>
                <w:color w:val="000000"/>
                <w:sz w:val="24"/>
              </w:rPr>
            </w:pPr>
          </w:p>
        </w:tc>
        <w:tc>
          <w:tcPr>
            <w:tcW w:w="1294"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291"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294" w:type="dxa"/>
            <w:vAlign w:val="center"/>
          </w:tcPr>
          <w:p>
            <w:pPr>
              <w:jc w:val="center"/>
              <w:rPr>
                <w:rFonts w:ascii="仿宋_GB2312" w:eastAsia="仿宋_GB2312"/>
                <w:b/>
                <w:color w:val="000000"/>
                <w:sz w:val="24"/>
              </w:rPr>
            </w:pPr>
          </w:p>
        </w:tc>
        <w:tc>
          <w:tcPr>
            <w:tcW w:w="2020" w:type="dxa"/>
            <w:vAlign w:val="center"/>
          </w:tcPr>
          <w:p>
            <w:pPr>
              <w:jc w:val="center"/>
              <w:rPr>
                <w:rFonts w:ascii="仿宋_GB2312" w:eastAsia="仿宋_GB2312"/>
                <w:color w:val="000000"/>
                <w:sz w:val="24"/>
              </w:rPr>
            </w:pPr>
          </w:p>
        </w:tc>
        <w:tc>
          <w:tcPr>
            <w:tcW w:w="2411" w:type="dxa"/>
            <w:shd w:val="clear" w:color="auto" w:fill="auto"/>
            <w:vAlign w:val="center"/>
          </w:tcPr>
          <w:p>
            <w:pPr>
              <w:tabs>
                <w:tab w:val="left" w:pos="992"/>
              </w:tabs>
              <w:jc w:val="center"/>
              <w:rPr>
                <w:rFonts w:ascii="仿宋_GB2312" w:hAnsi="宋体" w:eastAsia="仿宋_GB2312"/>
                <w:color w:val="000000" w:themeColor="text1"/>
                <w:sz w:val="24"/>
              </w:rPr>
            </w:pPr>
            <w:r>
              <w:rPr>
                <w:rFonts w:ascii="仿宋_GB2312" w:hAnsi="宋体" w:eastAsia="仿宋_GB2312"/>
                <w:color w:val="000000" w:themeColor="text1"/>
                <w:sz w:val="24"/>
              </w:rPr>
              <w:t>78.93</w:t>
            </w:r>
          </w:p>
        </w:tc>
        <w:tc>
          <w:tcPr>
            <w:tcW w:w="1039" w:type="dxa"/>
            <w:vAlign w:val="center"/>
          </w:tcPr>
          <w:p>
            <w:pPr>
              <w:jc w:val="center"/>
              <w:rPr>
                <w:rFonts w:ascii="仿宋_GB2312"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248"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建安工程</w:t>
            </w:r>
          </w:p>
        </w:tc>
        <w:tc>
          <w:tcPr>
            <w:tcW w:w="1250"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334" w:type="dxa"/>
            <w:vAlign w:val="center"/>
          </w:tcPr>
          <w:p>
            <w:pPr>
              <w:jc w:val="center"/>
              <w:rPr>
                <w:rFonts w:ascii="仿宋_GB2312" w:eastAsia="仿宋_GB2312"/>
                <w:b/>
                <w:color w:val="000000"/>
                <w:sz w:val="24"/>
              </w:rPr>
            </w:pPr>
          </w:p>
        </w:tc>
        <w:tc>
          <w:tcPr>
            <w:tcW w:w="1291" w:type="dxa"/>
            <w:vAlign w:val="center"/>
          </w:tcPr>
          <w:p>
            <w:pPr>
              <w:jc w:val="center"/>
              <w:rPr>
                <w:rFonts w:ascii="仿宋_GB2312" w:eastAsia="仿宋_GB2312"/>
                <w:b/>
                <w:color w:val="000000"/>
                <w:sz w:val="24"/>
              </w:rPr>
            </w:pPr>
          </w:p>
        </w:tc>
        <w:tc>
          <w:tcPr>
            <w:tcW w:w="1294"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291"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294" w:type="dxa"/>
            <w:vAlign w:val="center"/>
          </w:tcPr>
          <w:p>
            <w:pPr>
              <w:jc w:val="center"/>
              <w:rPr>
                <w:rFonts w:ascii="仿宋_GB2312" w:eastAsia="仿宋_GB2312"/>
                <w:b/>
                <w:color w:val="000000"/>
                <w:sz w:val="24"/>
              </w:rPr>
            </w:pPr>
          </w:p>
        </w:tc>
        <w:tc>
          <w:tcPr>
            <w:tcW w:w="2020" w:type="dxa"/>
            <w:vAlign w:val="center"/>
          </w:tcPr>
          <w:p>
            <w:pPr>
              <w:jc w:val="center"/>
              <w:rPr>
                <w:rFonts w:ascii="仿宋_GB2312" w:eastAsia="仿宋_GB2312"/>
                <w:color w:val="000000"/>
                <w:sz w:val="24"/>
              </w:rPr>
            </w:pPr>
          </w:p>
        </w:tc>
        <w:tc>
          <w:tcPr>
            <w:tcW w:w="2411" w:type="dxa"/>
            <w:vAlign w:val="center"/>
          </w:tcPr>
          <w:p>
            <w:pPr>
              <w:tabs>
                <w:tab w:val="left" w:pos="992"/>
              </w:tabs>
              <w:jc w:val="center"/>
              <w:rPr>
                <w:rFonts w:ascii="仿宋_GB2312" w:hAnsi="宋体" w:eastAsia="仿宋_GB2312"/>
                <w:color w:val="000000" w:themeColor="text1"/>
                <w:sz w:val="24"/>
              </w:rPr>
            </w:pPr>
            <w:r>
              <w:rPr>
                <w:rFonts w:ascii="仿宋_GB2312" w:hAnsi="宋体" w:eastAsia="仿宋_GB2312"/>
                <w:color w:val="000000" w:themeColor="text1"/>
                <w:sz w:val="24"/>
              </w:rPr>
              <w:t>2014.09</w:t>
            </w:r>
          </w:p>
        </w:tc>
        <w:tc>
          <w:tcPr>
            <w:tcW w:w="1039" w:type="dxa"/>
            <w:vAlign w:val="center"/>
          </w:tcPr>
          <w:p>
            <w:pPr>
              <w:jc w:val="center"/>
              <w:rPr>
                <w:rFonts w:ascii="仿宋_GB2312"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PrEx>
        <w:trPr>
          <w:trHeight w:val="510" w:hRule="atLeast"/>
        </w:trPr>
        <w:tc>
          <w:tcPr>
            <w:tcW w:w="1248"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监理</w:t>
            </w:r>
          </w:p>
        </w:tc>
        <w:tc>
          <w:tcPr>
            <w:tcW w:w="1250"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334" w:type="dxa"/>
            <w:vAlign w:val="center"/>
          </w:tcPr>
          <w:p>
            <w:pPr>
              <w:jc w:val="center"/>
              <w:rPr>
                <w:rFonts w:ascii="仿宋_GB2312" w:eastAsia="仿宋_GB2312"/>
                <w:b/>
                <w:color w:val="000000"/>
                <w:sz w:val="24"/>
              </w:rPr>
            </w:pPr>
          </w:p>
        </w:tc>
        <w:tc>
          <w:tcPr>
            <w:tcW w:w="1291" w:type="dxa"/>
            <w:vAlign w:val="center"/>
          </w:tcPr>
          <w:p>
            <w:pPr>
              <w:jc w:val="center"/>
              <w:rPr>
                <w:rFonts w:ascii="仿宋_GB2312" w:eastAsia="仿宋_GB2312"/>
                <w:b/>
                <w:color w:val="000000"/>
                <w:sz w:val="24"/>
              </w:rPr>
            </w:pPr>
          </w:p>
        </w:tc>
        <w:tc>
          <w:tcPr>
            <w:tcW w:w="1294"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291" w:type="dxa"/>
            <w:vAlign w:val="center"/>
          </w:tcPr>
          <w:p>
            <w:pPr>
              <w:jc w:val="center"/>
              <w:rPr>
                <w:rFonts w:ascii="仿宋_GB2312" w:eastAsia="仿宋_GB2312"/>
                <w:b/>
                <w:color w:val="000000"/>
                <w:sz w:val="24"/>
              </w:rPr>
            </w:pPr>
            <w:r>
              <w:rPr>
                <w:rFonts w:hint="eastAsia" w:ascii="仿宋_GB2312" w:eastAsia="仿宋_GB2312"/>
                <w:b/>
                <w:color w:val="000000"/>
                <w:sz w:val="24"/>
              </w:rPr>
              <w:t>√</w:t>
            </w:r>
          </w:p>
        </w:tc>
        <w:tc>
          <w:tcPr>
            <w:tcW w:w="1294" w:type="dxa"/>
            <w:vAlign w:val="center"/>
          </w:tcPr>
          <w:p>
            <w:pPr>
              <w:jc w:val="center"/>
              <w:rPr>
                <w:rFonts w:ascii="仿宋_GB2312" w:eastAsia="仿宋_GB2312"/>
                <w:b/>
                <w:color w:val="000000"/>
                <w:sz w:val="24"/>
              </w:rPr>
            </w:pPr>
          </w:p>
        </w:tc>
        <w:tc>
          <w:tcPr>
            <w:tcW w:w="2020" w:type="dxa"/>
            <w:vAlign w:val="center"/>
          </w:tcPr>
          <w:p>
            <w:pPr>
              <w:jc w:val="center"/>
              <w:rPr>
                <w:rFonts w:ascii="仿宋_GB2312" w:eastAsia="仿宋_GB2312"/>
                <w:color w:val="000000"/>
                <w:sz w:val="24"/>
              </w:rPr>
            </w:pPr>
          </w:p>
        </w:tc>
        <w:tc>
          <w:tcPr>
            <w:tcW w:w="2411" w:type="dxa"/>
            <w:vAlign w:val="center"/>
          </w:tcPr>
          <w:p>
            <w:pPr>
              <w:tabs>
                <w:tab w:val="left" w:pos="992"/>
              </w:tabs>
              <w:jc w:val="center"/>
              <w:rPr>
                <w:rFonts w:hint="eastAsia" w:ascii="仿宋_GB2312" w:hAnsi="宋体" w:eastAsia="仿宋_GB2312"/>
                <w:color w:val="000000" w:themeColor="text1"/>
                <w:sz w:val="24"/>
                <w:lang w:eastAsia="zh-CN"/>
              </w:rPr>
            </w:pPr>
            <w:r>
              <w:rPr>
                <w:rFonts w:hint="eastAsia" w:ascii="仿宋_GB2312" w:hAnsi="宋体" w:eastAsia="仿宋_GB2312"/>
                <w:color w:val="000000" w:themeColor="text1"/>
                <w:sz w:val="24"/>
                <w:highlight w:val="none"/>
                <w:lang w:eastAsia="zh-CN"/>
              </w:rPr>
              <w:t>46.27</w:t>
            </w:r>
          </w:p>
        </w:tc>
        <w:tc>
          <w:tcPr>
            <w:tcW w:w="1039" w:type="dxa"/>
            <w:vAlign w:val="center"/>
          </w:tcPr>
          <w:p>
            <w:pPr>
              <w:jc w:val="center"/>
              <w:rPr>
                <w:rFonts w:ascii="仿宋_GB2312"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248"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设备</w:t>
            </w:r>
          </w:p>
        </w:tc>
        <w:tc>
          <w:tcPr>
            <w:tcW w:w="1250" w:type="dxa"/>
            <w:vAlign w:val="center"/>
          </w:tcPr>
          <w:p>
            <w:pPr>
              <w:jc w:val="center"/>
              <w:rPr>
                <w:rFonts w:ascii="仿宋_GB2312" w:eastAsia="仿宋_GB2312"/>
                <w:color w:val="000000"/>
                <w:sz w:val="24"/>
              </w:rPr>
            </w:pPr>
          </w:p>
        </w:tc>
        <w:tc>
          <w:tcPr>
            <w:tcW w:w="1334" w:type="dxa"/>
            <w:vAlign w:val="center"/>
          </w:tcPr>
          <w:p>
            <w:pPr>
              <w:jc w:val="center"/>
              <w:rPr>
                <w:rFonts w:ascii="仿宋_GB2312" w:eastAsia="仿宋_GB2312"/>
                <w:color w:val="000000"/>
                <w:sz w:val="24"/>
              </w:rPr>
            </w:pPr>
          </w:p>
        </w:tc>
        <w:tc>
          <w:tcPr>
            <w:tcW w:w="1291" w:type="dxa"/>
            <w:vAlign w:val="center"/>
          </w:tcPr>
          <w:p>
            <w:pPr>
              <w:jc w:val="center"/>
              <w:rPr>
                <w:rFonts w:ascii="仿宋_GB2312" w:eastAsia="仿宋_GB2312"/>
                <w:color w:val="000000"/>
                <w:sz w:val="24"/>
              </w:rPr>
            </w:pPr>
          </w:p>
        </w:tc>
        <w:tc>
          <w:tcPr>
            <w:tcW w:w="1294" w:type="dxa"/>
            <w:vAlign w:val="center"/>
          </w:tcPr>
          <w:p>
            <w:pPr>
              <w:jc w:val="center"/>
              <w:rPr>
                <w:rFonts w:ascii="仿宋_GB2312" w:eastAsia="仿宋_GB2312"/>
                <w:color w:val="000000"/>
                <w:sz w:val="24"/>
              </w:rPr>
            </w:pPr>
          </w:p>
        </w:tc>
        <w:tc>
          <w:tcPr>
            <w:tcW w:w="1291" w:type="dxa"/>
            <w:vAlign w:val="center"/>
          </w:tcPr>
          <w:p>
            <w:pPr>
              <w:jc w:val="center"/>
              <w:rPr>
                <w:rFonts w:ascii="仿宋_GB2312" w:eastAsia="仿宋_GB2312"/>
                <w:color w:val="000000"/>
                <w:sz w:val="24"/>
              </w:rPr>
            </w:pPr>
          </w:p>
        </w:tc>
        <w:tc>
          <w:tcPr>
            <w:tcW w:w="1294" w:type="dxa"/>
            <w:vAlign w:val="center"/>
          </w:tcPr>
          <w:p>
            <w:pPr>
              <w:jc w:val="center"/>
              <w:rPr>
                <w:rFonts w:ascii="仿宋_GB2312" w:eastAsia="仿宋_GB2312"/>
                <w:color w:val="000000"/>
                <w:sz w:val="24"/>
              </w:rPr>
            </w:pPr>
          </w:p>
        </w:tc>
        <w:tc>
          <w:tcPr>
            <w:tcW w:w="2020" w:type="dxa"/>
            <w:vAlign w:val="center"/>
          </w:tcPr>
          <w:p>
            <w:pPr>
              <w:jc w:val="center"/>
              <w:rPr>
                <w:rFonts w:ascii="仿宋_GB2312" w:eastAsia="仿宋_GB2312"/>
                <w:color w:val="000000"/>
                <w:sz w:val="24"/>
              </w:rPr>
            </w:pPr>
          </w:p>
        </w:tc>
        <w:tc>
          <w:tcPr>
            <w:tcW w:w="2411" w:type="dxa"/>
            <w:vAlign w:val="center"/>
          </w:tcPr>
          <w:p>
            <w:pPr>
              <w:tabs>
                <w:tab w:val="left" w:pos="992"/>
              </w:tabs>
              <w:jc w:val="center"/>
              <w:rPr>
                <w:rFonts w:ascii="仿宋_GB2312" w:hAnsi="宋体" w:eastAsia="仿宋_GB2312"/>
                <w:color w:val="FF0000"/>
                <w:sz w:val="24"/>
              </w:rPr>
            </w:pPr>
          </w:p>
        </w:tc>
        <w:tc>
          <w:tcPr>
            <w:tcW w:w="1039" w:type="dxa"/>
            <w:vAlign w:val="center"/>
          </w:tcPr>
          <w:p>
            <w:pPr>
              <w:jc w:val="center"/>
              <w:rPr>
                <w:rFonts w:ascii="仿宋_GB2312"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248"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重要材料</w:t>
            </w:r>
          </w:p>
        </w:tc>
        <w:tc>
          <w:tcPr>
            <w:tcW w:w="1250" w:type="dxa"/>
            <w:vAlign w:val="center"/>
          </w:tcPr>
          <w:p>
            <w:pPr>
              <w:jc w:val="center"/>
              <w:rPr>
                <w:rFonts w:ascii="仿宋_GB2312" w:eastAsia="仿宋_GB2312"/>
                <w:color w:val="000000"/>
                <w:sz w:val="24"/>
              </w:rPr>
            </w:pPr>
          </w:p>
        </w:tc>
        <w:tc>
          <w:tcPr>
            <w:tcW w:w="1334" w:type="dxa"/>
            <w:vAlign w:val="center"/>
          </w:tcPr>
          <w:p>
            <w:pPr>
              <w:jc w:val="center"/>
              <w:rPr>
                <w:rFonts w:ascii="仿宋_GB2312" w:eastAsia="仿宋_GB2312"/>
                <w:color w:val="000000"/>
                <w:sz w:val="24"/>
              </w:rPr>
            </w:pPr>
          </w:p>
        </w:tc>
        <w:tc>
          <w:tcPr>
            <w:tcW w:w="1291" w:type="dxa"/>
            <w:vAlign w:val="center"/>
          </w:tcPr>
          <w:p>
            <w:pPr>
              <w:jc w:val="center"/>
              <w:rPr>
                <w:rFonts w:ascii="仿宋_GB2312" w:eastAsia="仿宋_GB2312"/>
                <w:color w:val="000000"/>
                <w:sz w:val="24"/>
              </w:rPr>
            </w:pPr>
          </w:p>
        </w:tc>
        <w:tc>
          <w:tcPr>
            <w:tcW w:w="1294" w:type="dxa"/>
            <w:vAlign w:val="center"/>
          </w:tcPr>
          <w:p>
            <w:pPr>
              <w:jc w:val="center"/>
              <w:rPr>
                <w:rFonts w:ascii="仿宋_GB2312" w:eastAsia="仿宋_GB2312"/>
                <w:color w:val="000000"/>
                <w:sz w:val="24"/>
              </w:rPr>
            </w:pPr>
          </w:p>
        </w:tc>
        <w:tc>
          <w:tcPr>
            <w:tcW w:w="1291" w:type="dxa"/>
            <w:vAlign w:val="center"/>
          </w:tcPr>
          <w:p>
            <w:pPr>
              <w:jc w:val="center"/>
              <w:rPr>
                <w:rFonts w:ascii="仿宋_GB2312" w:eastAsia="仿宋_GB2312"/>
                <w:color w:val="000000"/>
                <w:sz w:val="24"/>
              </w:rPr>
            </w:pPr>
          </w:p>
        </w:tc>
        <w:tc>
          <w:tcPr>
            <w:tcW w:w="1294" w:type="dxa"/>
            <w:vAlign w:val="center"/>
          </w:tcPr>
          <w:p>
            <w:pPr>
              <w:jc w:val="center"/>
              <w:rPr>
                <w:rFonts w:ascii="仿宋_GB2312" w:eastAsia="仿宋_GB2312"/>
                <w:color w:val="000000"/>
                <w:sz w:val="24"/>
              </w:rPr>
            </w:pPr>
          </w:p>
        </w:tc>
        <w:tc>
          <w:tcPr>
            <w:tcW w:w="2020" w:type="dxa"/>
            <w:vAlign w:val="center"/>
          </w:tcPr>
          <w:p>
            <w:pPr>
              <w:jc w:val="center"/>
              <w:rPr>
                <w:rFonts w:ascii="仿宋_GB2312" w:eastAsia="仿宋_GB2312"/>
                <w:color w:val="000000"/>
                <w:sz w:val="24"/>
              </w:rPr>
            </w:pPr>
          </w:p>
        </w:tc>
        <w:tc>
          <w:tcPr>
            <w:tcW w:w="2411" w:type="dxa"/>
            <w:vAlign w:val="center"/>
          </w:tcPr>
          <w:p>
            <w:pPr>
              <w:jc w:val="center"/>
              <w:rPr>
                <w:rFonts w:ascii="仿宋_GB2312" w:eastAsia="仿宋_GB2312"/>
                <w:color w:val="000000"/>
                <w:sz w:val="24"/>
              </w:rPr>
            </w:pPr>
          </w:p>
        </w:tc>
        <w:tc>
          <w:tcPr>
            <w:tcW w:w="1039" w:type="dxa"/>
            <w:vAlign w:val="center"/>
          </w:tcPr>
          <w:p>
            <w:pPr>
              <w:jc w:val="center"/>
              <w:rPr>
                <w:rFonts w:ascii="仿宋_GB2312"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248" w:type="dxa"/>
            <w:vAlign w:val="center"/>
          </w:tcPr>
          <w:p>
            <w:pPr>
              <w:tabs>
                <w:tab w:val="left" w:pos="992"/>
              </w:tabs>
              <w:jc w:val="center"/>
              <w:rPr>
                <w:rFonts w:ascii="仿宋_GB2312" w:hAnsi="宋体" w:eastAsia="仿宋_GB2312"/>
                <w:color w:val="000000"/>
                <w:sz w:val="24"/>
              </w:rPr>
            </w:pPr>
            <w:r>
              <w:rPr>
                <w:rFonts w:hint="eastAsia" w:ascii="仿宋_GB2312" w:hAnsi="宋体" w:eastAsia="仿宋_GB2312"/>
                <w:color w:val="000000"/>
                <w:sz w:val="24"/>
              </w:rPr>
              <w:t>其他</w:t>
            </w:r>
          </w:p>
        </w:tc>
        <w:tc>
          <w:tcPr>
            <w:tcW w:w="1250" w:type="dxa"/>
            <w:vAlign w:val="center"/>
          </w:tcPr>
          <w:p>
            <w:pPr>
              <w:jc w:val="center"/>
              <w:rPr>
                <w:rFonts w:ascii="仿宋_GB2312" w:eastAsia="仿宋_GB2312"/>
                <w:color w:val="000000"/>
                <w:sz w:val="24"/>
              </w:rPr>
            </w:pPr>
          </w:p>
        </w:tc>
        <w:tc>
          <w:tcPr>
            <w:tcW w:w="1334" w:type="dxa"/>
            <w:vAlign w:val="center"/>
          </w:tcPr>
          <w:p>
            <w:pPr>
              <w:jc w:val="center"/>
              <w:rPr>
                <w:rFonts w:ascii="仿宋_GB2312" w:eastAsia="仿宋_GB2312"/>
                <w:color w:val="000000"/>
                <w:sz w:val="24"/>
              </w:rPr>
            </w:pPr>
          </w:p>
        </w:tc>
        <w:tc>
          <w:tcPr>
            <w:tcW w:w="1291" w:type="dxa"/>
            <w:vAlign w:val="center"/>
          </w:tcPr>
          <w:p>
            <w:pPr>
              <w:jc w:val="center"/>
              <w:rPr>
                <w:rFonts w:ascii="仿宋_GB2312" w:eastAsia="仿宋_GB2312"/>
                <w:color w:val="000000"/>
                <w:sz w:val="24"/>
              </w:rPr>
            </w:pPr>
          </w:p>
        </w:tc>
        <w:tc>
          <w:tcPr>
            <w:tcW w:w="1294" w:type="dxa"/>
            <w:vAlign w:val="center"/>
          </w:tcPr>
          <w:p>
            <w:pPr>
              <w:jc w:val="center"/>
              <w:rPr>
                <w:rFonts w:ascii="仿宋_GB2312" w:eastAsia="仿宋_GB2312"/>
                <w:color w:val="000000"/>
                <w:sz w:val="24"/>
              </w:rPr>
            </w:pPr>
          </w:p>
        </w:tc>
        <w:tc>
          <w:tcPr>
            <w:tcW w:w="1291" w:type="dxa"/>
            <w:vAlign w:val="center"/>
          </w:tcPr>
          <w:p>
            <w:pPr>
              <w:jc w:val="center"/>
              <w:rPr>
                <w:rFonts w:ascii="仿宋_GB2312" w:eastAsia="仿宋_GB2312"/>
                <w:color w:val="000000"/>
                <w:sz w:val="24"/>
              </w:rPr>
            </w:pPr>
          </w:p>
        </w:tc>
        <w:tc>
          <w:tcPr>
            <w:tcW w:w="1294" w:type="dxa"/>
            <w:vAlign w:val="center"/>
          </w:tcPr>
          <w:p>
            <w:pPr>
              <w:jc w:val="center"/>
              <w:rPr>
                <w:rFonts w:ascii="仿宋_GB2312" w:eastAsia="仿宋_GB2312"/>
                <w:color w:val="000000"/>
                <w:sz w:val="24"/>
              </w:rPr>
            </w:pPr>
          </w:p>
        </w:tc>
        <w:tc>
          <w:tcPr>
            <w:tcW w:w="2020" w:type="dxa"/>
            <w:vAlign w:val="center"/>
          </w:tcPr>
          <w:p>
            <w:pPr>
              <w:jc w:val="center"/>
              <w:rPr>
                <w:rFonts w:ascii="仿宋_GB2312" w:eastAsia="仿宋_GB2312"/>
                <w:color w:val="000000"/>
                <w:sz w:val="24"/>
              </w:rPr>
            </w:pPr>
          </w:p>
        </w:tc>
        <w:tc>
          <w:tcPr>
            <w:tcW w:w="2411" w:type="dxa"/>
            <w:vAlign w:val="center"/>
          </w:tcPr>
          <w:p>
            <w:pPr>
              <w:jc w:val="center"/>
              <w:rPr>
                <w:rFonts w:ascii="仿宋_GB2312" w:eastAsia="仿宋_GB2312"/>
                <w:color w:val="000000"/>
                <w:sz w:val="24"/>
              </w:rPr>
            </w:pPr>
          </w:p>
        </w:tc>
        <w:tc>
          <w:tcPr>
            <w:tcW w:w="1039" w:type="dxa"/>
            <w:vAlign w:val="center"/>
          </w:tcPr>
          <w:p>
            <w:pPr>
              <w:jc w:val="center"/>
              <w:rPr>
                <w:rFonts w:ascii="仿宋_GB2312"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356" w:hRule="atLeast"/>
        </w:trPr>
        <w:tc>
          <w:tcPr>
            <w:tcW w:w="14472" w:type="dxa"/>
            <w:gridSpan w:val="10"/>
            <w:vAlign w:val="center"/>
          </w:tcPr>
          <w:p>
            <w:pPr>
              <w:rPr>
                <w:rFonts w:ascii="仿宋_GB2312" w:hAnsi="宋体" w:eastAsia="仿宋_GB2312"/>
                <w:color w:val="000000"/>
                <w:sz w:val="24"/>
              </w:rPr>
            </w:pPr>
            <w:r>
              <w:rPr>
                <w:rFonts w:hint="eastAsia" w:ascii="仿宋_GB2312" w:hAnsi="宋体" w:eastAsia="仿宋_GB2312"/>
                <w:color w:val="000000"/>
                <w:sz w:val="24"/>
              </w:rPr>
              <w:t>情况说明：                                                                                      建设单位盖章</w:t>
            </w:r>
          </w:p>
          <w:p>
            <w:pPr>
              <w:ind w:right="1320"/>
              <w:jc w:val="right"/>
              <w:rPr>
                <w:rFonts w:ascii="仿宋_GB2312" w:eastAsia="仿宋_GB2312"/>
                <w:color w:val="000000"/>
                <w:sz w:val="24"/>
              </w:rPr>
            </w:pPr>
            <w:r>
              <w:rPr>
                <w:rFonts w:hint="eastAsia" w:ascii="仿宋_GB2312" w:hAnsi="宋体" w:eastAsia="仿宋_GB2312"/>
                <w:color w:val="000000"/>
                <w:sz w:val="24"/>
              </w:rPr>
              <w:t>年   月   日</w:t>
            </w:r>
          </w:p>
        </w:tc>
      </w:tr>
    </w:tbl>
    <w:p>
      <w:pPr>
        <w:rPr>
          <w:rFonts w:ascii="仿宋_GB2312" w:eastAsia="仿宋_GB2312"/>
          <w:color w:val="000000"/>
          <w:sz w:val="24"/>
        </w:rPr>
      </w:pPr>
      <w:r>
        <w:rPr>
          <w:rFonts w:hint="eastAsia" w:ascii="仿宋_GB2312" w:eastAsia="仿宋_GB2312"/>
          <w:color w:val="000000"/>
          <w:sz w:val="24"/>
        </w:rPr>
        <w:t xml:space="preserve">表9-2 </w:t>
      </w:r>
    </w:p>
    <w:p>
      <w:pPr>
        <w:spacing w:line="360" w:lineRule="auto"/>
        <w:ind w:firstLine="560" w:firstLineChars="200"/>
        <w:rPr>
          <w:rFonts w:ascii="仿宋_GB2312" w:eastAsia="仿宋_GB2312"/>
          <w:color w:val="FF0000"/>
          <w:sz w:val="28"/>
        </w:rPr>
        <w:sectPr>
          <w:pgSz w:w="16838" w:h="11906" w:orient="landscape"/>
          <w:pgMar w:top="1797" w:right="1440" w:bottom="1797" w:left="1440" w:header="1202" w:footer="1238" w:gutter="0"/>
          <w:cols w:space="425" w:num="1"/>
          <w:docGrid w:type="linesAndChars" w:linePitch="312" w:charSpace="0"/>
        </w:sectPr>
      </w:pPr>
    </w:p>
    <w:p>
      <w:pPr>
        <w:pStyle w:val="2"/>
        <w:jc w:val="center"/>
        <w:rPr>
          <w:rFonts w:ascii="仿宋_GB2312" w:eastAsia="仿宋_GB2312"/>
          <w:color w:val="000000"/>
          <w:sz w:val="32"/>
          <w:szCs w:val="32"/>
        </w:rPr>
      </w:pPr>
      <w:bookmarkStart w:id="68" w:name="_Toc464510834"/>
      <w:r>
        <w:rPr>
          <w:rFonts w:hint="eastAsia" w:ascii="仿宋_GB2312" w:eastAsia="仿宋_GB2312"/>
          <w:color w:val="000000"/>
          <w:sz w:val="32"/>
          <w:szCs w:val="32"/>
        </w:rPr>
        <w:t>第十章  投资估算与资金筹措</w:t>
      </w:r>
      <w:bookmarkEnd w:id="68"/>
    </w:p>
    <w:p>
      <w:pPr>
        <w:pStyle w:val="3"/>
        <w:rPr>
          <w:rFonts w:ascii="仿宋_GB2312" w:eastAsia="仿宋_GB2312" w:cs="Arial"/>
          <w:color w:val="000000"/>
          <w:sz w:val="28"/>
          <w:szCs w:val="28"/>
        </w:rPr>
      </w:pPr>
      <w:bookmarkStart w:id="69" w:name="_Toc464510835"/>
      <w:bookmarkStart w:id="70" w:name="_Toc217104205"/>
      <w:bookmarkStart w:id="71" w:name="_Toc196018786"/>
      <w:r>
        <w:rPr>
          <w:rFonts w:hint="eastAsia" w:ascii="仿宋_GB2312" w:eastAsia="仿宋_GB2312" w:cs="Arial"/>
          <w:color w:val="000000"/>
          <w:sz w:val="28"/>
          <w:szCs w:val="28"/>
        </w:rPr>
        <w:t>10.1 编制范围</w:t>
      </w:r>
      <w:bookmarkEnd w:id="69"/>
      <w:bookmarkEnd w:id="70"/>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本项目工程范围包括道路工程、排水管道工程、道路照明工程。其中，道路工程包括道路挖土方、拆除原路面、新建车行道、新建人行道、种植行道树、交通标线、路缘石及零星项目等；排水管道工程包括新建管道、雨水口、检查井、沟槽支护和零星项目等；道路照明工程包括安装单臂路灯、电缆、过道井、路灯专用控制箱和变压器等。</w:t>
      </w:r>
    </w:p>
    <w:p>
      <w:pPr>
        <w:pStyle w:val="3"/>
        <w:rPr>
          <w:rFonts w:ascii="仿宋_GB2312" w:eastAsia="仿宋_GB2312" w:cs="Arial"/>
          <w:color w:val="000000"/>
          <w:sz w:val="28"/>
          <w:szCs w:val="28"/>
        </w:rPr>
      </w:pPr>
      <w:bookmarkStart w:id="72" w:name="_Toc464510836"/>
      <w:bookmarkStart w:id="73" w:name="_Toc217104206"/>
      <w:r>
        <w:rPr>
          <w:rFonts w:hint="eastAsia" w:ascii="仿宋_GB2312" w:eastAsia="仿宋_GB2312" w:cs="Arial"/>
          <w:color w:val="000000"/>
          <w:sz w:val="28"/>
          <w:szCs w:val="28"/>
        </w:rPr>
        <w:t>10.2 编制依据</w:t>
      </w:r>
      <w:bookmarkEnd w:id="71"/>
      <w:bookmarkEnd w:id="72"/>
      <w:bookmarkEnd w:id="73"/>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1、国家发展改革委、建设部联合以“发改投资[2006]1325号《关于印发建设项目经评价方法与参数的通知》”颁发的文件及其有关规定、方法（第三版）</w:t>
      </w:r>
      <w:r>
        <w:rPr>
          <w:rFonts w:hint="eastAsia" w:ascii="仿宋_GB2312" w:hAnsi="Arial" w:eastAsia="仿宋_GB2312"/>
          <w:color w:val="000000"/>
          <w:sz w:val="28"/>
          <w:szCs w:val="28"/>
          <w:lang w:eastAsia="zh-CN"/>
        </w:rPr>
        <w:t>。</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2、中国国际工程咨询公司《投资项目经济咨询指南》</w:t>
      </w:r>
      <w:r>
        <w:rPr>
          <w:rFonts w:hint="eastAsia" w:ascii="仿宋_GB2312" w:hAnsi="Arial" w:eastAsia="仿宋_GB2312"/>
          <w:color w:val="000000"/>
          <w:sz w:val="28"/>
          <w:szCs w:val="28"/>
          <w:lang w:eastAsia="zh-CN"/>
        </w:rPr>
        <w:t>。</w:t>
      </w:r>
    </w:p>
    <w:p>
      <w:pPr>
        <w:spacing w:line="360" w:lineRule="auto"/>
        <w:ind w:firstLine="560" w:firstLineChars="200"/>
        <w:rPr>
          <w:rFonts w:ascii="仿宋_GB2312" w:eastAsia="仿宋_GB2312" w:cs="宋体-18030"/>
          <w:color w:val="000000"/>
          <w:sz w:val="28"/>
          <w:szCs w:val="28"/>
        </w:rPr>
      </w:pPr>
      <w:r>
        <w:rPr>
          <w:rFonts w:hint="eastAsia" w:ascii="仿宋_GB2312" w:eastAsia="仿宋_GB2312" w:cs="宋体-18030"/>
          <w:color w:val="000000"/>
          <w:sz w:val="28"/>
          <w:szCs w:val="28"/>
        </w:rPr>
        <w:t>3.国家计委、建设部计价格[2002]10号《关于发布〈工程勘察设计收费管理规定〉的通知》。</w:t>
      </w:r>
    </w:p>
    <w:p>
      <w:pPr>
        <w:spacing w:line="360" w:lineRule="auto"/>
        <w:ind w:firstLine="560" w:firstLineChars="200"/>
        <w:rPr>
          <w:rFonts w:ascii="仿宋_GB2312" w:eastAsia="仿宋_GB2312" w:cs="宋体-18030"/>
          <w:color w:val="000000"/>
          <w:sz w:val="28"/>
          <w:szCs w:val="28"/>
        </w:rPr>
      </w:pPr>
      <w:r>
        <w:rPr>
          <w:rFonts w:hint="eastAsia" w:ascii="仿宋_GB2312" w:eastAsia="仿宋_GB2312" w:cs="宋体-18030"/>
          <w:color w:val="000000"/>
          <w:sz w:val="28"/>
          <w:szCs w:val="28"/>
        </w:rPr>
        <w:t>4.国家计委计投资</w:t>
      </w:r>
      <w:r>
        <w:rPr>
          <w:rFonts w:ascii="仿宋_GB2312" w:eastAsia="仿宋_GB2312" w:cs="宋体-18030"/>
          <w:color w:val="000000"/>
          <w:sz w:val="28"/>
          <w:szCs w:val="28"/>
        </w:rPr>
        <w:t>[1999]1340号《国家计委关于加强对基本建设大中</w:t>
      </w:r>
      <w:r>
        <w:rPr>
          <w:rFonts w:hint="eastAsia" w:ascii="仿宋_GB2312" w:eastAsia="仿宋_GB2312" w:cs="宋体-18030"/>
          <w:color w:val="000000"/>
          <w:sz w:val="28"/>
          <w:szCs w:val="28"/>
        </w:rPr>
        <w:t>型项目概算中“涨价预备费”管理有关问题的通知》。</w:t>
      </w:r>
    </w:p>
    <w:p>
      <w:pPr>
        <w:spacing w:line="360" w:lineRule="auto"/>
        <w:ind w:firstLine="560" w:firstLineChars="200"/>
        <w:rPr>
          <w:rFonts w:ascii="仿宋_GB2312" w:eastAsia="仿宋_GB2312" w:cs="宋体-18030"/>
          <w:color w:val="000000"/>
          <w:sz w:val="28"/>
          <w:szCs w:val="28"/>
        </w:rPr>
      </w:pPr>
      <w:r>
        <w:rPr>
          <w:rFonts w:hint="eastAsia" w:ascii="仿宋_GB2312" w:eastAsia="仿宋_GB2312" w:cs="宋体-18030"/>
          <w:color w:val="000000"/>
          <w:sz w:val="28"/>
          <w:szCs w:val="28"/>
        </w:rPr>
        <w:t>5.</w:t>
      </w:r>
      <w:r>
        <w:rPr>
          <w:rFonts w:ascii="仿宋_GB2312" w:eastAsia="仿宋_GB2312" w:cs="宋体-18030"/>
          <w:color w:val="000000"/>
          <w:sz w:val="28"/>
          <w:szCs w:val="28"/>
        </w:rPr>
        <w:t>国家计委《关于工程建设其他项目划分暂行规定》、《关于改进建筑安装工程费用项目划分的若干规定》。</w:t>
      </w:r>
    </w:p>
    <w:p>
      <w:pPr>
        <w:spacing w:line="360" w:lineRule="auto"/>
        <w:ind w:firstLine="560" w:firstLineChars="200"/>
        <w:rPr>
          <w:rFonts w:ascii="仿宋_GB2312" w:eastAsia="仿宋_GB2312" w:cs="宋体-18030"/>
          <w:color w:val="000000"/>
          <w:sz w:val="28"/>
          <w:szCs w:val="28"/>
        </w:rPr>
      </w:pPr>
      <w:r>
        <w:rPr>
          <w:rFonts w:hint="eastAsia" w:ascii="仿宋_GB2312" w:eastAsia="仿宋_GB2312" w:cs="宋体-18030"/>
          <w:color w:val="000000"/>
          <w:sz w:val="28"/>
          <w:szCs w:val="28"/>
        </w:rPr>
        <w:t>6.国家标准《建设工程工程量清单计价规范》(GB50500-2013)、《广东省建设工程计价通则（2010）》。</w:t>
      </w:r>
    </w:p>
    <w:p>
      <w:pPr>
        <w:spacing w:line="360" w:lineRule="auto"/>
        <w:ind w:firstLine="560" w:firstLineChars="200"/>
        <w:rPr>
          <w:rFonts w:ascii="仿宋_GB2312" w:eastAsia="仿宋_GB2312" w:cs="宋体-18030"/>
          <w:color w:val="000000"/>
          <w:sz w:val="28"/>
          <w:szCs w:val="28"/>
        </w:rPr>
      </w:pPr>
      <w:r>
        <w:rPr>
          <w:rFonts w:hint="eastAsia" w:ascii="仿宋_GB2312" w:eastAsia="仿宋_GB2312" w:cs="宋体-18030"/>
          <w:color w:val="000000"/>
          <w:sz w:val="28"/>
          <w:szCs w:val="28"/>
        </w:rPr>
        <w:t>7.发改价格[2007]670号文《建设工程监理与相关服务收费管理规定》、</w:t>
      </w:r>
      <w:r>
        <w:rPr>
          <w:rFonts w:hint="eastAsia" w:ascii="仿宋_GB2312" w:hAnsi="Arial" w:eastAsia="仿宋_GB2312"/>
          <w:color w:val="000000" w:themeColor="text1"/>
          <w:sz w:val="28"/>
          <w:szCs w:val="28"/>
        </w:rPr>
        <w:t>发改价格[2011]534号文《国家发展改革委关于降低部分建设项目收费标准规划收费行为等有关问题的通知》</w:t>
      </w:r>
      <w:r>
        <w:rPr>
          <w:rFonts w:hint="eastAsia" w:ascii="仿宋_GB2312" w:eastAsia="仿宋_GB2312" w:cs="宋体-18030"/>
          <w:color w:val="000000"/>
          <w:sz w:val="28"/>
          <w:szCs w:val="28"/>
        </w:rPr>
        <w:t>。</w:t>
      </w:r>
    </w:p>
    <w:p>
      <w:pPr>
        <w:spacing w:line="360" w:lineRule="auto"/>
        <w:ind w:firstLine="560" w:firstLineChars="200"/>
        <w:rPr>
          <w:rFonts w:hint="eastAsia" w:ascii="仿宋_GB2312" w:eastAsia="仿宋_GB2312" w:cs="宋体-18030"/>
          <w:color w:val="000000"/>
          <w:sz w:val="28"/>
          <w:szCs w:val="28"/>
        </w:rPr>
      </w:pPr>
      <w:r>
        <w:rPr>
          <w:rFonts w:hint="eastAsia" w:ascii="仿宋_GB2312" w:eastAsia="仿宋_GB2312" w:cs="宋体-18030"/>
          <w:color w:val="000000"/>
          <w:sz w:val="28"/>
          <w:szCs w:val="28"/>
        </w:rPr>
        <w:t>8.</w:t>
      </w:r>
      <w:r>
        <w:rPr>
          <w:rFonts w:hint="eastAsia" w:ascii="仿宋_GB2312" w:hAnsi="Arial" w:eastAsia="仿宋_GB2312"/>
          <w:color w:val="000000"/>
          <w:sz w:val="28"/>
          <w:szCs w:val="28"/>
        </w:rPr>
        <w:t>国家计委计价格[2002]1980号《国家计委关于印发〈招标代理服务收费管理暂行办法〉的通知》</w:t>
      </w:r>
      <w:r>
        <w:rPr>
          <w:rFonts w:hint="eastAsia" w:ascii="仿宋_GB2312" w:hAnsi="Arial" w:eastAsia="仿宋_GB2312"/>
          <w:color w:val="000000"/>
          <w:sz w:val="28"/>
          <w:szCs w:val="28"/>
          <w:lang w:eastAsia="zh-CN"/>
        </w:rPr>
        <w:t>。</w:t>
      </w:r>
    </w:p>
    <w:p>
      <w:pPr>
        <w:spacing w:line="360" w:lineRule="auto"/>
        <w:ind w:firstLine="560" w:firstLineChars="200"/>
        <w:rPr>
          <w:rFonts w:ascii="仿宋_GB2312" w:eastAsia="仿宋_GB2312" w:cs="宋体-18030"/>
          <w:color w:val="000000"/>
          <w:sz w:val="28"/>
          <w:szCs w:val="28"/>
        </w:rPr>
      </w:pPr>
      <w:r>
        <w:rPr>
          <w:rFonts w:hint="eastAsia" w:ascii="仿宋_GB2312" w:eastAsia="仿宋_GB2312" w:cs="宋体-18030"/>
          <w:color w:val="000000"/>
          <w:sz w:val="28"/>
          <w:szCs w:val="28"/>
        </w:rPr>
        <w:t>9.《广东省建筑与装饰工程综合定额（2010</w:t>
      </w:r>
      <w:r>
        <w:rPr>
          <w:rFonts w:ascii="仿宋_GB2312" w:eastAsia="仿宋_GB2312" w:cs="宋体-18030"/>
          <w:color w:val="000000"/>
          <w:sz w:val="28"/>
          <w:szCs w:val="28"/>
        </w:rPr>
        <w:t>）</w:t>
      </w:r>
      <w:r>
        <w:rPr>
          <w:rFonts w:hint="eastAsia" w:ascii="仿宋_GB2312" w:eastAsia="仿宋_GB2312" w:cs="宋体-18030"/>
          <w:color w:val="000000"/>
          <w:sz w:val="28"/>
          <w:szCs w:val="28"/>
        </w:rPr>
        <w:t>》</w:t>
      </w:r>
      <w:r>
        <w:rPr>
          <w:rFonts w:ascii="仿宋_GB2312" w:eastAsia="仿宋_GB2312" w:cs="宋体-18030"/>
          <w:color w:val="000000"/>
          <w:sz w:val="28"/>
          <w:szCs w:val="28"/>
        </w:rPr>
        <w:t>。</w:t>
      </w:r>
    </w:p>
    <w:p>
      <w:pPr>
        <w:spacing w:line="360" w:lineRule="auto"/>
        <w:ind w:firstLine="560" w:firstLineChars="200"/>
        <w:rPr>
          <w:rFonts w:ascii="仿宋_GB2312" w:eastAsia="仿宋_GB2312" w:cs="宋体-18030"/>
          <w:color w:val="000000"/>
          <w:sz w:val="28"/>
          <w:szCs w:val="28"/>
        </w:rPr>
      </w:pPr>
      <w:r>
        <w:rPr>
          <w:rFonts w:hint="eastAsia" w:ascii="仿宋_GB2312" w:eastAsia="仿宋_GB2312" w:cs="宋体-18030"/>
          <w:color w:val="000000"/>
          <w:sz w:val="28"/>
          <w:szCs w:val="28"/>
        </w:rPr>
        <w:t>10.《广东省安装工程综合定额（2010）》。</w:t>
      </w:r>
    </w:p>
    <w:p>
      <w:pPr>
        <w:spacing w:line="360" w:lineRule="auto"/>
        <w:ind w:firstLine="560" w:firstLineChars="200"/>
        <w:rPr>
          <w:rFonts w:ascii="仿宋_GB2312" w:eastAsia="仿宋_GB2312" w:cs="宋体-18030"/>
          <w:color w:val="000000"/>
          <w:sz w:val="28"/>
          <w:szCs w:val="28"/>
        </w:rPr>
      </w:pPr>
      <w:r>
        <w:rPr>
          <w:rFonts w:ascii="仿宋_GB2312" w:eastAsia="仿宋_GB2312" w:cs="宋体-18030"/>
          <w:color w:val="000000"/>
          <w:sz w:val="28"/>
          <w:szCs w:val="28"/>
        </w:rPr>
        <w:t>1</w:t>
      </w:r>
      <w:r>
        <w:rPr>
          <w:rFonts w:hint="eastAsia" w:ascii="仿宋_GB2312" w:eastAsia="仿宋_GB2312" w:cs="宋体-18030"/>
          <w:color w:val="000000"/>
          <w:sz w:val="28"/>
          <w:szCs w:val="28"/>
        </w:rPr>
        <w:t>1.</w:t>
      </w:r>
      <w:r>
        <w:rPr>
          <w:rFonts w:ascii="仿宋_GB2312" w:eastAsia="仿宋_GB2312" w:cs="宋体-18030"/>
          <w:color w:val="000000"/>
          <w:sz w:val="28"/>
          <w:szCs w:val="28"/>
        </w:rPr>
        <w:t>项目业主单位提供的其他相关资料。</w:t>
      </w:r>
    </w:p>
    <w:p>
      <w:pPr>
        <w:pStyle w:val="3"/>
        <w:rPr>
          <w:rFonts w:ascii="仿宋_GB2312" w:eastAsia="仿宋_GB2312" w:cs="Arial"/>
          <w:color w:val="000000"/>
          <w:sz w:val="28"/>
          <w:szCs w:val="28"/>
        </w:rPr>
      </w:pPr>
      <w:bookmarkStart w:id="74" w:name="_Toc217104207"/>
      <w:bookmarkStart w:id="75" w:name="_Toc196018787"/>
      <w:bookmarkStart w:id="76" w:name="_Toc464510837"/>
      <w:bookmarkStart w:id="77" w:name="_Toc193706156"/>
      <w:r>
        <w:rPr>
          <w:rFonts w:hint="eastAsia" w:ascii="仿宋_GB2312" w:eastAsia="仿宋_GB2312" w:cs="Arial"/>
          <w:color w:val="000000"/>
          <w:sz w:val="28"/>
          <w:szCs w:val="28"/>
        </w:rPr>
        <w:t>10.3 建筑工程其它费用及预备费取费费率</w:t>
      </w:r>
      <w:bookmarkEnd w:id="74"/>
      <w:bookmarkEnd w:id="75"/>
      <w:bookmarkEnd w:id="76"/>
      <w:bookmarkEnd w:id="77"/>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1、建设单位管理费，按财建[2002]394号文计算；</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2、工程设计费，按国家计委、建设部计价格[2002]10号《关于发布〈工程勘察设计收费管理规定〉的通知》计算；</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3、勘察费及审查费：取工程费用的</w:t>
      </w:r>
      <w:r>
        <w:rPr>
          <w:rFonts w:ascii="仿宋_GB2312" w:hAnsi="Arial" w:eastAsia="仿宋_GB2312"/>
          <w:color w:val="000000" w:themeColor="text1"/>
          <w:sz w:val="28"/>
          <w:szCs w:val="28"/>
        </w:rPr>
        <w:t>1%</w:t>
      </w:r>
      <w:r>
        <w:rPr>
          <w:rFonts w:hint="eastAsia" w:ascii="仿宋_GB2312" w:hAnsi="Arial" w:eastAsia="仿宋_GB2312"/>
          <w:color w:val="000000" w:themeColor="text1"/>
          <w:sz w:val="28"/>
          <w:szCs w:val="28"/>
        </w:rPr>
        <w:t>估算；</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4、工程监理费，按照《建设工程监理与相关服务收费标准》</w:t>
      </w:r>
      <w:r>
        <w:rPr>
          <w:rFonts w:hint="eastAsia" w:ascii="仿宋_GB2312" w:hAnsi="Arial" w:eastAsia="仿宋_GB2312"/>
          <w:color w:val="000000" w:themeColor="text1"/>
          <w:sz w:val="28"/>
          <w:szCs w:val="28"/>
          <w:lang w:eastAsia="zh-CN"/>
        </w:rPr>
        <w:t>下</w:t>
      </w:r>
      <w:r>
        <w:rPr>
          <w:rFonts w:hint="eastAsia" w:ascii="仿宋_GB2312" w:hAnsi="Arial" w:eastAsia="仿宋_GB2312"/>
          <w:color w:val="000000" w:themeColor="text1"/>
          <w:sz w:val="28"/>
          <w:szCs w:val="28"/>
          <w:highlight w:val="none"/>
          <w:lang w:eastAsia="zh-CN"/>
        </w:rPr>
        <w:t>浮</w:t>
      </w:r>
      <w:r>
        <w:rPr>
          <w:rFonts w:hint="eastAsia" w:ascii="仿宋_GB2312" w:hAnsi="Arial" w:eastAsia="仿宋_GB2312"/>
          <w:color w:val="000000" w:themeColor="text1"/>
          <w:sz w:val="28"/>
          <w:szCs w:val="28"/>
          <w:highlight w:val="none"/>
          <w:lang w:val="en-US" w:eastAsia="zh-CN"/>
        </w:rPr>
        <w:t>15%计算</w:t>
      </w:r>
      <w:r>
        <w:rPr>
          <w:rFonts w:hint="eastAsia" w:ascii="仿宋_GB2312" w:hAnsi="Arial" w:eastAsia="仿宋_GB2312"/>
          <w:color w:val="000000" w:themeColor="text1"/>
          <w:sz w:val="28"/>
          <w:szCs w:val="28"/>
          <w:highlight w:val="none"/>
        </w:rPr>
        <w:t>，</w:t>
      </w:r>
      <w:r>
        <w:rPr>
          <w:rFonts w:hint="eastAsia" w:ascii="仿宋_GB2312" w:hAnsi="Arial" w:eastAsia="仿宋_GB2312"/>
          <w:color w:val="000000" w:themeColor="text1"/>
          <w:sz w:val="28"/>
          <w:szCs w:val="28"/>
        </w:rPr>
        <w:t>采用插入法计算；</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5、招标代理费，根据《国家发展改革委关于降低部分建设项目收费标准规划收费行为等有关问题的通知》发改价格[2011]534号文计取；</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6、城市建设配套费，参照粤价2003[160]号文计算；</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7、施工图审查费，取设计费的6.5%；</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8、施工图预算编制费，取设计费的10%；</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9、可行性研究报告及节能登记表编审费，</w:t>
      </w:r>
      <w:r>
        <w:rPr>
          <w:rFonts w:hint="eastAsia" w:ascii="仿宋_GB2312" w:eastAsia="仿宋_GB2312" w:cs="宋体-18030"/>
          <w:color w:val="000000"/>
          <w:sz w:val="28"/>
          <w:szCs w:val="28"/>
        </w:rPr>
        <w:t>参考粤价[2000]8号文估算</w:t>
      </w:r>
      <w:r>
        <w:rPr>
          <w:rFonts w:hint="eastAsia" w:ascii="仿宋_GB2312" w:hAnsi="Arial" w:eastAsia="仿宋_GB2312"/>
          <w:color w:val="000000" w:themeColor="text1"/>
          <w:sz w:val="28"/>
          <w:szCs w:val="28"/>
        </w:rPr>
        <w:t>；</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10、环境影响评价报告编审费，</w:t>
      </w:r>
      <w:r>
        <w:rPr>
          <w:rFonts w:hint="eastAsia" w:ascii="仿宋_GB2312" w:eastAsia="仿宋_GB2312" w:cs="宋体-18030"/>
          <w:color w:val="000000"/>
          <w:sz w:val="28"/>
          <w:szCs w:val="28"/>
        </w:rPr>
        <w:t>参考粤价[2000]8号文估算</w:t>
      </w:r>
      <w:r>
        <w:rPr>
          <w:rFonts w:hint="eastAsia" w:ascii="仿宋_GB2312" w:hAnsi="Arial" w:eastAsia="仿宋_GB2312"/>
          <w:color w:val="000000" w:themeColor="text1"/>
          <w:sz w:val="28"/>
          <w:szCs w:val="28"/>
        </w:rPr>
        <w:t>；</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hAnsi="Arial" w:eastAsia="仿宋_GB2312"/>
          <w:color w:val="000000" w:themeColor="text1"/>
          <w:sz w:val="28"/>
          <w:szCs w:val="28"/>
        </w:rPr>
        <w:t>11、数据地形图费、定线费、环保监测费、防雷检测费等按根据实际情况进行暂估；</w:t>
      </w:r>
    </w:p>
    <w:p>
      <w:pPr>
        <w:spacing w:beforeLines="50" w:afterLines="50" w:line="540" w:lineRule="exact"/>
        <w:ind w:firstLine="560" w:firstLineChars="200"/>
        <w:rPr>
          <w:rFonts w:ascii="仿宋_GB2312" w:hAnsi="Arial" w:eastAsia="仿宋_GB2312"/>
          <w:color w:val="000000" w:themeColor="text1"/>
          <w:sz w:val="28"/>
          <w:szCs w:val="28"/>
        </w:rPr>
      </w:pPr>
      <w:r>
        <w:rPr>
          <w:rFonts w:ascii="仿宋_GB2312" w:hAnsi="Arial" w:eastAsia="仿宋_GB2312"/>
          <w:color w:val="000000" w:themeColor="text1"/>
          <w:sz w:val="28"/>
          <w:szCs w:val="28"/>
        </w:rPr>
        <w:t>12</w:t>
      </w:r>
      <w:r>
        <w:rPr>
          <w:rFonts w:hint="eastAsia" w:ascii="仿宋_GB2312" w:hAnsi="Arial" w:eastAsia="仿宋_GB2312"/>
          <w:color w:val="000000" w:themeColor="text1"/>
          <w:sz w:val="28"/>
          <w:szCs w:val="28"/>
        </w:rPr>
        <w:t>、基本预备费，取工程费用和其他费用（不含土地费用）之和的</w:t>
      </w:r>
      <w:r>
        <w:rPr>
          <w:rFonts w:ascii="仿宋_GB2312" w:hAnsi="Arial" w:eastAsia="仿宋_GB2312"/>
          <w:color w:val="000000" w:themeColor="text1"/>
          <w:sz w:val="28"/>
          <w:szCs w:val="28"/>
        </w:rPr>
        <w:t>6</w:t>
      </w:r>
      <w:r>
        <w:rPr>
          <w:rFonts w:hint="eastAsia" w:ascii="仿宋_GB2312" w:hAnsi="Arial" w:eastAsia="仿宋_GB2312"/>
          <w:color w:val="000000" w:themeColor="text1"/>
          <w:sz w:val="28"/>
          <w:szCs w:val="28"/>
          <w:lang w:val="en-US" w:eastAsia="zh-CN"/>
        </w:rPr>
        <w:t>.16</w:t>
      </w:r>
      <w:r>
        <w:rPr>
          <w:rFonts w:hint="eastAsia" w:ascii="仿宋_GB2312" w:hAnsi="Arial" w:eastAsia="仿宋_GB2312"/>
          <w:color w:val="000000" w:themeColor="text1"/>
          <w:sz w:val="28"/>
          <w:szCs w:val="28"/>
        </w:rPr>
        <w:t>%；</w:t>
      </w:r>
    </w:p>
    <w:p>
      <w:pPr>
        <w:spacing w:beforeLines="50" w:afterLines="50" w:line="540" w:lineRule="exact"/>
        <w:ind w:firstLine="560" w:firstLineChars="200"/>
        <w:rPr>
          <w:rFonts w:ascii="仿宋_GB2312" w:hAnsi="Arial" w:eastAsia="仿宋_GB2312"/>
          <w:color w:val="000000" w:themeColor="text1"/>
          <w:sz w:val="28"/>
          <w:szCs w:val="28"/>
        </w:rPr>
      </w:pPr>
      <w:r>
        <w:rPr>
          <w:rFonts w:ascii="仿宋_GB2312" w:hAnsi="Arial" w:eastAsia="仿宋_GB2312"/>
          <w:color w:val="000000" w:themeColor="text1"/>
          <w:sz w:val="28"/>
          <w:szCs w:val="28"/>
        </w:rPr>
        <w:t>13</w:t>
      </w:r>
      <w:r>
        <w:rPr>
          <w:rFonts w:hint="eastAsia" w:ascii="仿宋_GB2312" w:hAnsi="Arial" w:eastAsia="仿宋_GB2312"/>
          <w:color w:val="000000" w:themeColor="text1"/>
          <w:sz w:val="28"/>
          <w:szCs w:val="28"/>
        </w:rPr>
        <w:t>、涨价预备费，据相关政策取0。</w:t>
      </w:r>
    </w:p>
    <w:p>
      <w:pPr>
        <w:pStyle w:val="3"/>
        <w:rPr>
          <w:rFonts w:ascii="仿宋_GB2312" w:eastAsia="仿宋_GB2312" w:cs="Arial"/>
          <w:color w:val="000000"/>
          <w:sz w:val="28"/>
          <w:szCs w:val="28"/>
        </w:rPr>
      </w:pPr>
      <w:bookmarkStart w:id="78" w:name="_Toc193706157"/>
      <w:bookmarkStart w:id="79" w:name="_Toc196018788"/>
      <w:bookmarkStart w:id="80" w:name="_Toc464510838"/>
      <w:bookmarkStart w:id="81" w:name="_Toc217104208"/>
      <w:r>
        <w:rPr>
          <w:rFonts w:hint="eastAsia" w:ascii="仿宋_GB2312" w:eastAsia="仿宋_GB2312" w:cs="Arial"/>
          <w:color w:val="000000"/>
          <w:sz w:val="28"/>
          <w:szCs w:val="28"/>
        </w:rPr>
        <w:t xml:space="preserve">10.4 </w:t>
      </w:r>
      <w:bookmarkEnd w:id="78"/>
      <w:r>
        <w:rPr>
          <w:rFonts w:hint="eastAsia" w:ascii="仿宋_GB2312" w:eastAsia="仿宋_GB2312" w:cs="Arial"/>
          <w:color w:val="000000"/>
          <w:sz w:val="28"/>
          <w:szCs w:val="28"/>
        </w:rPr>
        <w:t>总投资</w:t>
      </w:r>
      <w:bookmarkEnd w:id="79"/>
      <w:bookmarkEnd w:id="80"/>
      <w:bookmarkEnd w:id="81"/>
    </w:p>
    <w:p>
      <w:pPr>
        <w:spacing w:beforeLines="50" w:afterLines="50" w:line="540" w:lineRule="exact"/>
        <w:ind w:firstLine="560" w:firstLineChars="200"/>
        <w:rPr>
          <w:rFonts w:ascii="仿宋_GB2312" w:hAnsi="Arial" w:eastAsia="仿宋_GB2312"/>
          <w:color w:val="000000" w:themeColor="text1"/>
          <w:sz w:val="28"/>
          <w:szCs w:val="28"/>
          <w:highlight w:val="none"/>
        </w:rPr>
      </w:pPr>
      <w:r>
        <w:rPr>
          <w:rFonts w:hint="eastAsia" w:ascii="仿宋_GB2312" w:hAnsi="Arial" w:eastAsia="仿宋_GB2312"/>
          <w:color w:val="000000" w:themeColor="text1"/>
          <w:sz w:val="28"/>
          <w:szCs w:val="28"/>
        </w:rPr>
        <w:t>本项目建设投资</w:t>
      </w:r>
      <w:r>
        <w:rPr>
          <w:rFonts w:hint="eastAsia" w:ascii="仿宋_GB2312" w:hAnsi="Arial" w:eastAsia="仿宋_GB2312"/>
          <w:color w:val="000000" w:themeColor="text1"/>
          <w:sz w:val="28"/>
          <w:szCs w:val="28"/>
          <w:highlight w:val="none"/>
          <w:lang w:eastAsia="zh-CN"/>
        </w:rPr>
        <w:t>2672.65</w:t>
      </w:r>
      <w:r>
        <w:rPr>
          <w:rFonts w:hint="eastAsia" w:ascii="仿宋_GB2312" w:hAnsi="Arial" w:eastAsia="仿宋_GB2312"/>
          <w:color w:val="000000" w:themeColor="text1"/>
          <w:sz w:val="28"/>
          <w:szCs w:val="28"/>
          <w:highlight w:val="none"/>
        </w:rPr>
        <w:t>万元，其中工程费用</w:t>
      </w:r>
      <w:r>
        <w:rPr>
          <w:rFonts w:ascii="仿宋_GB2312" w:hAnsi="Arial" w:eastAsia="仿宋_GB2312"/>
          <w:color w:val="000000" w:themeColor="text1"/>
          <w:sz w:val="28"/>
          <w:szCs w:val="28"/>
          <w:highlight w:val="none"/>
        </w:rPr>
        <w:t>2014.</w:t>
      </w:r>
      <w:r>
        <w:rPr>
          <w:rFonts w:hint="eastAsia" w:ascii="仿宋_GB2312" w:hAnsi="Arial" w:eastAsia="仿宋_GB2312"/>
          <w:color w:val="000000" w:themeColor="text1"/>
          <w:sz w:val="28"/>
          <w:szCs w:val="28"/>
          <w:highlight w:val="none"/>
        </w:rPr>
        <w:t>09万元、其它费用</w:t>
      </w:r>
      <w:r>
        <w:rPr>
          <w:rFonts w:hint="eastAsia" w:ascii="仿宋_GB2312" w:hAnsi="Arial" w:eastAsia="仿宋_GB2312"/>
          <w:color w:val="000000" w:themeColor="text1"/>
          <w:sz w:val="28"/>
          <w:szCs w:val="28"/>
          <w:highlight w:val="none"/>
          <w:lang w:eastAsia="zh-CN"/>
        </w:rPr>
        <w:t>310.42</w:t>
      </w:r>
      <w:r>
        <w:rPr>
          <w:rFonts w:hint="eastAsia" w:ascii="仿宋_GB2312" w:hAnsi="Arial" w:eastAsia="仿宋_GB2312"/>
          <w:color w:val="000000" w:themeColor="text1"/>
          <w:sz w:val="28"/>
          <w:szCs w:val="28"/>
          <w:highlight w:val="none"/>
        </w:rPr>
        <w:t>万元、预备费</w:t>
      </w:r>
      <w:r>
        <w:rPr>
          <w:rFonts w:hint="eastAsia" w:ascii="仿宋_GB2312" w:hAnsi="Arial" w:eastAsia="仿宋_GB2312"/>
          <w:color w:val="000000" w:themeColor="text1"/>
          <w:sz w:val="28"/>
          <w:szCs w:val="28"/>
          <w:highlight w:val="none"/>
          <w:lang w:eastAsia="zh-CN"/>
        </w:rPr>
        <w:t>143.14</w:t>
      </w:r>
      <w:r>
        <w:rPr>
          <w:rFonts w:hint="eastAsia" w:ascii="仿宋_GB2312" w:hAnsi="Arial" w:eastAsia="仿宋_GB2312"/>
          <w:color w:val="000000" w:themeColor="text1"/>
          <w:sz w:val="28"/>
          <w:szCs w:val="28"/>
          <w:highlight w:val="none"/>
        </w:rPr>
        <w:t>万元</w:t>
      </w:r>
      <w:r>
        <w:rPr>
          <w:rFonts w:hint="eastAsia" w:ascii="仿宋_GB2312" w:hAnsi="Arial" w:eastAsia="仿宋_GB2312"/>
          <w:color w:val="000000" w:themeColor="text1"/>
          <w:sz w:val="28"/>
          <w:szCs w:val="28"/>
          <w:highlight w:val="none"/>
          <w:lang w:eastAsia="zh-CN"/>
        </w:rPr>
        <w:t>、征地拆迁费</w:t>
      </w:r>
      <w:r>
        <w:rPr>
          <w:rFonts w:hint="eastAsia" w:ascii="仿宋_GB2312" w:hAnsi="Arial" w:eastAsia="仿宋_GB2312"/>
          <w:color w:val="000000" w:themeColor="text1"/>
          <w:sz w:val="28"/>
          <w:szCs w:val="28"/>
          <w:highlight w:val="none"/>
          <w:lang w:val="en-US" w:eastAsia="zh-CN"/>
        </w:rPr>
        <w:t>205.00万元。</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highlight w:val="none"/>
        </w:rPr>
        <w:t>项目没有建设投资贷款，且为非生产性项目，不设流动资金，所以总投资为建设投资，即</w:t>
      </w:r>
      <w:r>
        <w:rPr>
          <w:rFonts w:hint="eastAsia" w:ascii="仿宋_GB2312" w:hAnsi="Arial" w:eastAsia="仿宋_GB2312"/>
          <w:color w:val="000000"/>
          <w:sz w:val="28"/>
          <w:szCs w:val="28"/>
          <w:highlight w:val="none"/>
          <w:lang w:eastAsia="zh-CN"/>
        </w:rPr>
        <w:t>2672.65</w:t>
      </w:r>
      <w:r>
        <w:rPr>
          <w:rFonts w:hint="eastAsia" w:ascii="仿宋_GB2312" w:hAnsi="Arial" w:eastAsia="仿宋_GB2312"/>
          <w:color w:val="000000"/>
          <w:sz w:val="28"/>
          <w:szCs w:val="28"/>
        </w:rPr>
        <w:t>万元。</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 xml:space="preserve">建设投资估算表见表10-1。 </w:t>
      </w:r>
    </w:p>
    <w:p>
      <w:pPr>
        <w:spacing w:beforeLines="50" w:afterLines="50" w:line="540" w:lineRule="exact"/>
        <w:ind w:firstLine="480" w:firstLineChars="200"/>
        <w:rPr>
          <w:rFonts w:ascii="仿宋_GB2312" w:hAnsi="Arial" w:eastAsia="仿宋_GB2312"/>
          <w:color w:val="FF0000"/>
          <w:sz w:val="24"/>
        </w:rPr>
        <w:sectPr>
          <w:pgSz w:w="11906" w:h="16838"/>
          <w:pgMar w:top="1440" w:right="1800" w:bottom="1440" w:left="1800" w:header="851" w:footer="992" w:gutter="0"/>
          <w:cols w:space="425" w:num="1"/>
          <w:docGrid w:type="lines" w:linePitch="312" w:charSpace="0"/>
        </w:sectPr>
      </w:pPr>
    </w:p>
    <w:p>
      <w:pPr>
        <w:spacing w:beforeLines="50" w:afterLines="50" w:line="540" w:lineRule="exact"/>
        <w:jc w:val="center"/>
        <w:rPr>
          <w:rFonts w:ascii="仿宋_GB2312" w:hAnsi="Arial" w:eastAsia="仿宋_GB2312"/>
          <w:b/>
          <w:color w:val="000000"/>
          <w:sz w:val="28"/>
          <w:szCs w:val="28"/>
        </w:rPr>
      </w:pPr>
      <w:r>
        <w:rPr>
          <w:rFonts w:hint="eastAsia" w:ascii="仿宋_GB2312" w:hAnsi="Arial" w:eastAsia="仿宋_GB2312"/>
          <w:b/>
          <w:color w:val="000000"/>
          <w:sz w:val="28"/>
          <w:szCs w:val="28"/>
        </w:rPr>
        <w:t>建设投资估算表</w:t>
      </w:r>
    </w:p>
    <w:p>
      <w:pPr>
        <w:spacing w:line="540" w:lineRule="exact"/>
        <w:rPr>
          <w:rFonts w:ascii="仿宋_GB2312" w:hAnsi="Arial" w:eastAsia="仿宋_GB2312"/>
          <w:color w:val="000000"/>
          <w:sz w:val="24"/>
        </w:rPr>
      </w:pPr>
      <w:r>
        <w:rPr>
          <w:rFonts w:hint="eastAsia" w:ascii="仿宋_GB2312" w:hAnsi="Arial" w:eastAsia="仿宋_GB2312"/>
          <w:color w:val="000000"/>
          <w:sz w:val="24"/>
        </w:rPr>
        <w:t>表10-1                                                                                                  单位：万元</w:t>
      </w:r>
    </w:p>
    <w:tbl>
      <w:tblPr>
        <w:tblStyle w:val="28"/>
        <w:tblW w:w="15009" w:type="dxa"/>
        <w:jc w:val="center"/>
        <w:tblInd w:w="0" w:type="dxa"/>
        <w:tblLayout w:type="fixed"/>
        <w:tblCellMar>
          <w:top w:w="0" w:type="dxa"/>
          <w:left w:w="108" w:type="dxa"/>
          <w:bottom w:w="0" w:type="dxa"/>
          <w:right w:w="108" w:type="dxa"/>
        </w:tblCellMar>
      </w:tblPr>
      <w:tblGrid>
        <w:gridCol w:w="884"/>
        <w:gridCol w:w="3681"/>
        <w:gridCol w:w="880"/>
        <w:gridCol w:w="1120"/>
        <w:gridCol w:w="1330"/>
        <w:gridCol w:w="1560"/>
        <w:gridCol w:w="1100"/>
        <w:gridCol w:w="1580"/>
        <w:gridCol w:w="1414"/>
        <w:gridCol w:w="1460"/>
      </w:tblGrid>
      <w:tr>
        <w:tblPrEx>
          <w:tblLayout w:type="fixed"/>
          <w:tblCellMar>
            <w:top w:w="0" w:type="dxa"/>
            <w:left w:w="108" w:type="dxa"/>
            <w:bottom w:w="0" w:type="dxa"/>
            <w:right w:w="108" w:type="dxa"/>
          </w:tblCellMar>
        </w:tblPrEx>
        <w:trPr>
          <w:trHeight w:val="525" w:hRule="atLeast"/>
          <w:tblHeader/>
          <w:jc w:val="center"/>
        </w:trPr>
        <w:tc>
          <w:tcPr>
            <w:tcW w:w="884" w:type="dxa"/>
            <w:tcBorders>
              <w:top w:val="double" w:color="auto" w:sz="6" w:space="0"/>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序号</w:t>
            </w:r>
          </w:p>
        </w:tc>
        <w:tc>
          <w:tcPr>
            <w:tcW w:w="3681" w:type="dxa"/>
            <w:tcBorders>
              <w:top w:val="double" w:color="auto" w:sz="6"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项目内容</w:t>
            </w:r>
          </w:p>
        </w:tc>
        <w:tc>
          <w:tcPr>
            <w:tcW w:w="880" w:type="dxa"/>
            <w:tcBorders>
              <w:top w:val="double" w:color="auto" w:sz="6"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单位</w:t>
            </w:r>
          </w:p>
        </w:tc>
        <w:tc>
          <w:tcPr>
            <w:tcW w:w="1120" w:type="dxa"/>
            <w:tcBorders>
              <w:top w:val="double" w:color="auto" w:sz="6"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数量</w:t>
            </w:r>
          </w:p>
        </w:tc>
        <w:tc>
          <w:tcPr>
            <w:tcW w:w="1330" w:type="dxa"/>
            <w:tcBorders>
              <w:top w:val="double" w:color="auto" w:sz="6"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单价（元）</w:t>
            </w:r>
          </w:p>
        </w:tc>
        <w:tc>
          <w:tcPr>
            <w:tcW w:w="1560" w:type="dxa"/>
            <w:tcBorders>
              <w:top w:val="double" w:color="auto" w:sz="6"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建筑工程费</w:t>
            </w:r>
          </w:p>
        </w:tc>
        <w:tc>
          <w:tcPr>
            <w:tcW w:w="1100" w:type="dxa"/>
            <w:tcBorders>
              <w:top w:val="double" w:color="auto" w:sz="6"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其他费用</w:t>
            </w:r>
          </w:p>
        </w:tc>
        <w:tc>
          <w:tcPr>
            <w:tcW w:w="1580" w:type="dxa"/>
            <w:tcBorders>
              <w:top w:val="double" w:color="auto" w:sz="6"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总价（万元）</w:t>
            </w:r>
          </w:p>
        </w:tc>
        <w:tc>
          <w:tcPr>
            <w:tcW w:w="1414" w:type="dxa"/>
            <w:tcBorders>
              <w:top w:val="double" w:color="auto" w:sz="6"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占投资额（%）</w:t>
            </w:r>
          </w:p>
        </w:tc>
        <w:tc>
          <w:tcPr>
            <w:tcW w:w="1460" w:type="dxa"/>
            <w:tcBorders>
              <w:top w:val="double" w:color="auto" w:sz="6" w:space="0"/>
              <w:left w:val="nil"/>
              <w:bottom w:val="single" w:color="auto" w:sz="4" w:space="0"/>
              <w:right w:val="double" w:color="auto" w:sz="6"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备注</w:t>
            </w:r>
          </w:p>
        </w:tc>
      </w:tr>
      <w:tr>
        <w:tblPrEx>
          <w:tblLayout w:type="fixed"/>
          <w:tblCellMar>
            <w:top w:w="0" w:type="dxa"/>
            <w:left w:w="108" w:type="dxa"/>
            <w:bottom w:w="0" w:type="dxa"/>
            <w:right w:w="108" w:type="dxa"/>
          </w:tblCellMar>
        </w:tblPrEx>
        <w:trPr>
          <w:trHeight w:val="394"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一</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工程费用</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b/>
                <w:bCs/>
                <w:i w:val="0"/>
                <w:color w:val="000000"/>
                <w:kern w:val="0"/>
                <w:sz w:val="22"/>
                <w:szCs w:val="22"/>
                <w:u w:val="none"/>
                <w:lang w:val="en-US" w:eastAsia="zh-CN" w:bidi="ar"/>
              </w:rPr>
              <w:t>2014.09</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b/>
                <w:bCs/>
                <w:i w:val="0"/>
                <w:color w:val="000000"/>
                <w:kern w:val="0"/>
                <w:sz w:val="22"/>
                <w:szCs w:val="22"/>
                <w:u w:val="none"/>
                <w:lang w:val="en-US" w:eastAsia="zh-CN" w:bidi="ar"/>
              </w:rPr>
              <w:t>2014.09</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i w:val="0"/>
                <w:color w:val="000000"/>
                <w:kern w:val="0"/>
                <w:sz w:val="22"/>
                <w:szCs w:val="22"/>
                <w:u w:val="none"/>
                <w:lang w:val="en-US" w:eastAsia="zh-CN" w:bidi="ar"/>
              </w:rPr>
              <w:t>75.36%</w:t>
            </w: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364"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xml:space="preserve">1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道路工程</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735.56</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735.56</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37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1.1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道路挖土方（含外运）</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r>
              <w:rPr>
                <w:rFonts w:hint="eastAsia" w:ascii="宋体" w:hAnsi="宋体" w:cs="宋体"/>
                <w:color w:val="000000"/>
                <w:kern w:val="0"/>
                <w:szCs w:val="21"/>
              </w:rPr>
              <w:t>³</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6082.00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45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27.37</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27.37</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7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1.2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新建车行道</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334.86</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334.87</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51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1.2.1</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基层（20cm6%水泥级配碎石+20cm4%水泥级配碎石）</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宋体" w:hAnsi="宋体" w:cs="宋体"/>
                <w:color w:val="000000"/>
                <w:kern w:val="0"/>
                <w:szCs w:val="21"/>
              </w:rPr>
              <w:t>㎡</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13306.00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110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146.37</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146.37</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7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1.2.2</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面层（22cmC45水泥混凝土）</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宋体" w:hAnsi="宋体" w:cs="宋体"/>
                <w:color w:val="000000"/>
                <w:kern w:val="0"/>
                <w:szCs w:val="21"/>
              </w:rPr>
              <w:t>㎡</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11781.00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160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188.50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188.50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34"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1.3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新建人行道</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143.40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143.39</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7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1.3.1</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基层（15cmC20水泥混凝土）</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宋体" w:hAnsi="宋体" w:cs="宋体"/>
                <w:color w:val="000000"/>
                <w:kern w:val="0"/>
                <w:szCs w:val="21"/>
              </w:rPr>
              <w:t>㎡</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8435.00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75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63.26</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63.26</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64"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1.3.2</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面层（Cc40人行道矩形步道砖）</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宋体" w:hAnsi="宋体" w:cs="宋体"/>
                <w:color w:val="000000"/>
                <w:kern w:val="0"/>
                <w:szCs w:val="21"/>
              </w:rPr>
              <w:t>㎡</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8435.00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95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80.13</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80.13</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94"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1.4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路缘石（花岗岩石150*350*1000）</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2484.00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120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29.81</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29.81</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94"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1.5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行道树（香樟/花岗岩树穴）</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棵</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472.00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2500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118.00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118.00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94"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1.6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交通标线工程（标线、箭头）</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150000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15.00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15.00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0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1.7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拆除原路面（混凝土22cm）</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宋体" w:hAnsi="宋体" w:cs="宋体"/>
                <w:color w:val="000000"/>
                <w:kern w:val="0"/>
                <w:szCs w:val="21"/>
              </w:rPr>
              <w:t>㎡</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11781.00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40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47.12</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47.12</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04"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1.8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零星项目</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200000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20.00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20.00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64"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xml:space="preserve">2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排水管道工程</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1186.02</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1186.02</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7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2.1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新建管道</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671.30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671.30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2.1.1</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DN300HDPE高密度聚乙烯缠绕增强B型管，沟槽回填石屑</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1300.00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580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75.40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75.40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525"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2.1.2</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DN500</w:t>
            </w:r>
            <w:r>
              <w:rPr>
                <w:rFonts w:hint="eastAsia" w:ascii="仿宋_GB2312" w:hAnsi="宋体" w:eastAsia="仿宋_GB2312" w:cs="宋体"/>
                <w:color w:val="000000"/>
                <w:kern w:val="0"/>
                <w:sz w:val="24"/>
              </w:rPr>
              <w:t>HDPE</w:t>
            </w:r>
            <w:r>
              <w:rPr>
                <w:rFonts w:hint="eastAsia" w:ascii="仿宋_GB2312" w:hAnsi="宋体" w:eastAsia="仿宋_GB2312" w:cs="宋体"/>
                <w:color w:val="000000"/>
                <w:kern w:val="0"/>
                <w:sz w:val="20"/>
                <w:szCs w:val="20"/>
              </w:rPr>
              <w:t>高密度聚乙烯缠绕增强B型管，沟槽回填石屑</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1180.00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1800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212.40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212.40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570"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2.1.3</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DN800</w:t>
            </w:r>
            <w:r>
              <w:rPr>
                <w:rFonts w:hint="eastAsia" w:ascii="仿宋_GB2312" w:hAnsi="宋体" w:eastAsia="仿宋_GB2312" w:cs="宋体"/>
                <w:color w:val="000000"/>
                <w:kern w:val="0"/>
                <w:sz w:val="24"/>
              </w:rPr>
              <w:t>HDPE高密度聚乙烯缠绕增强B型管，沟槽回填石屑</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1180.00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3250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383.50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383.50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37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2.2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雨水口（砖砌筑联合式单蓖雨水口）</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个</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68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1500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10.20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10.20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2.3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检查井（砖砌筑，井径1000）</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个</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88.00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3000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26.40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26.40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2.4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检查井（砖砌筑，井径1500）</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个</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59.00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4800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28.32</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28.32</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2.5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沟槽支护（拉森钢板桩6m）</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4720.00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900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424.80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424.80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2.6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零星项目</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250000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25.00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25.00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xml:space="preserve">3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道路照明工程</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92.51</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92.51</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3.1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eastAsia="仿宋_GB2312"/>
                <w:color w:val="000000"/>
                <w:szCs w:val="21"/>
              </w:rPr>
              <w:t>单臂路灯(高10米  LED光源100W)</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盏</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47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4000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18.80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18.80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FF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3.2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eastAsia="仿宋_GB2312"/>
                <w:color w:val="000000"/>
                <w:szCs w:val="21"/>
              </w:rPr>
              <w:t>电缆（VV22-4*6）</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2832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60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16.99</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16.99</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FF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3.3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eastAsia="仿宋_GB2312"/>
                <w:color w:val="000000"/>
                <w:szCs w:val="21"/>
              </w:rPr>
              <w:t>电缆套管（PVC-C DN50(Ф63*3)）</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2360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45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10.62</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10.62</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FF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3.4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eastAsia="仿宋_GB2312"/>
                <w:color w:val="000000"/>
                <w:szCs w:val="21"/>
              </w:rPr>
              <w:t>接地母线敷设（D12镀锌圆钢）</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2832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55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15.58</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15.58</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FF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3.5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eastAsia="仿宋_GB2312"/>
                <w:color w:val="000000"/>
                <w:szCs w:val="21"/>
              </w:rPr>
              <w:t>镀锌钢管（RC50）</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80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150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1.20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1.20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FF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3.6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eastAsia="仿宋_GB2312"/>
                <w:color w:val="000000"/>
                <w:szCs w:val="21"/>
              </w:rPr>
              <w:t>过道井（砖砌筑700*700*900mm）</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座</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59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1000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5.90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5.90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3.7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eastAsia="仿宋_GB2312"/>
                <w:color w:val="000000"/>
                <w:szCs w:val="21"/>
              </w:rPr>
              <w:t>混凝土包封（C20砼，210*210mm）</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m</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141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0.42</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0.42</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3.8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eastAsia="仿宋_GB2312"/>
                <w:color w:val="000000"/>
                <w:szCs w:val="21"/>
              </w:rPr>
              <w:t>路灯专用控制箱</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套</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80000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8.00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8.00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3.9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eastAsia="仿宋_GB2312"/>
                <w:color w:val="000000"/>
                <w:szCs w:val="21"/>
              </w:rPr>
              <w:t>变压器</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套</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150000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15.00</w:t>
            </w: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15.00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hint="eastAsia" w:ascii="仿宋_GB2312" w:hAnsi="宋体" w:eastAsia="仿宋_GB2312" w:cs="宋体"/>
                <w:b/>
                <w:bCs/>
                <w:color w:val="000000"/>
                <w:kern w:val="0"/>
                <w:szCs w:val="21"/>
                <w:lang w:eastAsia="zh-CN"/>
              </w:rPr>
            </w:pPr>
            <w:r>
              <w:rPr>
                <w:rFonts w:hint="eastAsia" w:ascii="仿宋_GB2312" w:hAnsi="宋体" w:eastAsia="仿宋_GB2312" w:cs="宋体"/>
                <w:b/>
                <w:bCs/>
                <w:color w:val="000000"/>
                <w:kern w:val="0"/>
                <w:szCs w:val="21"/>
                <w:lang w:eastAsia="zh-CN"/>
              </w:rPr>
              <w:t>二</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hint="eastAsia" w:ascii="仿宋_GB2312" w:eastAsia="仿宋_GB2312"/>
                <w:b/>
                <w:bCs/>
                <w:color w:val="000000"/>
                <w:szCs w:val="21"/>
                <w:lang w:eastAsia="zh-CN"/>
              </w:rPr>
            </w:pPr>
            <w:r>
              <w:rPr>
                <w:rFonts w:hint="eastAsia" w:ascii="仿宋_GB2312" w:eastAsia="仿宋_GB2312"/>
                <w:b/>
                <w:bCs/>
                <w:color w:val="000000"/>
                <w:szCs w:val="21"/>
                <w:lang w:eastAsia="zh-CN"/>
              </w:rPr>
              <w:t>征地拆迁费用</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宋体" w:eastAsia="仿宋_GB2312" w:cs="宋体"/>
                <w:b/>
                <w:bCs/>
                <w:color w:val="000000"/>
                <w:kern w:val="0"/>
                <w:szCs w:val="21"/>
                <w:lang w:eastAsia="zh-CN"/>
              </w:rPr>
            </w:pPr>
            <w:r>
              <w:rPr>
                <w:rFonts w:hint="eastAsia" w:ascii="仿宋_GB2312" w:hAnsi="宋体" w:eastAsia="仿宋_GB2312" w:cs="宋体"/>
                <w:b/>
                <w:bCs/>
                <w:color w:val="000000"/>
                <w:kern w:val="0"/>
                <w:szCs w:val="21"/>
                <w:lang w:eastAsia="zh-CN"/>
              </w:rPr>
              <w:t>亩</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宋体" w:eastAsia="仿宋_GB2312" w:cs="宋体"/>
                <w:b/>
                <w:bCs/>
                <w:color w:val="000000"/>
                <w:kern w:val="0"/>
                <w:szCs w:val="21"/>
                <w:lang w:val="en-US" w:eastAsia="zh-CN"/>
              </w:rPr>
            </w:pPr>
            <w:r>
              <w:rPr>
                <w:rFonts w:hint="eastAsia" w:ascii="仿宋_GB2312" w:hAnsi="宋体" w:eastAsia="仿宋_GB2312" w:cs="宋体"/>
                <w:b/>
                <w:bCs/>
                <w:color w:val="000000"/>
                <w:kern w:val="0"/>
                <w:szCs w:val="21"/>
                <w:lang w:val="en-US" w:eastAsia="zh-CN"/>
              </w:rPr>
              <w:t>5</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宋体" w:eastAsia="仿宋_GB2312" w:cs="宋体"/>
                <w:b/>
                <w:bCs/>
                <w:color w:val="000000"/>
                <w:kern w:val="0"/>
                <w:szCs w:val="21"/>
                <w:lang w:val="en-US" w:eastAsia="zh-CN"/>
              </w:rPr>
            </w:pPr>
            <w:r>
              <w:rPr>
                <w:rFonts w:hint="eastAsia" w:ascii="仿宋_GB2312" w:hAnsi="宋体" w:eastAsia="仿宋_GB2312" w:cs="宋体"/>
                <w:b/>
                <w:bCs/>
                <w:color w:val="000000"/>
                <w:kern w:val="0"/>
                <w:szCs w:val="21"/>
                <w:lang w:val="en-US" w:eastAsia="zh-CN"/>
              </w:rPr>
              <w:t>410000</w:t>
            </w:r>
          </w:p>
        </w:tc>
        <w:tc>
          <w:tcPr>
            <w:tcW w:w="1560" w:type="dxa"/>
            <w:tcBorders>
              <w:top w:val="nil"/>
              <w:left w:val="nil"/>
              <w:bottom w:val="single" w:color="auto" w:sz="4" w:space="0"/>
              <w:right w:val="single" w:color="auto" w:sz="4" w:space="0"/>
            </w:tcBorders>
            <w:shd w:val="clear" w:color="auto" w:fill="auto"/>
            <w:textDirection w:val="lrTb"/>
            <w:vAlign w:val="center"/>
          </w:tcPr>
          <w:p>
            <w:pPr>
              <w:jc w:val="center"/>
              <w:rPr>
                <w:rFonts w:hint="eastAsia" w:ascii="仿宋_GB2312" w:hAnsi="仿宋_GB2312" w:eastAsia="仿宋_GB2312" w:cs="仿宋_GB2312"/>
                <w:b/>
                <w:bCs/>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lang w:val="en-US" w:eastAsia="zh-CN"/>
              </w:rPr>
            </w:pPr>
            <w:r>
              <w:rPr>
                <w:rFonts w:hint="eastAsia" w:ascii="仿宋_GB2312" w:hAnsi="仿宋_GB2312" w:eastAsia="仿宋_GB2312" w:cs="仿宋_GB2312"/>
                <w:b/>
                <w:bCs/>
                <w:i w:val="0"/>
                <w:color w:val="000000"/>
                <w:kern w:val="0"/>
                <w:sz w:val="22"/>
                <w:szCs w:val="22"/>
                <w:u w:val="none"/>
                <w:lang w:val="en-US" w:eastAsia="zh-CN" w:bidi="ar"/>
              </w:rPr>
              <w:t>205.00</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lang w:val="en-US" w:eastAsia="zh-CN"/>
              </w:rPr>
            </w:pPr>
            <w:r>
              <w:rPr>
                <w:rFonts w:hint="eastAsia" w:ascii="仿宋_GB2312" w:hAnsi="仿宋_GB2312" w:eastAsia="仿宋_GB2312" w:cs="仿宋_GB2312"/>
                <w:b/>
                <w:bCs/>
                <w:i w:val="0"/>
                <w:color w:val="000000"/>
                <w:kern w:val="0"/>
                <w:sz w:val="22"/>
                <w:szCs w:val="22"/>
                <w:u w:val="none"/>
                <w:lang w:val="en-US" w:eastAsia="zh-CN" w:bidi="ar"/>
              </w:rPr>
              <w:t>205.00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 w:val="24"/>
                <w:lang w:val="en-US" w:eastAsia="zh-CN"/>
              </w:rPr>
            </w:pPr>
            <w:r>
              <w:rPr>
                <w:rFonts w:hint="eastAsia" w:ascii="仿宋_GB2312" w:hAnsi="仿宋_GB2312" w:eastAsia="仿宋_GB2312" w:cs="仿宋_GB2312"/>
                <w:b/>
                <w:bCs/>
                <w:i w:val="0"/>
                <w:color w:val="000000"/>
                <w:kern w:val="0"/>
                <w:sz w:val="22"/>
                <w:szCs w:val="22"/>
                <w:u w:val="none"/>
                <w:lang w:val="en-US" w:eastAsia="zh-CN" w:bidi="ar"/>
              </w:rPr>
              <w:t>7.67%</w:t>
            </w: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hint="eastAsia" w:ascii="宋体" w:hAnsi="宋体" w:cs="宋体"/>
                <w:b/>
                <w:bCs/>
                <w:color w:val="000000"/>
                <w:kern w:val="0"/>
                <w:sz w:val="24"/>
              </w:rPr>
            </w:pP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hint="eastAsia" w:ascii="仿宋_GB2312" w:hAnsi="宋体" w:eastAsia="仿宋_GB2312" w:cs="宋体"/>
                <w:b/>
                <w:bCs/>
                <w:color w:val="000000"/>
                <w:kern w:val="0"/>
                <w:szCs w:val="21"/>
                <w:lang w:eastAsia="zh-CN"/>
              </w:rPr>
            </w:pPr>
            <w:r>
              <w:rPr>
                <w:rFonts w:hint="eastAsia" w:ascii="仿宋_GB2312" w:hAnsi="宋体" w:eastAsia="仿宋_GB2312" w:cs="宋体"/>
                <w:b/>
                <w:bCs/>
                <w:color w:val="000000"/>
                <w:kern w:val="0"/>
                <w:szCs w:val="21"/>
                <w:lang w:eastAsia="zh-CN"/>
              </w:rPr>
              <w:t>三</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工程建设其它费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b/>
                <w:bCs/>
                <w:i w:val="0"/>
                <w:color w:val="000000"/>
                <w:kern w:val="0"/>
                <w:sz w:val="22"/>
                <w:szCs w:val="22"/>
                <w:u w:val="none"/>
                <w:lang w:val="en-US" w:eastAsia="zh-CN" w:bidi="ar"/>
              </w:rPr>
              <w:t>310.42</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b/>
                <w:bCs/>
                <w:i w:val="0"/>
                <w:color w:val="000000"/>
                <w:kern w:val="0"/>
                <w:sz w:val="22"/>
                <w:szCs w:val="22"/>
                <w:u w:val="none"/>
                <w:lang w:val="en-US" w:eastAsia="zh-CN" w:bidi="ar"/>
              </w:rPr>
              <w:t>310.42</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i w:val="0"/>
                <w:color w:val="000000"/>
                <w:kern w:val="0"/>
                <w:sz w:val="22"/>
                <w:szCs w:val="22"/>
                <w:u w:val="none"/>
                <w:lang w:val="en-US" w:eastAsia="zh-CN" w:bidi="ar"/>
              </w:rPr>
              <w:t>11.61%</w:t>
            </w: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510"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建设单位管理费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35.21</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35.21</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财建[2002]394号</w:t>
            </w:r>
          </w:p>
        </w:tc>
      </w:tr>
      <w:tr>
        <w:tblPrEx>
          <w:tblLayout w:type="fixed"/>
          <w:tblCellMar>
            <w:top w:w="0" w:type="dxa"/>
            <w:left w:w="108" w:type="dxa"/>
            <w:bottom w:w="0" w:type="dxa"/>
            <w:right w:w="108" w:type="dxa"/>
          </w:tblCellMar>
        </w:tblPrEx>
        <w:trPr>
          <w:trHeight w:val="510"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工程设计费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78.93</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78.93</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计价格[2002]10号</w:t>
            </w:r>
          </w:p>
        </w:tc>
      </w:tr>
      <w:tr>
        <w:tblPrEx>
          <w:tblLayout w:type="fixed"/>
          <w:tblCellMar>
            <w:top w:w="0" w:type="dxa"/>
            <w:left w:w="108" w:type="dxa"/>
            <w:bottom w:w="0" w:type="dxa"/>
            <w:right w:w="108" w:type="dxa"/>
          </w:tblCellMar>
        </w:tblPrEx>
        <w:trPr>
          <w:trHeight w:val="510"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3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工程勘察及审查费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（一）*1%</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20.14</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20.14</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建标[2007]164号</w:t>
            </w:r>
          </w:p>
        </w:tc>
      </w:tr>
      <w:tr>
        <w:tblPrEx>
          <w:tblLayout w:type="fixed"/>
          <w:tblCellMar>
            <w:top w:w="0" w:type="dxa"/>
            <w:left w:w="108" w:type="dxa"/>
            <w:bottom w:w="0" w:type="dxa"/>
            <w:right w:w="108" w:type="dxa"/>
          </w:tblCellMar>
        </w:tblPrEx>
        <w:trPr>
          <w:trHeight w:val="510"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4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工程监理费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46.27</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46.27</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发改价格[2011]534号</w:t>
            </w:r>
            <w:r>
              <w:rPr>
                <w:rFonts w:hint="eastAsia" w:ascii="仿宋_GB2312" w:hAnsi="宋体" w:eastAsia="仿宋_GB2312" w:cs="宋体"/>
                <w:color w:val="000000"/>
                <w:kern w:val="0"/>
                <w:szCs w:val="21"/>
                <w:lang w:eastAsia="zh-CN"/>
              </w:rPr>
              <w:t>下浮</w:t>
            </w:r>
            <w:r>
              <w:rPr>
                <w:rFonts w:hint="eastAsia" w:ascii="仿宋_GB2312" w:hAnsi="宋体" w:eastAsia="仿宋_GB2312" w:cs="宋体"/>
                <w:color w:val="000000"/>
                <w:kern w:val="0"/>
                <w:szCs w:val="21"/>
                <w:lang w:val="en-US" w:eastAsia="zh-CN"/>
              </w:rPr>
              <w:t>15%</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5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工程招标代理服务费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10.10</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10.10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发改价格[2011]534号</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6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城市建设配套费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（一）*4%</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80.56</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80.56</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7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施工图审查费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（2）*6.5%</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5.13</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5.13</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发改价格[2007]670号</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8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施工图预算编制费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（2）*10%</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7.89</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7.89</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9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可行性研究报告及节能登记表编审费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12.89</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12.89</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10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环境影响评价报告编审费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5.80</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5.80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11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数据地形图费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5.00</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5.00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12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定线费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暂估</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1.50</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1.50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13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环保监测费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暂估</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0.50</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0.50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14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防雷检测费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项</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暂估</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0.50</w:t>
            </w: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0.50</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hint="eastAsia" w:ascii="仿宋_GB2312" w:hAnsi="宋体" w:eastAsia="仿宋_GB2312" w:cs="宋体"/>
                <w:b/>
                <w:bCs/>
                <w:color w:val="000000"/>
                <w:kern w:val="0"/>
                <w:szCs w:val="21"/>
                <w:lang w:eastAsia="zh-CN"/>
              </w:rPr>
            </w:pPr>
            <w:r>
              <w:rPr>
                <w:rFonts w:hint="eastAsia" w:ascii="仿宋_GB2312" w:hAnsi="宋体" w:eastAsia="仿宋_GB2312" w:cs="宋体"/>
                <w:b/>
                <w:bCs/>
                <w:color w:val="000000"/>
                <w:kern w:val="0"/>
                <w:szCs w:val="21"/>
                <w:lang w:eastAsia="zh-CN"/>
              </w:rPr>
              <w:t>四</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预备费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b/>
                <w:bCs/>
                <w:i w:val="0"/>
                <w:color w:val="000000"/>
                <w:kern w:val="0"/>
                <w:sz w:val="22"/>
                <w:szCs w:val="22"/>
                <w:u w:val="none"/>
                <w:lang w:val="en-US" w:eastAsia="zh-CN" w:bidi="ar"/>
              </w:rPr>
              <w:t>143.14</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i w:val="0"/>
                <w:color w:val="000000"/>
                <w:kern w:val="0"/>
                <w:sz w:val="22"/>
                <w:szCs w:val="22"/>
                <w:u w:val="none"/>
                <w:lang w:val="en-US" w:eastAsia="zh-CN" w:bidi="ar"/>
              </w:rPr>
              <w:t>5.36%</w:t>
            </w: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1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基本预备费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w:t>
            </w:r>
            <w:r>
              <w:rPr>
                <w:rFonts w:hint="eastAsia" w:ascii="仿宋_GB2312" w:hAnsi="宋体" w:eastAsia="仿宋_GB2312" w:cs="宋体"/>
                <w:color w:val="000000"/>
                <w:kern w:val="0"/>
                <w:szCs w:val="21"/>
                <w:lang w:val="en-US" w:eastAsia="zh-CN"/>
              </w:rPr>
              <w:t>(</w:t>
            </w:r>
            <w:r>
              <w:rPr>
                <w:rFonts w:hint="eastAsia" w:ascii="仿宋_GB2312" w:hAnsi="宋体" w:eastAsia="仿宋_GB2312" w:cs="宋体"/>
                <w:color w:val="000000"/>
                <w:kern w:val="0"/>
                <w:szCs w:val="21"/>
              </w:rPr>
              <w:t>一</w:t>
            </w:r>
            <w:r>
              <w:rPr>
                <w:rFonts w:hint="eastAsia" w:ascii="仿宋_GB2312" w:hAnsi="宋体" w:eastAsia="仿宋_GB2312" w:cs="宋体"/>
                <w:color w:val="000000"/>
                <w:kern w:val="0"/>
                <w:szCs w:val="21"/>
                <w:lang w:val="en-US" w:eastAsia="zh-CN"/>
              </w:rPr>
              <w:t>)</w:t>
            </w:r>
            <w:r>
              <w:rPr>
                <w:rFonts w:hint="eastAsia" w:ascii="仿宋_GB2312" w:hAnsi="宋体" w:eastAsia="仿宋_GB2312" w:cs="宋体"/>
                <w:color w:val="000000"/>
                <w:kern w:val="0"/>
                <w:szCs w:val="21"/>
              </w:rPr>
              <w:t>+</w:t>
            </w:r>
            <w:r>
              <w:rPr>
                <w:rFonts w:hint="eastAsia" w:ascii="仿宋_GB2312" w:hAnsi="宋体" w:eastAsia="仿宋_GB2312" w:cs="宋体"/>
                <w:color w:val="000000"/>
                <w:kern w:val="0"/>
                <w:szCs w:val="21"/>
                <w:lang w:val="en-US" w:eastAsia="zh-CN"/>
              </w:rPr>
              <w:t>(</w:t>
            </w:r>
            <w:r>
              <w:rPr>
                <w:rFonts w:hint="eastAsia" w:ascii="仿宋_GB2312" w:hAnsi="宋体" w:eastAsia="仿宋_GB2312" w:cs="宋体"/>
                <w:color w:val="000000"/>
                <w:kern w:val="0"/>
                <w:szCs w:val="21"/>
                <w:lang w:eastAsia="zh-CN"/>
              </w:rPr>
              <w:t>三</w:t>
            </w:r>
            <w:r>
              <w:rPr>
                <w:rFonts w:hint="eastAsia" w:ascii="仿宋_GB2312" w:hAnsi="宋体" w:eastAsia="仿宋_GB2312" w:cs="宋体"/>
                <w:color w:val="000000"/>
                <w:kern w:val="0"/>
                <w:szCs w:val="21"/>
                <w:lang w:val="en-US" w:eastAsia="zh-CN"/>
              </w:rPr>
              <w:t>)</w:t>
            </w:r>
            <w:r>
              <w:rPr>
                <w:rFonts w:hint="eastAsia" w:ascii="仿宋_GB2312" w:hAnsi="宋体" w:eastAsia="仿宋_GB2312" w:cs="宋体"/>
                <w:color w:val="000000"/>
                <w:kern w:val="0"/>
                <w:szCs w:val="21"/>
              </w:rPr>
              <w:t>]*6</w:t>
            </w:r>
            <w:r>
              <w:rPr>
                <w:rFonts w:hint="eastAsia" w:ascii="仿宋_GB2312" w:hAnsi="宋体" w:eastAsia="仿宋_GB2312" w:cs="宋体"/>
                <w:color w:val="000000"/>
                <w:kern w:val="0"/>
                <w:szCs w:val="21"/>
                <w:lang w:val="en-US" w:eastAsia="zh-CN"/>
              </w:rPr>
              <w:t>.16</w:t>
            </w:r>
            <w:r>
              <w:rPr>
                <w:rFonts w:hint="eastAsia" w:ascii="仿宋_GB2312" w:hAnsi="宋体" w:eastAsia="仿宋_GB2312" w:cs="宋体"/>
                <w:color w:val="000000"/>
                <w:kern w:val="0"/>
                <w:szCs w:val="21"/>
              </w:rPr>
              <w:t>%</w:t>
            </w:r>
          </w:p>
        </w:tc>
        <w:tc>
          <w:tcPr>
            <w:tcW w:w="1560" w:type="dxa"/>
            <w:tcBorders>
              <w:top w:val="nil"/>
              <w:left w:val="nil"/>
              <w:bottom w:val="single" w:color="auto" w:sz="4" w:space="0"/>
              <w:right w:val="single" w:color="auto" w:sz="4" w:space="0"/>
            </w:tcBorders>
            <w:shd w:val="clear" w:color="auto" w:fill="auto"/>
            <w:textDirection w:val="lrTb"/>
            <w:vAlign w:val="center"/>
          </w:tcPr>
          <w:p>
            <w:pPr>
              <w:jc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jc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b/>
                <w:bCs/>
                <w:color w:val="000000"/>
                <w:kern w:val="0"/>
                <w:szCs w:val="21"/>
              </w:rPr>
            </w:pPr>
            <w:r>
              <w:rPr>
                <w:rFonts w:hint="eastAsia" w:ascii="仿宋_GB2312" w:hAnsi="仿宋_GB2312" w:eastAsia="仿宋_GB2312" w:cs="仿宋_GB2312"/>
                <w:i w:val="0"/>
                <w:color w:val="000000"/>
                <w:kern w:val="0"/>
                <w:sz w:val="22"/>
                <w:szCs w:val="22"/>
                <w:u w:val="none"/>
                <w:lang w:val="en-US" w:eastAsia="zh-CN" w:bidi="ar"/>
              </w:rPr>
              <w:t>143.14</w:t>
            </w: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xml:space="preserve">2 </w:t>
            </w:r>
          </w:p>
        </w:tc>
        <w:tc>
          <w:tcPr>
            <w:tcW w:w="3681"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涨价预备费</w:t>
            </w:r>
          </w:p>
        </w:tc>
        <w:tc>
          <w:tcPr>
            <w:tcW w:w="8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3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56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10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580"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Cs w:val="21"/>
              </w:rPr>
            </w:pPr>
          </w:p>
        </w:tc>
        <w:tc>
          <w:tcPr>
            <w:tcW w:w="1414" w:type="dxa"/>
            <w:tcBorders>
              <w:top w:val="nil"/>
              <w:left w:val="nil"/>
              <w:bottom w:val="single" w:color="auto" w:sz="4" w:space="0"/>
              <w:right w:val="single" w:color="auto" w:sz="4" w:space="0"/>
            </w:tcBorders>
            <w:shd w:val="clear" w:color="auto" w:fill="auto"/>
            <w:textDirection w:val="lrTb"/>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rPr>
            </w:pPr>
          </w:p>
        </w:tc>
        <w:tc>
          <w:tcPr>
            <w:tcW w:w="1460" w:type="dxa"/>
            <w:tcBorders>
              <w:top w:val="nil"/>
              <w:left w:val="nil"/>
              <w:bottom w:val="single" w:color="auto" w:sz="4" w:space="0"/>
              <w:right w:val="double" w:color="auto" w:sz="6"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99" w:hRule="atLeast"/>
          <w:jc w:val="center"/>
        </w:trPr>
        <w:tc>
          <w:tcPr>
            <w:tcW w:w="884" w:type="dxa"/>
            <w:tcBorders>
              <w:top w:val="nil"/>
              <w:left w:val="double" w:color="auto" w:sz="6" w:space="0"/>
              <w:bottom w:val="double" w:color="auto" w:sz="6" w:space="0"/>
              <w:right w:val="single" w:color="auto" w:sz="4" w:space="0"/>
            </w:tcBorders>
            <w:shd w:val="clear" w:color="auto" w:fill="auto"/>
            <w:vAlign w:val="center"/>
          </w:tcPr>
          <w:p>
            <w:pPr>
              <w:widowControl/>
              <w:jc w:val="center"/>
              <w:rPr>
                <w:rFonts w:hint="eastAsia" w:ascii="仿宋_GB2312" w:hAnsi="宋体" w:eastAsia="仿宋_GB2312" w:cs="宋体"/>
                <w:b/>
                <w:bCs/>
                <w:color w:val="000000"/>
                <w:kern w:val="0"/>
                <w:szCs w:val="21"/>
                <w:lang w:eastAsia="zh-CN"/>
              </w:rPr>
            </w:pPr>
            <w:r>
              <w:rPr>
                <w:rFonts w:hint="eastAsia" w:ascii="仿宋_GB2312" w:hAnsi="宋体" w:eastAsia="仿宋_GB2312" w:cs="宋体"/>
                <w:b/>
                <w:bCs/>
                <w:color w:val="000000"/>
                <w:kern w:val="0"/>
                <w:szCs w:val="21"/>
                <w:lang w:eastAsia="zh-CN"/>
              </w:rPr>
              <w:t>五</w:t>
            </w:r>
          </w:p>
        </w:tc>
        <w:tc>
          <w:tcPr>
            <w:tcW w:w="3681" w:type="dxa"/>
            <w:tcBorders>
              <w:top w:val="nil"/>
              <w:left w:val="nil"/>
              <w:bottom w:val="double" w:color="auto" w:sz="6" w:space="0"/>
              <w:right w:val="single" w:color="auto" w:sz="4" w:space="0"/>
            </w:tcBorders>
            <w:shd w:val="clear" w:color="auto" w:fill="auto"/>
            <w:vAlign w:val="center"/>
          </w:tcPr>
          <w:p>
            <w:pPr>
              <w:widowControl/>
              <w:jc w:val="left"/>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建设投资合计</w:t>
            </w:r>
          </w:p>
        </w:tc>
        <w:tc>
          <w:tcPr>
            <w:tcW w:w="5990" w:type="dxa"/>
            <w:gridSpan w:val="5"/>
            <w:tcBorders>
              <w:top w:val="nil"/>
              <w:left w:val="nil"/>
              <w:bottom w:val="double" w:color="auto" w:sz="6"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（一）+（二）+（三）</w:t>
            </w:r>
            <w:r>
              <w:rPr>
                <w:rFonts w:hint="eastAsia" w:ascii="仿宋_GB2312" w:hAnsi="宋体" w:eastAsia="仿宋_GB2312" w:cs="宋体"/>
                <w:b/>
                <w:bCs/>
                <w:color w:val="000000"/>
                <w:kern w:val="0"/>
                <w:szCs w:val="21"/>
                <w:lang w:val="en-US" w:eastAsia="zh-CN"/>
              </w:rPr>
              <w:t>+（四）</w:t>
            </w:r>
          </w:p>
        </w:tc>
        <w:tc>
          <w:tcPr>
            <w:tcW w:w="1580" w:type="dxa"/>
            <w:tcBorders>
              <w:top w:val="nil"/>
              <w:left w:val="nil"/>
              <w:bottom w:val="double" w:color="auto" w:sz="6"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2</w:t>
            </w:r>
            <w:r>
              <w:rPr>
                <w:rFonts w:hint="eastAsia" w:ascii="仿宋_GB2312" w:hAnsi="宋体" w:eastAsia="仿宋_GB2312" w:cs="宋体"/>
                <w:b/>
                <w:bCs/>
                <w:color w:val="000000"/>
                <w:kern w:val="0"/>
                <w:szCs w:val="21"/>
                <w:lang w:val="en-US" w:eastAsia="zh-CN"/>
              </w:rPr>
              <w:t>6</w:t>
            </w:r>
            <w:r>
              <w:rPr>
                <w:rFonts w:hint="eastAsia" w:ascii="仿宋_GB2312" w:hAnsi="宋体" w:eastAsia="仿宋_GB2312" w:cs="宋体"/>
                <w:b/>
                <w:bCs/>
                <w:color w:val="000000"/>
                <w:kern w:val="0"/>
                <w:szCs w:val="21"/>
              </w:rPr>
              <w:t xml:space="preserve">72.65 </w:t>
            </w:r>
          </w:p>
        </w:tc>
        <w:tc>
          <w:tcPr>
            <w:tcW w:w="1414" w:type="dxa"/>
            <w:tcBorders>
              <w:top w:val="nil"/>
              <w:left w:val="nil"/>
              <w:bottom w:val="double" w:color="auto" w:sz="6" w:space="0"/>
              <w:right w:val="single" w:color="auto" w:sz="4" w:space="0"/>
            </w:tcBorders>
            <w:shd w:val="clear" w:color="auto" w:fill="auto"/>
            <w:vAlign w:val="bottom"/>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460" w:type="dxa"/>
            <w:tcBorders>
              <w:top w:val="nil"/>
              <w:left w:val="nil"/>
              <w:bottom w:val="double" w:color="auto" w:sz="6" w:space="0"/>
              <w:right w:val="double" w:color="auto" w:sz="6" w:space="0"/>
            </w:tcBorders>
            <w:shd w:val="clear" w:color="auto" w:fill="auto"/>
            <w:vAlign w:val="bottom"/>
          </w:tcPr>
          <w:p>
            <w:pPr>
              <w:widowControl/>
              <w:jc w:val="left"/>
              <w:rPr>
                <w:rFonts w:ascii="宋体" w:hAnsi="宋体" w:cs="宋体"/>
                <w:color w:val="FF0000"/>
                <w:kern w:val="0"/>
                <w:sz w:val="24"/>
              </w:rPr>
            </w:pPr>
            <w:r>
              <w:rPr>
                <w:rFonts w:hint="eastAsia" w:ascii="宋体" w:hAnsi="宋体" w:cs="宋体"/>
                <w:color w:val="FF0000"/>
                <w:kern w:val="0"/>
                <w:sz w:val="24"/>
              </w:rPr>
              <w:t>　</w:t>
            </w:r>
          </w:p>
        </w:tc>
      </w:tr>
    </w:tbl>
    <w:p>
      <w:pPr>
        <w:spacing w:beforeLines="50" w:afterLines="50" w:line="540" w:lineRule="exact"/>
        <w:ind w:firstLine="480" w:firstLineChars="200"/>
        <w:rPr>
          <w:rFonts w:ascii="仿宋_GB2312" w:hAnsi="Arial" w:eastAsia="仿宋_GB2312"/>
          <w:color w:val="FF0000"/>
          <w:sz w:val="24"/>
        </w:rPr>
        <w:sectPr>
          <w:pgSz w:w="16838" w:h="11906" w:orient="landscape"/>
          <w:pgMar w:top="1797" w:right="1440" w:bottom="1797" w:left="1440" w:header="851" w:footer="992" w:gutter="0"/>
          <w:cols w:space="425" w:num="1"/>
          <w:docGrid w:type="linesAndChars" w:linePitch="312" w:charSpace="0"/>
        </w:sectPr>
      </w:pPr>
    </w:p>
    <w:p>
      <w:pPr>
        <w:pStyle w:val="3"/>
        <w:spacing w:line="520" w:lineRule="exact"/>
        <w:rPr>
          <w:rFonts w:ascii="仿宋_GB2312" w:eastAsia="仿宋_GB2312" w:cs="Arial"/>
          <w:color w:val="000000"/>
          <w:sz w:val="28"/>
          <w:szCs w:val="28"/>
        </w:rPr>
      </w:pPr>
      <w:bookmarkStart w:id="82" w:name="_Toc464510839"/>
      <w:r>
        <w:rPr>
          <w:rFonts w:hint="eastAsia" w:ascii="仿宋_GB2312" w:eastAsia="仿宋_GB2312" w:cs="Arial"/>
          <w:color w:val="000000"/>
          <w:sz w:val="28"/>
          <w:szCs w:val="28"/>
        </w:rPr>
        <w:t>10.5 资金使用计划与筹措</w:t>
      </w:r>
      <w:bookmarkEnd w:id="82"/>
    </w:p>
    <w:p>
      <w:pPr>
        <w:spacing w:beforeLines="50" w:afterLines="50" w:line="540" w:lineRule="exact"/>
        <w:ind w:firstLine="560" w:firstLineChars="200"/>
        <w:rPr>
          <w:rFonts w:ascii="仿宋_GB2312" w:eastAsia="仿宋_GB2312"/>
          <w:color w:val="000000"/>
          <w:sz w:val="28"/>
          <w:szCs w:val="28"/>
          <w:highlight w:val="none"/>
        </w:rPr>
      </w:pPr>
      <w:r>
        <w:rPr>
          <w:rFonts w:hint="eastAsia" w:ascii="仿宋_GB2312" w:eastAsia="仿宋_GB2312"/>
          <w:color w:val="000000"/>
          <w:sz w:val="28"/>
          <w:szCs w:val="28"/>
        </w:rPr>
        <w:t>项目总投资</w:t>
      </w:r>
      <w:r>
        <w:rPr>
          <w:rFonts w:hint="eastAsia" w:ascii="仿宋_GB2312" w:eastAsia="仿宋_GB2312"/>
          <w:color w:val="000000"/>
          <w:sz w:val="28"/>
          <w:szCs w:val="28"/>
          <w:highlight w:val="none"/>
          <w:lang w:eastAsia="zh-CN"/>
        </w:rPr>
        <w:t>2672.65</w:t>
      </w:r>
      <w:r>
        <w:rPr>
          <w:rFonts w:hint="eastAsia" w:ascii="仿宋_GB2312" w:eastAsia="仿宋_GB2312"/>
          <w:color w:val="000000"/>
          <w:sz w:val="28"/>
          <w:szCs w:val="28"/>
          <w:highlight w:val="none"/>
        </w:rPr>
        <w:t>万元，资金来源为财政资金。</w:t>
      </w:r>
    </w:p>
    <w:p>
      <w:pPr>
        <w:spacing w:beforeLines="50" w:afterLines="50" w:line="54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建设资金在建设期内按进度计划分年投入。</w:t>
      </w:r>
    </w:p>
    <w:p>
      <w:pPr>
        <w:spacing w:beforeLines="50" w:afterLines="50" w:line="54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资金使用计划与筹措详见下表10-2。</w:t>
      </w:r>
    </w:p>
    <w:p>
      <w:pPr>
        <w:spacing w:beforeLines="50" w:afterLines="50" w:line="540" w:lineRule="exact"/>
        <w:jc w:val="center"/>
        <w:rPr>
          <w:rFonts w:ascii="仿宋_GB2312" w:hAnsi="Arial" w:eastAsia="仿宋_GB2312"/>
          <w:b/>
          <w:color w:val="000000"/>
          <w:sz w:val="28"/>
          <w:szCs w:val="28"/>
          <w:highlight w:val="none"/>
        </w:rPr>
      </w:pPr>
      <w:r>
        <w:rPr>
          <w:rFonts w:hint="eastAsia" w:ascii="仿宋_GB2312" w:hAnsi="Arial" w:eastAsia="仿宋_GB2312"/>
          <w:b/>
          <w:color w:val="000000"/>
          <w:sz w:val="28"/>
          <w:szCs w:val="28"/>
          <w:highlight w:val="none"/>
        </w:rPr>
        <w:t>资金使用计划与筹措计划表</w:t>
      </w:r>
    </w:p>
    <w:p>
      <w:pPr>
        <w:spacing w:line="540" w:lineRule="exact"/>
        <w:rPr>
          <w:rFonts w:ascii="仿宋_GB2312" w:eastAsia="仿宋_GB2312"/>
          <w:sz w:val="24"/>
          <w:highlight w:val="none"/>
        </w:rPr>
      </w:pPr>
      <w:r>
        <w:rPr>
          <w:rFonts w:hint="eastAsia" w:ascii="仿宋_GB2312" w:eastAsia="仿宋_GB2312"/>
          <w:sz w:val="24"/>
          <w:highlight w:val="none"/>
        </w:rPr>
        <w:t>表10-2</w:t>
      </w:r>
    </w:p>
    <w:tbl>
      <w:tblPr>
        <w:tblStyle w:val="28"/>
        <w:tblW w:w="889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86"/>
        <w:gridCol w:w="3123"/>
        <w:gridCol w:w="1411"/>
        <w:gridCol w:w="1418"/>
        <w:gridCol w:w="155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trPr>
        <w:tc>
          <w:tcPr>
            <w:tcW w:w="1386" w:type="dxa"/>
            <w:vMerge w:val="restart"/>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序号</w:t>
            </w:r>
          </w:p>
        </w:tc>
        <w:tc>
          <w:tcPr>
            <w:tcW w:w="3123" w:type="dxa"/>
            <w:vMerge w:val="restart"/>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项目</w:t>
            </w:r>
          </w:p>
        </w:tc>
        <w:tc>
          <w:tcPr>
            <w:tcW w:w="2829" w:type="dxa"/>
            <w:gridSpan w:val="2"/>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建设期</w:t>
            </w:r>
          </w:p>
        </w:tc>
        <w:tc>
          <w:tcPr>
            <w:tcW w:w="1559" w:type="dxa"/>
            <w:vMerge w:val="restart"/>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合计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trPr>
        <w:tc>
          <w:tcPr>
            <w:tcW w:w="1386" w:type="dxa"/>
            <w:vMerge w:val="continue"/>
            <w:vAlign w:val="center"/>
          </w:tcPr>
          <w:p>
            <w:pPr>
              <w:widowControl/>
              <w:jc w:val="center"/>
              <w:rPr>
                <w:rFonts w:ascii="仿宋_GB2312" w:hAnsi="宋体" w:eastAsia="仿宋_GB2312" w:cs="宋体"/>
                <w:kern w:val="0"/>
                <w:sz w:val="24"/>
                <w:highlight w:val="none"/>
              </w:rPr>
            </w:pPr>
          </w:p>
        </w:tc>
        <w:tc>
          <w:tcPr>
            <w:tcW w:w="3123" w:type="dxa"/>
            <w:vMerge w:val="continue"/>
            <w:vAlign w:val="center"/>
          </w:tcPr>
          <w:p>
            <w:pPr>
              <w:widowControl/>
              <w:jc w:val="center"/>
              <w:rPr>
                <w:rFonts w:ascii="仿宋_GB2312" w:hAnsi="宋体" w:eastAsia="仿宋_GB2312" w:cs="宋体"/>
                <w:kern w:val="0"/>
                <w:sz w:val="24"/>
                <w:highlight w:val="none"/>
              </w:rPr>
            </w:pPr>
          </w:p>
        </w:tc>
        <w:tc>
          <w:tcPr>
            <w:tcW w:w="1411"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1</w:t>
            </w:r>
          </w:p>
        </w:tc>
        <w:tc>
          <w:tcPr>
            <w:tcW w:w="1418"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2</w:t>
            </w:r>
          </w:p>
        </w:tc>
        <w:tc>
          <w:tcPr>
            <w:tcW w:w="1559" w:type="dxa"/>
            <w:vMerge w:val="continue"/>
            <w:vAlign w:val="center"/>
          </w:tcPr>
          <w:p>
            <w:pPr>
              <w:widowControl/>
              <w:jc w:val="left"/>
              <w:rPr>
                <w:rFonts w:ascii="仿宋_GB2312" w:hAnsi="宋体" w:eastAsia="仿宋_GB2312" w:cs="宋体"/>
                <w:kern w:val="0"/>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trPr>
        <w:tc>
          <w:tcPr>
            <w:tcW w:w="1386"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1</w:t>
            </w:r>
          </w:p>
        </w:tc>
        <w:tc>
          <w:tcPr>
            <w:tcW w:w="3123"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总投资</w:t>
            </w:r>
          </w:p>
        </w:tc>
        <w:tc>
          <w:tcPr>
            <w:tcW w:w="1411" w:type="dxa"/>
            <w:shd w:val="clear" w:color="auto" w:fill="auto"/>
            <w:vAlign w:val="bottom"/>
          </w:tcPr>
          <w:p>
            <w:pPr>
              <w:widowControl/>
              <w:jc w:val="center"/>
              <w:rPr>
                <w:rFonts w:hint="eastAsia" w:ascii="仿宋_GB2312" w:hAnsi="宋体" w:eastAsia="仿宋_GB2312" w:cs="宋体"/>
                <w:kern w:val="0"/>
                <w:sz w:val="24"/>
                <w:highlight w:val="none"/>
                <w:lang w:eastAsia="zh-CN"/>
              </w:rPr>
            </w:pPr>
            <w:r>
              <w:rPr>
                <w:rFonts w:hint="eastAsia" w:ascii="仿宋_GB2312" w:eastAsia="仿宋_GB2312"/>
                <w:highlight w:val="none"/>
                <w:lang w:val="en-US" w:eastAsia="zh-CN"/>
              </w:rPr>
              <w:t>1202.69</w:t>
            </w:r>
          </w:p>
        </w:tc>
        <w:tc>
          <w:tcPr>
            <w:tcW w:w="1418" w:type="dxa"/>
            <w:shd w:val="clear" w:color="auto" w:fill="auto"/>
            <w:vAlign w:val="center"/>
          </w:tcPr>
          <w:p>
            <w:pPr>
              <w:widowControl/>
              <w:jc w:val="center"/>
              <w:rPr>
                <w:rFonts w:hint="eastAsia" w:ascii="仿宋_GB2312" w:hAnsi="宋体" w:eastAsia="仿宋_GB2312" w:cs="宋体"/>
                <w:kern w:val="0"/>
                <w:sz w:val="24"/>
                <w:highlight w:val="none"/>
                <w:lang w:eastAsia="zh-CN"/>
              </w:rPr>
            </w:pPr>
            <w:r>
              <w:rPr>
                <w:rFonts w:hint="eastAsia" w:ascii="仿宋_GB2312" w:eastAsia="仿宋_GB2312"/>
                <w:bCs/>
                <w:szCs w:val="21"/>
                <w:highlight w:val="none"/>
                <w:lang w:val="en-US" w:eastAsia="zh-CN"/>
              </w:rPr>
              <w:t>1469.96</w:t>
            </w:r>
          </w:p>
        </w:tc>
        <w:tc>
          <w:tcPr>
            <w:tcW w:w="1559"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eastAsia="仿宋_GB2312"/>
                <w:bCs/>
                <w:szCs w:val="21"/>
                <w:highlight w:val="none"/>
                <w:lang w:eastAsia="zh-CN"/>
              </w:rPr>
              <w:t>2672.65</w:t>
            </w:r>
            <w:r>
              <w:rPr>
                <w:rFonts w:hint="eastAsia" w:ascii="仿宋_GB2312" w:eastAsia="仿宋_GB2312"/>
                <w:bCs/>
                <w:szCs w:val="21"/>
                <w:highlight w:val="none"/>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trPr>
        <w:tc>
          <w:tcPr>
            <w:tcW w:w="1386"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1.1</w:t>
            </w:r>
          </w:p>
        </w:tc>
        <w:tc>
          <w:tcPr>
            <w:tcW w:w="3123"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建设投资</w:t>
            </w:r>
          </w:p>
        </w:tc>
        <w:tc>
          <w:tcPr>
            <w:tcW w:w="1411"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lang w:val="en-US" w:eastAsia="zh-CN"/>
              </w:rPr>
              <w:t>1202.69</w:t>
            </w:r>
          </w:p>
        </w:tc>
        <w:tc>
          <w:tcPr>
            <w:tcW w:w="1418"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bCs/>
                <w:szCs w:val="21"/>
                <w:highlight w:val="none"/>
                <w:lang w:val="en-US" w:eastAsia="zh-CN"/>
              </w:rPr>
              <w:t>1469.96</w:t>
            </w:r>
            <w:r>
              <w:rPr>
                <w:rFonts w:hint="eastAsia" w:ascii="仿宋_GB2312" w:eastAsia="仿宋_GB2312"/>
                <w:highlight w:val="none"/>
              </w:rPr>
              <w:t xml:space="preserve"> </w:t>
            </w:r>
          </w:p>
        </w:tc>
        <w:tc>
          <w:tcPr>
            <w:tcW w:w="1559"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lang w:eastAsia="zh-CN"/>
              </w:rPr>
              <w:t>2672.65</w:t>
            </w:r>
            <w:r>
              <w:rPr>
                <w:rFonts w:hint="eastAsia" w:ascii="仿宋_GB2312" w:eastAsia="仿宋_GB2312"/>
                <w:highlight w:val="none"/>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trPr>
        <w:tc>
          <w:tcPr>
            <w:tcW w:w="1386"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1.2</w:t>
            </w:r>
          </w:p>
        </w:tc>
        <w:tc>
          <w:tcPr>
            <w:tcW w:w="3123"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建设期利息</w:t>
            </w:r>
          </w:p>
        </w:tc>
        <w:tc>
          <w:tcPr>
            <w:tcW w:w="1411"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rPr>
              <w:t>0</w:t>
            </w:r>
          </w:p>
        </w:tc>
        <w:tc>
          <w:tcPr>
            <w:tcW w:w="1418"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rPr>
              <w:t>0</w:t>
            </w:r>
          </w:p>
        </w:tc>
        <w:tc>
          <w:tcPr>
            <w:tcW w:w="1559"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rPr>
              <w:t>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PrEx>
        <w:trPr>
          <w:trHeight w:val="285" w:hRule="atLeast"/>
        </w:trPr>
        <w:tc>
          <w:tcPr>
            <w:tcW w:w="1386"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1.3</w:t>
            </w:r>
          </w:p>
        </w:tc>
        <w:tc>
          <w:tcPr>
            <w:tcW w:w="3123"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铺底流动资金</w:t>
            </w:r>
          </w:p>
        </w:tc>
        <w:tc>
          <w:tcPr>
            <w:tcW w:w="1411"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rPr>
              <w:t>0</w:t>
            </w:r>
          </w:p>
        </w:tc>
        <w:tc>
          <w:tcPr>
            <w:tcW w:w="1418"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rPr>
              <w:t>0</w:t>
            </w:r>
          </w:p>
        </w:tc>
        <w:tc>
          <w:tcPr>
            <w:tcW w:w="1559"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rPr>
              <w:t>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trPr>
        <w:tc>
          <w:tcPr>
            <w:tcW w:w="1386"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2</w:t>
            </w:r>
          </w:p>
        </w:tc>
        <w:tc>
          <w:tcPr>
            <w:tcW w:w="3123"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资金筹措</w:t>
            </w:r>
          </w:p>
        </w:tc>
        <w:tc>
          <w:tcPr>
            <w:tcW w:w="1411"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lang w:val="en-US" w:eastAsia="zh-CN"/>
              </w:rPr>
              <w:t>1202.69</w:t>
            </w:r>
          </w:p>
        </w:tc>
        <w:tc>
          <w:tcPr>
            <w:tcW w:w="1418"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bCs/>
                <w:szCs w:val="21"/>
                <w:highlight w:val="none"/>
                <w:lang w:val="en-US" w:eastAsia="zh-CN"/>
              </w:rPr>
              <w:t>1469.96</w:t>
            </w:r>
          </w:p>
        </w:tc>
        <w:tc>
          <w:tcPr>
            <w:tcW w:w="1559"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lang w:eastAsia="zh-CN"/>
              </w:rPr>
              <w:t>2672.65</w:t>
            </w:r>
            <w:r>
              <w:rPr>
                <w:rFonts w:hint="eastAsia" w:ascii="仿宋_GB2312" w:eastAsia="仿宋_GB2312"/>
                <w:highlight w:val="none"/>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trPr>
        <w:tc>
          <w:tcPr>
            <w:tcW w:w="1386"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2.1</w:t>
            </w:r>
          </w:p>
        </w:tc>
        <w:tc>
          <w:tcPr>
            <w:tcW w:w="3123"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财政资金</w:t>
            </w:r>
          </w:p>
        </w:tc>
        <w:tc>
          <w:tcPr>
            <w:tcW w:w="1411"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lang w:val="en-US" w:eastAsia="zh-CN"/>
              </w:rPr>
              <w:t>1202.69</w:t>
            </w:r>
          </w:p>
        </w:tc>
        <w:tc>
          <w:tcPr>
            <w:tcW w:w="1418"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bCs/>
                <w:szCs w:val="21"/>
                <w:highlight w:val="none"/>
                <w:lang w:val="en-US" w:eastAsia="zh-CN"/>
              </w:rPr>
              <w:t>1469.96</w:t>
            </w:r>
          </w:p>
        </w:tc>
        <w:tc>
          <w:tcPr>
            <w:tcW w:w="1559"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lang w:eastAsia="zh-CN"/>
              </w:rPr>
              <w:t>2672.65</w:t>
            </w:r>
            <w:r>
              <w:rPr>
                <w:rFonts w:hint="eastAsia" w:ascii="仿宋_GB2312" w:eastAsia="仿宋_GB2312"/>
                <w:highlight w:val="none"/>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trPr>
        <w:tc>
          <w:tcPr>
            <w:tcW w:w="1386"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2.1.1</w:t>
            </w:r>
          </w:p>
        </w:tc>
        <w:tc>
          <w:tcPr>
            <w:tcW w:w="3123" w:type="dxa"/>
            <w:shd w:val="clear" w:color="auto" w:fill="auto"/>
            <w:vAlign w:val="center"/>
          </w:tcPr>
          <w:p>
            <w:pPr>
              <w:widowControl/>
              <w:jc w:val="center"/>
              <w:rPr>
                <w:rFonts w:ascii="仿宋_GB2312" w:hAnsi="宋体" w:eastAsia="仿宋_GB2312" w:cs="宋体"/>
                <w:kern w:val="0"/>
                <w:sz w:val="24"/>
                <w:highlight w:val="none"/>
              </w:rPr>
            </w:pPr>
            <w:r>
              <w:rPr>
                <w:rFonts w:hint="eastAsia" w:ascii="仿宋_GB2312" w:hAnsi="宋体" w:eastAsia="仿宋_GB2312" w:cs="宋体"/>
                <w:kern w:val="0"/>
                <w:sz w:val="24"/>
                <w:highlight w:val="none"/>
              </w:rPr>
              <w:t>其中用于固定资产投资</w:t>
            </w:r>
          </w:p>
        </w:tc>
        <w:tc>
          <w:tcPr>
            <w:tcW w:w="1411"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lang w:val="en-US" w:eastAsia="zh-CN"/>
              </w:rPr>
              <w:t>1202.69</w:t>
            </w:r>
          </w:p>
        </w:tc>
        <w:tc>
          <w:tcPr>
            <w:tcW w:w="1418"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bCs/>
                <w:szCs w:val="21"/>
                <w:highlight w:val="none"/>
                <w:lang w:val="en-US" w:eastAsia="zh-CN"/>
              </w:rPr>
              <w:t>1469.96</w:t>
            </w:r>
          </w:p>
        </w:tc>
        <w:tc>
          <w:tcPr>
            <w:tcW w:w="1559" w:type="dxa"/>
            <w:shd w:val="clear" w:color="auto" w:fill="auto"/>
            <w:vAlign w:val="bottom"/>
          </w:tcPr>
          <w:p>
            <w:pPr>
              <w:widowControl/>
              <w:jc w:val="center"/>
              <w:rPr>
                <w:rFonts w:ascii="仿宋_GB2312" w:hAnsi="宋体" w:eastAsia="仿宋_GB2312" w:cs="宋体"/>
                <w:kern w:val="0"/>
                <w:sz w:val="24"/>
                <w:highlight w:val="none"/>
              </w:rPr>
            </w:pPr>
            <w:r>
              <w:rPr>
                <w:rFonts w:hint="eastAsia" w:ascii="仿宋_GB2312" w:eastAsia="仿宋_GB2312"/>
                <w:highlight w:val="none"/>
                <w:lang w:eastAsia="zh-CN"/>
              </w:rPr>
              <w:t>2672.65</w:t>
            </w:r>
            <w:r>
              <w:rPr>
                <w:rFonts w:hint="eastAsia" w:ascii="仿宋_GB2312" w:eastAsia="仿宋_GB2312"/>
                <w:highlight w:val="none"/>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trPr>
        <w:tc>
          <w:tcPr>
            <w:tcW w:w="1386" w:type="dxa"/>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2.1.2</w:t>
            </w:r>
          </w:p>
        </w:tc>
        <w:tc>
          <w:tcPr>
            <w:tcW w:w="3123" w:type="dxa"/>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用于流动资金</w:t>
            </w:r>
          </w:p>
        </w:tc>
        <w:tc>
          <w:tcPr>
            <w:tcW w:w="1411" w:type="dxa"/>
            <w:shd w:val="clear" w:color="auto" w:fill="auto"/>
            <w:vAlign w:val="bottom"/>
          </w:tcPr>
          <w:p>
            <w:pPr>
              <w:widowControl/>
              <w:jc w:val="center"/>
              <w:rPr>
                <w:rFonts w:ascii="仿宋_GB2312" w:hAnsi="宋体" w:eastAsia="仿宋_GB2312" w:cs="宋体"/>
                <w:kern w:val="0"/>
                <w:sz w:val="24"/>
              </w:rPr>
            </w:pPr>
            <w:r>
              <w:rPr>
                <w:rFonts w:hint="eastAsia" w:ascii="仿宋_GB2312" w:eastAsia="仿宋_GB2312"/>
              </w:rPr>
              <w:t>0</w:t>
            </w:r>
          </w:p>
        </w:tc>
        <w:tc>
          <w:tcPr>
            <w:tcW w:w="1418" w:type="dxa"/>
            <w:shd w:val="clear" w:color="auto" w:fill="auto"/>
            <w:vAlign w:val="bottom"/>
          </w:tcPr>
          <w:p>
            <w:pPr>
              <w:widowControl/>
              <w:jc w:val="center"/>
              <w:rPr>
                <w:rFonts w:ascii="仿宋_GB2312" w:hAnsi="宋体" w:eastAsia="仿宋_GB2312" w:cs="宋体"/>
                <w:kern w:val="0"/>
                <w:sz w:val="24"/>
              </w:rPr>
            </w:pPr>
            <w:r>
              <w:rPr>
                <w:rFonts w:hint="eastAsia" w:ascii="仿宋_GB2312" w:eastAsia="仿宋_GB2312"/>
              </w:rPr>
              <w:t>0</w:t>
            </w:r>
          </w:p>
        </w:tc>
        <w:tc>
          <w:tcPr>
            <w:tcW w:w="1559" w:type="dxa"/>
            <w:shd w:val="clear" w:color="auto" w:fill="auto"/>
            <w:vAlign w:val="bottom"/>
          </w:tcPr>
          <w:p>
            <w:pPr>
              <w:widowControl/>
              <w:jc w:val="center"/>
              <w:rPr>
                <w:rFonts w:ascii="仿宋_GB2312" w:hAnsi="宋体" w:eastAsia="仿宋_GB2312" w:cs="宋体"/>
                <w:kern w:val="0"/>
                <w:sz w:val="24"/>
              </w:rPr>
            </w:pPr>
            <w:r>
              <w:rPr>
                <w:rFonts w:hint="eastAsia" w:ascii="仿宋_GB2312" w:eastAsia="仿宋_GB2312"/>
              </w:rPr>
              <w:t>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trPr>
        <w:tc>
          <w:tcPr>
            <w:tcW w:w="1386" w:type="dxa"/>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2.2</w:t>
            </w:r>
          </w:p>
        </w:tc>
        <w:tc>
          <w:tcPr>
            <w:tcW w:w="3123" w:type="dxa"/>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银行贷款</w:t>
            </w:r>
          </w:p>
        </w:tc>
        <w:tc>
          <w:tcPr>
            <w:tcW w:w="1411" w:type="dxa"/>
            <w:shd w:val="clear" w:color="auto" w:fill="auto"/>
            <w:vAlign w:val="bottom"/>
          </w:tcPr>
          <w:p>
            <w:pPr>
              <w:widowControl/>
              <w:jc w:val="center"/>
              <w:rPr>
                <w:rFonts w:ascii="仿宋_GB2312" w:hAnsi="宋体" w:eastAsia="仿宋_GB2312" w:cs="宋体"/>
                <w:kern w:val="0"/>
                <w:sz w:val="24"/>
              </w:rPr>
            </w:pPr>
            <w:r>
              <w:rPr>
                <w:rFonts w:hint="eastAsia" w:ascii="仿宋_GB2312" w:eastAsia="仿宋_GB2312"/>
              </w:rPr>
              <w:t>0</w:t>
            </w:r>
          </w:p>
        </w:tc>
        <w:tc>
          <w:tcPr>
            <w:tcW w:w="1418" w:type="dxa"/>
            <w:shd w:val="clear" w:color="auto" w:fill="auto"/>
            <w:vAlign w:val="bottom"/>
          </w:tcPr>
          <w:p>
            <w:pPr>
              <w:widowControl/>
              <w:jc w:val="center"/>
              <w:rPr>
                <w:rFonts w:ascii="仿宋_GB2312" w:hAnsi="宋体" w:eastAsia="仿宋_GB2312" w:cs="宋体"/>
                <w:kern w:val="0"/>
                <w:sz w:val="24"/>
              </w:rPr>
            </w:pPr>
            <w:r>
              <w:rPr>
                <w:rFonts w:hint="eastAsia" w:ascii="仿宋_GB2312" w:eastAsia="仿宋_GB2312"/>
              </w:rPr>
              <w:t>0</w:t>
            </w:r>
          </w:p>
        </w:tc>
        <w:tc>
          <w:tcPr>
            <w:tcW w:w="1559" w:type="dxa"/>
            <w:shd w:val="clear" w:color="auto" w:fill="auto"/>
            <w:vAlign w:val="bottom"/>
          </w:tcPr>
          <w:p>
            <w:pPr>
              <w:widowControl/>
              <w:jc w:val="center"/>
              <w:rPr>
                <w:rFonts w:ascii="仿宋_GB2312" w:hAnsi="宋体" w:eastAsia="仿宋_GB2312" w:cs="宋体"/>
                <w:kern w:val="0"/>
                <w:sz w:val="24"/>
              </w:rPr>
            </w:pPr>
            <w:r>
              <w:rPr>
                <w:rFonts w:hint="eastAsia" w:ascii="仿宋_GB2312" w:eastAsia="仿宋_GB2312"/>
              </w:rPr>
              <w:t>0</w:t>
            </w:r>
          </w:p>
        </w:tc>
      </w:tr>
    </w:tbl>
    <w:p>
      <w:pPr>
        <w:spacing w:beforeLines="50" w:afterLines="50" w:line="540" w:lineRule="exact"/>
        <w:ind w:firstLine="560" w:firstLineChars="200"/>
        <w:rPr>
          <w:rFonts w:ascii="仿宋_GB2312" w:eastAsia="仿宋_GB2312"/>
          <w:color w:val="000000"/>
          <w:sz w:val="28"/>
          <w:szCs w:val="28"/>
        </w:rPr>
      </w:pPr>
    </w:p>
    <w:p>
      <w:pPr>
        <w:pStyle w:val="2"/>
        <w:jc w:val="center"/>
        <w:rPr>
          <w:rFonts w:ascii="仿宋_GB2312" w:eastAsia="仿宋_GB2312"/>
          <w:color w:val="000000"/>
          <w:sz w:val="32"/>
          <w:szCs w:val="32"/>
        </w:rPr>
      </w:pPr>
      <w:r>
        <w:rPr>
          <w:rFonts w:hint="eastAsia" w:ascii="仿宋_GB2312" w:eastAsia="仿宋_GB2312"/>
          <w:color w:val="FF0000"/>
          <w:sz w:val="28"/>
          <w:szCs w:val="28"/>
        </w:rPr>
        <w:br w:type="page"/>
      </w:r>
      <w:bookmarkStart w:id="83" w:name="_Toc464510840"/>
      <w:r>
        <w:rPr>
          <w:rFonts w:hint="eastAsia" w:ascii="仿宋_GB2312" w:eastAsia="仿宋_GB2312"/>
          <w:color w:val="000000"/>
          <w:sz w:val="32"/>
          <w:szCs w:val="32"/>
        </w:rPr>
        <w:t>第十一章  社会评价</w:t>
      </w:r>
      <w:bookmarkEnd w:id="83"/>
    </w:p>
    <w:p>
      <w:pPr>
        <w:pStyle w:val="3"/>
        <w:rPr>
          <w:rFonts w:ascii="仿宋_GB2312" w:eastAsia="仿宋_GB2312" w:cs="Arial"/>
          <w:color w:val="000000"/>
          <w:sz w:val="28"/>
          <w:szCs w:val="28"/>
        </w:rPr>
      </w:pPr>
      <w:bookmarkStart w:id="84" w:name="_Toc464510841"/>
      <w:r>
        <w:rPr>
          <w:rFonts w:hint="eastAsia" w:ascii="仿宋_GB2312" w:eastAsia="仿宋_GB2312" w:cs="Arial"/>
          <w:color w:val="000000"/>
          <w:sz w:val="28"/>
          <w:szCs w:val="28"/>
        </w:rPr>
        <w:t>11.1 社会效益影响分析</w:t>
      </w:r>
      <w:bookmarkEnd w:id="84"/>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本项目为</w:t>
      </w:r>
      <w:r>
        <w:rPr>
          <w:rFonts w:hint="eastAsia" w:ascii="仿宋_GB2312" w:hAnsi="宋体" w:eastAsia="仿宋_GB2312"/>
          <w:color w:val="000000"/>
          <w:sz w:val="28"/>
          <w:szCs w:val="28"/>
        </w:rPr>
        <w:t>桑浦山龙泉岩森林消防应急通道上山段（慈园路）工程</w:t>
      </w:r>
      <w:r>
        <w:rPr>
          <w:rFonts w:hint="eastAsia" w:ascii="仿宋_GB2312" w:hAnsi="Arial" w:eastAsia="仿宋_GB2312"/>
          <w:color w:val="000000"/>
          <w:sz w:val="28"/>
          <w:szCs w:val="28"/>
        </w:rPr>
        <w:t>，项目的建设对当地政府和社会都将会产生积极的作用：</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1、加大汕头市政基础设施投资力度，促进了汕头地区社会经济的发展；</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2、符合汕头市的城市发展规划，有利于旅游区的开展；</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3、推动汕头经济的发展，提升政府形象，加速城市化进程；</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4、随着市政基础设施的建设推进，能够促进汕头地区经济和社会环境，以及投资环境的改善，带动区域经济社会的发展，给政府带来更多的收益，更有利于推动汕头地区的城市建设。</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本项目的建设对社会的主要影响见表11-1。</w:t>
      </w:r>
    </w:p>
    <w:p>
      <w:pPr>
        <w:spacing w:beforeLines="50" w:afterLines="50" w:line="540" w:lineRule="exact"/>
        <w:ind w:firstLine="562" w:firstLineChars="200"/>
        <w:jc w:val="center"/>
        <w:rPr>
          <w:rFonts w:ascii="仿宋_GB2312" w:hAnsi="Arial" w:eastAsia="仿宋_GB2312"/>
          <w:color w:val="000000"/>
          <w:sz w:val="28"/>
          <w:szCs w:val="28"/>
        </w:rPr>
      </w:pPr>
      <w:r>
        <w:rPr>
          <w:rFonts w:hint="eastAsia" w:ascii="仿宋_GB2312" w:hAnsi="Arial" w:eastAsia="仿宋_GB2312"/>
          <w:b/>
          <w:color w:val="000000"/>
          <w:sz w:val="28"/>
          <w:szCs w:val="28"/>
        </w:rPr>
        <w:t>项目社会影响分析表</w:t>
      </w:r>
    </w:p>
    <w:p>
      <w:pPr>
        <w:spacing w:line="540" w:lineRule="exact"/>
        <w:rPr>
          <w:rFonts w:ascii="仿宋_GB2312" w:hAnsi="Arial" w:eastAsia="仿宋_GB2312"/>
          <w:color w:val="000000"/>
          <w:sz w:val="24"/>
        </w:rPr>
      </w:pPr>
      <w:bookmarkStart w:id="85" w:name="_Toc88875850"/>
      <w:bookmarkStart w:id="86" w:name="_Toc89071369"/>
      <w:bookmarkStart w:id="87" w:name="_Toc89082316"/>
      <w:r>
        <w:rPr>
          <w:rFonts w:hint="eastAsia" w:ascii="仿宋_GB2312" w:hAnsi="Arial" w:eastAsia="仿宋_GB2312"/>
          <w:color w:val="000000"/>
          <w:sz w:val="24"/>
        </w:rPr>
        <w:t>表11-1</w:t>
      </w:r>
    </w:p>
    <w:tbl>
      <w:tblPr>
        <w:tblStyle w:val="28"/>
        <w:tblW w:w="9466"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69"/>
        <w:gridCol w:w="2280"/>
        <w:gridCol w:w="2064"/>
        <w:gridCol w:w="2601"/>
        <w:gridCol w:w="175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5" w:hRule="atLeast"/>
          <w:tblHeader/>
          <w:jc w:val="center"/>
        </w:trPr>
        <w:tc>
          <w:tcPr>
            <w:tcW w:w="769" w:type="dxa"/>
            <w:vAlign w:val="center"/>
          </w:tcPr>
          <w:p>
            <w:pPr>
              <w:pStyle w:val="10"/>
              <w:tabs>
                <w:tab w:val="left" w:pos="0"/>
                <w:tab w:val="left" w:pos="945"/>
                <w:tab w:val="left" w:pos="7920"/>
                <w:tab w:val="left" w:pos="8100"/>
              </w:tabs>
              <w:ind w:firstLine="0" w:firstLineChars="0"/>
              <w:jc w:val="center"/>
              <w:rPr>
                <w:rFonts w:ascii="仿宋_GB2312" w:eastAsia="仿宋_GB2312"/>
                <w:b/>
                <w:color w:val="000000"/>
                <w:sz w:val="24"/>
              </w:rPr>
            </w:pPr>
            <w:r>
              <w:rPr>
                <w:rFonts w:hint="eastAsia" w:ascii="仿宋_GB2312" w:eastAsia="仿宋_GB2312"/>
                <w:b/>
                <w:color w:val="000000"/>
                <w:sz w:val="24"/>
              </w:rPr>
              <w:t>序号</w:t>
            </w:r>
          </w:p>
        </w:tc>
        <w:tc>
          <w:tcPr>
            <w:tcW w:w="2280" w:type="dxa"/>
            <w:vAlign w:val="center"/>
          </w:tcPr>
          <w:p>
            <w:pPr>
              <w:pStyle w:val="10"/>
              <w:tabs>
                <w:tab w:val="left" w:pos="0"/>
                <w:tab w:val="left" w:pos="945"/>
                <w:tab w:val="left" w:pos="7920"/>
                <w:tab w:val="left" w:pos="8100"/>
              </w:tabs>
              <w:ind w:firstLine="463"/>
              <w:jc w:val="center"/>
              <w:rPr>
                <w:rFonts w:ascii="仿宋_GB2312" w:eastAsia="仿宋_GB2312"/>
                <w:b/>
                <w:color w:val="000000"/>
                <w:sz w:val="24"/>
              </w:rPr>
            </w:pPr>
            <w:r>
              <w:rPr>
                <w:rFonts w:hint="eastAsia" w:ascii="仿宋_GB2312" w:eastAsia="仿宋_GB2312"/>
                <w:b/>
                <w:color w:val="000000"/>
                <w:sz w:val="24"/>
              </w:rPr>
              <w:t>社会因素</w:t>
            </w:r>
          </w:p>
        </w:tc>
        <w:tc>
          <w:tcPr>
            <w:tcW w:w="2064" w:type="dxa"/>
            <w:vAlign w:val="center"/>
          </w:tcPr>
          <w:p>
            <w:pPr>
              <w:pStyle w:val="10"/>
              <w:tabs>
                <w:tab w:val="left" w:pos="0"/>
                <w:tab w:val="left" w:pos="945"/>
                <w:tab w:val="left" w:pos="7920"/>
                <w:tab w:val="left" w:pos="8100"/>
              </w:tabs>
              <w:ind w:firstLine="0" w:firstLineChars="0"/>
              <w:rPr>
                <w:rFonts w:ascii="仿宋_GB2312" w:eastAsia="仿宋_GB2312"/>
                <w:b/>
                <w:color w:val="000000"/>
                <w:sz w:val="24"/>
              </w:rPr>
            </w:pPr>
            <w:r>
              <w:rPr>
                <w:rFonts w:hint="eastAsia" w:ascii="仿宋_GB2312" w:eastAsia="仿宋_GB2312"/>
                <w:b/>
                <w:color w:val="000000"/>
                <w:sz w:val="24"/>
              </w:rPr>
              <w:t>影响的范围/程度</w:t>
            </w:r>
          </w:p>
        </w:tc>
        <w:tc>
          <w:tcPr>
            <w:tcW w:w="2601" w:type="dxa"/>
            <w:vAlign w:val="center"/>
          </w:tcPr>
          <w:p>
            <w:pPr>
              <w:pStyle w:val="10"/>
              <w:tabs>
                <w:tab w:val="left" w:pos="0"/>
                <w:tab w:val="left" w:pos="945"/>
                <w:tab w:val="left" w:pos="7920"/>
                <w:tab w:val="left" w:pos="8100"/>
              </w:tabs>
              <w:ind w:firstLine="463"/>
              <w:jc w:val="center"/>
              <w:rPr>
                <w:rFonts w:ascii="仿宋_GB2312" w:eastAsia="仿宋_GB2312"/>
                <w:b/>
                <w:color w:val="000000"/>
                <w:sz w:val="24"/>
              </w:rPr>
            </w:pPr>
            <w:r>
              <w:rPr>
                <w:rFonts w:hint="eastAsia" w:ascii="仿宋_GB2312" w:eastAsia="仿宋_GB2312"/>
                <w:b/>
                <w:color w:val="000000"/>
                <w:sz w:val="24"/>
              </w:rPr>
              <w:t>可能出现的结果</w:t>
            </w:r>
          </w:p>
        </w:tc>
        <w:tc>
          <w:tcPr>
            <w:tcW w:w="1752" w:type="dxa"/>
            <w:vAlign w:val="center"/>
          </w:tcPr>
          <w:p>
            <w:pPr>
              <w:pStyle w:val="10"/>
              <w:tabs>
                <w:tab w:val="left" w:pos="0"/>
                <w:tab w:val="left" w:pos="945"/>
                <w:tab w:val="left" w:pos="7920"/>
                <w:tab w:val="left" w:pos="8100"/>
              </w:tabs>
              <w:ind w:firstLine="463"/>
              <w:jc w:val="center"/>
              <w:rPr>
                <w:rFonts w:ascii="仿宋_GB2312" w:eastAsia="仿宋_GB2312"/>
                <w:b/>
                <w:color w:val="000000"/>
                <w:sz w:val="24"/>
              </w:rPr>
            </w:pPr>
            <w:r>
              <w:rPr>
                <w:rFonts w:hint="eastAsia" w:ascii="仿宋_GB2312" w:eastAsia="仿宋_GB2312"/>
                <w:b/>
                <w:color w:val="000000"/>
                <w:sz w:val="24"/>
              </w:rPr>
              <w:t>措施建议</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5" w:hRule="atLeast"/>
          <w:jc w:val="center"/>
        </w:trPr>
        <w:tc>
          <w:tcPr>
            <w:tcW w:w="769"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1</w:t>
            </w:r>
          </w:p>
        </w:tc>
        <w:tc>
          <w:tcPr>
            <w:tcW w:w="2280" w:type="dxa"/>
            <w:vAlign w:val="center"/>
          </w:tcPr>
          <w:p>
            <w:pPr>
              <w:spacing w:line="360" w:lineRule="auto"/>
              <w:ind w:firstLine="120" w:firstLineChars="50"/>
              <w:jc w:val="center"/>
              <w:rPr>
                <w:rFonts w:ascii="仿宋_GB2312" w:hAnsi="Arial" w:eastAsia="仿宋_GB2312"/>
                <w:color w:val="000000"/>
                <w:sz w:val="24"/>
              </w:rPr>
            </w:pPr>
            <w:r>
              <w:rPr>
                <w:rFonts w:hint="eastAsia" w:ascii="仿宋_GB2312" w:hAnsi="Arial" w:eastAsia="仿宋_GB2312"/>
                <w:color w:val="000000"/>
                <w:sz w:val="24"/>
              </w:rPr>
              <w:t>对国家政治和社会稳定的影响</w:t>
            </w:r>
          </w:p>
        </w:tc>
        <w:tc>
          <w:tcPr>
            <w:tcW w:w="2064"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汕头地区/较大</w:t>
            </w:r>
          </w:p>
        </w:tc>
        <w:tc>
          <w:tcPr>
            <w:tcW w:w="2601"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产生积极的影响</w:t>
            </w:r>
          </w:p>
        </w:tc>
        <w:tc>
          <w:tcPr>
            <w:tcW w:w="1752"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积极引导、促进政治和社会的稳定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5" w:hRule="atLeast"/>
          <w:jc w:val="center"/>
        </w:trPr>
        <w:tc>
          <w:tcPr>
            <w:tcW w:w="769"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2</w:t>
            </w:r>
          </w:p>
        </w:tc>
        <w:tc>
          <w:tcPr>
            <w:tcW w:w="2280"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对居民收入的影响</w:t>
            </w:r>
          </w:p>
        </w:tc>
        <w:tc>
          <w:tcPr>
            <w:tcW w:w="2064"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周边地区/一般</w:t>
            </w:r>
          </w:p>
        </w:tc>
        <w:tc>
          <w:tcPr>
            <w:tcW w:w="2601"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促进周边地区城市化发展</w:t>
            </w:r>
          </w:p>
        </w:tc>
        <w:tc>
          <w:tcPr>
            <w:tcW w:w="1752"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加强地方的管理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009" w:hRule="atLeast"/>
          <w:jc w:val="center"/>
        </w:trPr>
        <w:tc>
          <w:tcPr>
            <w:tcW w:w="769"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3</w:t>
            </w:r>
          </w:p>
        </w:tc>
        <w:tc>
          <w:tcPr>
            <w:tcW w:w="2280"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对居民就业的影响</w:t>
            </w:r>
          </w:p>
        </w:tc>
        <w:tc>
          <w:tcPr>
            <w:tcW w:w="2064"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周边地区/一般</w:t>
            </w:r>
          </w:p>
        </w:tc>
        <w:tc>
          <w:tcPr>
            <w:tcW w:w="2601"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增加就业机会</w:t>
            </w:r>
          </w:p>
        </w:tc>
        <w:tc>
          <w:tcPr>
            <w:tcW w:w="1752"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加强就业技能培训</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12" w:hRule="atLeast"/>
          <w:jc w:val="center"/>
        </w:trPr>
        <w:tc>
          <w:tcPr>
            <w:tcW w:w="769" w:type="dxa"/>
            <w:vMerge w:val="restart"/>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4</w:t>
            </w:r>
          </w:p>
        </w:tc>
        <w:tc>
          <w:tcPr>
            <w:tcW w:w="2280" w:type="dxa"/>
            <w:vMerge w:val="restart"/>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对不同利益群体的影响</w:t>
            </w:r>
          </w:p>
        </w:tc>
        <w:tc>
          <w:tcPr>
            <w:tcW w:w="2064" w:type="dxa"/>
            <w:vMerge w:val="restart"/>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汕头地区/较大</w:t>
            </w:r>
          </w:p>
        </w:tc>
        <w:tc>
          <w:tcPr>
            <w:tcW w:w="2601"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建设时期由于工程施工会引起当地居民的不便。</w:t>
            </w:r>
          </w:p>
        </w:tc>
        <w:tc>
          <w:tcPr>
            <w:tcW w:w="1752"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有关部门加强施工管理。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PrEx>
        <w:trPr>
          <w:trHeight w:val="425" w:hRule="atLeast"/>
          <w:jc w:val="center"/>
        </w:trPr>
        <w:tc>
          <w:tcPr>
            <w:tcW w:w="769" w:type="dxa"/>
            <w:vMerge w:val="continue"/>
            <w:vAlign w:val="center"/>
          </w:tcPr>
          <w:p>
            <w:pPr>
              <w:spacing w:line="360" w:lineRule="auto"/>
              <w:jc w:val="center"/>
              <w:rPr>
                <w:rFonts w:ascii="仿宋_GB2312" w:hAnsi="Arial" w:eastAsia="仿宋_GB2312"/>
                <w:color w:val="000000"/>
                <w:sz w:val="24"/>
              </w:rPr>
            </w:pPr>
          </w:p>
        </w:tc>
        <w:tc>
          <w:tcPr>
            <w:tcW w:w="2280" w:type="dxa"/>
            <w:vMerge w:val="continue"/>
            <w:vAlign w:val="center"/>
          </w:tcPr>
          <w:p>
            <w:pPr>
              <w:spacing w:line="360" w:lineRule="auto"/>
              <w:jc w:val="center"/>
              <w:rPr>
                <w:rFonts w:ascii="仿宋_GB2312" w:hAnsi="Arial" w:eastAsia="仿宋_GB2312"/>
                <w:color w:val="000000"/>
                <w:sz w:val="24"/>
              </w:rPr>
            </w:pPr>
          </w:p>
        </w:tc>
        <w:tc>
          <w:tcPr>
            <w:tcW w:w="2064" w:type="dxa"/>
            <w:vMerge w:val="continue"/>
            <w:vAlign w:val="center"/>
          </w:tcPr>
          <w:p>
            <w:pPr>
              <w:spacing w:line="360" w:lineRule="auto"/>
              <w:jc w:val="center"/>
              <w:rPr>
                <w:rFonts w:ascii="仿宋_GB2312" w:hAnsi="Arial" w:eastAsia="仿宋_GB2312"/>
                <w:color w:val="000000"/>
                <w:sz w:val="24"/>
              </w:rPr>
            </w:pPr>
          </w:p>
        </w:tc>
        <w:tc>
          <w:tcPr>
            <w:tcW w:w="2601"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运营期间给周边群众提供良好的交通</w:t>
            </w:r>
          </w:p>
        </w:tc>
        <w:tc>
          <w:tcPr>
            <w:tcW w:w="1752"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加强市政管理和维护保养工作</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5" w:hRule="atLeast"/>
          <w:jc w:val="center"/>
        </w:trPr>
        <w:tc>
          <w:tcPr>
            <w:tcW w:w="769"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5</w:t>
            </w:r>
          </w:p>
        </w:tc>
        <w:tc>
          <w:tcPr>
            <w:tcW w:w="2280"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对弱势群体的影响（妇女、儿童、残疾人员）</w:t>
            </w:r>
          </w:p>
        </w:tc>
        <w:tc>
          <w:tcPr>
            <w:tcW w:w="2064"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所属区域/较大</w:t>
            </w:r>
          </w:p>
        </w:tc>
        <w:tc>
          <w:tcPr>
            <w:tcW w:w="2601"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产生积极的影响</w:t>
            </w:r>
          </w:p>
        </w:tc>
        <w:tc>
          <w:tcPr>
            <w:tcW w:w="1752"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加强对弱势群体的支持工作</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5" w:hRule="atLeast"/>
          <w:jc w:val="center"/>
        </w:trPr>
        <w:tc>
          <w:tcPr>
            <w:tcW w:w="769"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6</w:t>
            </w:r>
          </w:p>
        </w:tc>
        <w:tc>
          <w:tcPr>
            <w:tcW w:w="2280"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对地区文化、教育、卫生的影响</w:t>
            </w:r>
          </w:p>
        </w:tc>
        <w:tc>
          <w:tcPr>
            <w:tcW w:w="2064"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所属区域/一般</w:t>
            </w:r>
          </w:p>
        </w:tc>
        <w:tc>
          <w:tcPr>
            <w:tcW w:w="2601"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有积极的影响</w:t>
            </w:r>
          </w:p>
        </w:tc>
        <w:tc>
          <w:tcPr>
            <w:tcW w:w="1752"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增加这几个方面的投入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5" w:hRule="atLeast"/>
          <w:jc w:val="center"/>
        </w:trPr>
        <w:tc>
          <w:tcPr>
            <w:tcW w:w="769"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7</w:t>
            </w:r>
          </w:p>
        </w:tc>
        <w:tc>
          <w:tcPr>
            <w:tcW w:w="2280"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对地区基础设施、社会服务容量和城市化进程的影响</w:t>
            </w:r>
          </w:p>
        </w:tc>
        <w:tc>
          <w:tcPr>
            <w:tcW w:w="2064"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促进基础设施建设，加快城市化进程。</w:t>
            </w:r>
          </w:p>
        </w:tc>
        <w:tc>
          <w:tcPr>
            <w:tcW w:w="2601"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促进社会经济健康发展</w:t>
            </w:r>
          </w:p>
        </w:tc>
        <w:tc>
          <w:tcPr>
            <w:tcW w:w="1752"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需要各有关部门协调好各项建设工作</w:t>
            </w:r>
          </w:p>
        </w:tc>
      </w:tr>
    </w:tbl>
    <w:p>
      <w:pPr>
        <w:pStyle w:val="3"/>
        <w:rPr>
          <w:rFonts w:ascii="仿宋_GB2312" w:eastAsia="仿宋_GB2312" w:cs="Arial"/>
          <w:color w:val="000000"/>
          <w:sz w:val="28"/>
          <w:szCs w:val="28"/>
        </w:rPr>
      </w:pPr>
      <w:bookmarkStart w:id="88" w:name="_Toc464510842"/>
      <w:bookmarkStart w:id="89" w:name="_Toc109209616"/>
      <w:bookmarkStart w:id="90" w:name="_Toc93398868"/>
      <w:bookmarkStart w:id="91" w:name="_Toc89584659"/>
      <w:bookmarkStart w:id="92" w:name="_Toc101151375"/>
      <w:r>
        <w:rPr>
          <w:rFonts w:hint="eastAsia" w:ascii="仿宋_GB2312" w:eastAsia="仿宋_GB2312" w:cs="Arial"/>
          <w:color w:val="000000"/>
          <w:sz w:val="28"/>
          <w:szCs w:val="28"/>
        </w:rPr>
        <w:t>11.2 项目互适性分析</w:t>
      </w:r>
      <w:bookmarkEnd w:id="88"/>
      <w:bookmarkEnd w:id="89"/>
      <w:bookmarkEnd w:id="90"/>
      <w:bookmarkEnd w:id="91"/>
      <w:bookmarkEnd w:id="92"/>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本项目为</w:t>
      </w:r>
      <w:r>
        <w:rPr>
          <w:rFonts w:hint="eastAsia" w:ascii="仿宋_GB2312" w:hAnsi="宋体" w:eastAsia="仿宋_GB2312"/>
          <w:color w:val="000000"/>
          <w:sz w:val="28"/>
          <w:szCs w:val="28"/>
        </w:rPr>
        <w:t>桑浦山龙泉岩森林消防应急通道上山段（慈园路）工程</w:t>
      </w:r>
      <w:r>
        <w:rPr>
          <w:rFonts w:hint="eastAsia" w:ascii="仿宋_GB2312" w:hAnsi="Arial" w:eastAsia="仿宋_GB2312"/>
          <w:color w:val="000000"/>
          <w:sz w:val="28"/>
          <w:szCs w:val="28"/>
        </w:rPr>
        <w:t>，项目的建设对当地将会产生深远的影响，根据影响程度的不同来分析项目与周围环境的适应程度。</w:t>
      </w:r>
    </w:p>
    <w:p>
      <w:pPr>
        <w:spacing w:beforeLines="50" w:afterLines="50" w:line="540" w:lineRule="exact"/>
        <w:ind w:firstLine="560" w:firstLineChars="200"/>
        <w:rPr>
          <w:rFonts w:ascii="仿宋_GB2312" w:hAnsi="Arial" w:eastAsia="仿宋_GB2312"/>
          <w:color w:val="000000"/>
          <w:sz w:val="28"/>
          <w:szCs w:val="28"/>
        </w:rPr>
      </w:pPr>
      <w:r>
        <w:rPr>
          <w:rFonts w:hint="eastAsia" w:ascii="仿宋_GB2312" w:hAnsi="Arial" w:eastAsia="仿宋_GB2312"/>
          <w:color w:val="000000"/>
          <w:sz w:val="28"/>
          <w:szCs w:val="28"/>
        </w:rPr>
        <w:t>社会对项目的适应性和可接受程度分析如下表11-2。</w:t>
      </w:r>
    </w:p>
    <w:p>
      <w:pPr>
        <w:spacing w:beforeLines="50" w:afterLines="50" w:line="540" w:lineRule="exact"/>
        <w:ind w:firstLine="562" w:firstLineChars="200"/>
        <w:jc w:val="center"/>
        <w:rPr>
          <w:rFonts w:ascii="仿宋_GB2312" w:hAnsi="Arial" w:eastAsia="仿宋_GB2312"/>
          <w:color w:val="000000"/>
          <w:sz w:val="28"/>
          <w:szCs w:val="28"/>
        </w:rPr>
      </w:pPr>
      <w:r>
        <w:rPr>
          <w:rFonts w:hint="eastAsia" w:ascii="仿宋_GB2312" w:hAnsi="Arial" w:eastAsia="仿宋_GB2312"/>
          <w:b/>
          <w:color w:val="000000"/>
          <w:sz w:val="28"/>
          <w:szCs w:val="28"/>
        </w:rPr>
        <w:t>社会对项目的适应性和可接受程度分析表</w:t>
      </w:r>
    </w:p>
    <w:p>
      <w:pPr>
        <w:spacing w:line="540" w:lineRule="exact"/>
        <w:rPr>
          <w:rFonts w:ascii="仿宋_GB2312" w:hAnsi="Arial" w:eastAsia="仿宋_GB2312"/>
          <w:color w:val="000000"/>
          <w:sz w:val="24"/>
        </w:rPr>
      </w:pPr>
      <w:r>
        <w:rPr>
          <w:rFonts w:hint="eastAsia" w:ascii="仿宋_GB2312" w:hAnsi="Arial" w:eastAsia="仿宋_GB2312"/>
          <w:color w:val="000000"/>
          <w:sz w:val="24"/>
        </w:rPr>
        <w:t>表11-2</w:t>
      </w:r>
    </w:p>
    <w:tbl>
      <w:tblPr>
        <w:tblStyle w:val="28"/>
        <w:tblW w:w="8522"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1"/>
        <w:gridCol w:w="1933"/>
        <w:gridCol w:w="1427"/>
        <w:gridCol w:w="2088"/>
        <w:gridCol w:w="237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5" w:hRule="atLeast"/>
          <w:tblHeader/>
          <w:jc w:val="center"/>
        </w:trPr>
        <w:tc>
          <w:tcPr>
            <w:tcW w:w="701" w:type="dxa"/>
            <w:vAlign w:val="center"/>
          </w:tcPr>
          <w:p>
            <w:pPr>
              <w:pStyle w:val="10"/>
              <w:tabs>
                <w:tab w:val="left" w:pos="0"/>
                <w:tab w:val="left" w:pos="945"/>
                <w:tab w:val="left" w:pos="7920"/>
                <w:tab w:val="left" w:pos="8100"/>
              </w:tabs>
              <w:ind w:firstLine="0" w:firstLineChars="0"/>
              <w:rPr>
                <w:rFonts w:ascii="仿宋_GB2312" w:eastAsia="仿宋_GB2312"/>
                <w:b/>
                <w:color w:val="000000"/>
                <w:sz w:val="24"/>
              </w:rPr>
            </w:pPr>
            <w:r>
              <w:rPr>
                <w:rFonts w:hint="eastAsia" w:ascii="仿宋_GB2312" w:eastAsia="仿宋_GB2312"/>
                <w:b/>
                <w:color w:val="000000"/>
                <w:sz w:val="24"/>
              </w:rPr>
              <w:t>序号</w:t>
            </w:r>
          </w:p>
        </w:tc>
        <w:tc>
          <w:tcPr>
            <w:tcW w:w="1933" w:type="dxa"/>
            <w:vAlign w:val="center"/>
          </w:tcPr>
          <w:p>
            <w:pPr>
              <w:pStyle w:val="10"/>
              <w:tabs>
                <w:tab w:val="left" w:pos="0"/>
                <w:tab w:val="left" w:pos="945"/>
                <w:tab w:val="left" w:pos="7920"/>
                <w:tab w:val="left" w:pos="8100"/>
              </w:tabs>
              <w:ind w:firstLine="0" w:firstLineChars="0"/>
              <w:rPr>
                <w:rFonts w:ascii="仿宋_GB2312" w:eastAsia="仿宋_GB2312"/>
                <w:b/>
                <w:color w:val="000000"/>
                <w:sz w:val="24"/>
              </w:rPr>
            </w:pPr>
            <w:r>
              <w:rPr>
                <w:rFonts w:hint="eastAsia" w:ascii="仿宋_GB2312" w:eastAsia="仿宋_GB2312"/>
                <w:b/>
                <w:color w:val="000000"/>
                <w:sz w:val="24"/>
              </w:rPr>
              <w:t>社会因素</w:t>
            </w:r>
          </w:p>
        </w:tc>
        <w:tc>
          <w:tcPr>
            <w:tcW w:w="1427" w:type="dxa"/>
            <w:vAlign w:val="center"/>
          </w:tcPr>
          <w:p>
            <w:pPr>
              <w:pStyle w:val="10"/>
              <w:tabs>
                <w:tab w:val="left" w:pos="0"/>
                <w:tab w:val="left" w:pos="945"/>
                <w:tab w:val="left" w:pos="7920"/>
                <w:tab w:val="left" w:pos="8100"/>
              </w:tabs>
              <w:ind w:firstLine="0" w:firstLineChars="0"/>
              <w:rPr>
                <w:rFonts w:ascii="仿宋_GB2312" w:eastAsia="仿宋_GB2312"/>
                <w:b/>
                <w:color w:val="000000"/>
                <w:sz w:val="24"/>
              </w:rPr>
            </w:pPr>
            <w:r>
              <w:rPr>
                <w:rFonts w:hint="eastAsia" w:ascii="仿宋_GB2312" w:eastAsia="仿宋_GB2312"/>
                <w:b/>
                <w:color w:val="000000"/>
                <w:sz w:val="24"/>
              </w:rPr>
              <w:t>适应程度</w:t>
            </w:r>
          </w:p>
        </w:tc>
        <w:tc>
          <w:tcPr>
            <w:tcW w:w="2088" w:type="dxa"/>
            <w:vAlign w:val="center"/>
          </w:tcPr>
          <w:p>
            <w:pPr>
              <w:pStyle w:val="10"/>
              <w:tabs>
                <w:tab w:val="left" w:pos="0"/>
                <w:tab w:val="left" w:pos="945"/>
                <w:tab w:val="left" w:pos="7920"/>
                <w:tab w:val="left" w:pos="8100"/>
              </w:tabs>
              <w:ind w:firstLine="0" w:firstLineChars="0"/>
              <w:rPr>
                <w:rFonts w:ascii="仿宋_GB2312" w:eastAsia="仿宋_GB2312"/>
                <w:b/>
                <w:color w:val="000000"/>
                <w:sz w:val="24"/>
              </w:rPr>
            </w:pPr>
            <w:r>
              <w:rPr>
                <w:rFonts w:hint="eastAsia" w:ascii="仿宋_GB2312" w:eastAsia="仿宋_GB2312"/>
                <w:b/>
                <w:color w:val="000000"/>
                <w:sz w:val="24"/>
              </w:rPr>
              <w:t>可能出现的问题</w:t>
            </w:r>
          </w:p>
        </w:tc>
        <w:tc>
          <w:tcPr>
            <w:tcW w:w="2373" w:type="dxa"/>
            <w:vAlign w:val="center"/>
          </w:tcPr>
          <w:p>
            <w:pPr>
              <w:pStyle w:val="10"/>
              <w:tabs>
                <w:tab w:val="left" w:pos="0"/>
                <w:tab w:val="left" w:pos="945"/>
                <w:tab w:val="left" w:pos="7920"/>
                <w:tab w:val="left" w:pos="8100"/>
              </w:tabs>
              <w:ind w:firstLine="463"/>
              <w:jc w:val="center"/>
              <w:rPr>
                <w:rFonts w:ascii="仿宋_GB2312" w:eastAsia="仿宋_GB2312"/>
                <w:b/>
                <w:color w:val="000000"/>
                <w:sz w:val="24"/>
              </w:rPr>
            </w:pPr>
            <w:r>
              <w:rPr>
                <w:rFonts w:hint="eastAsia" w:ascii="仿宋_GB2312" w:eastAsia="仿宋_GB2312"/>
                <w:b/>
                <w:color w:val="000000"/>
                <w:sz w:val="24"/>
              </w:rPr>
              <w:t>措施建议</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5" w:hRule="atLeast"/>
          <w:jc w:val="center"/>
        </w:trPr>
        <w:tc>
          <w:tcPr>
            <w:tcW w:w="701"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1</w:t>
            </w:r>
          </w:p>
        </w:tc>
        <w:tc>
          <w:tcPr>
            <w:tcW w:w="1933"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不同利益的群体</w:t>
            </w:r>
          </w:p>
        </w:tc>
        <w:tc>
          <w:tcPr>
            <w:tcW w:w="1427"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适应并不同程度支持</w:t>
            </w:r>
          </w:p>
        </w:tc>
        <w:tc>
          <w:tcPr>
            <w:tcW w:w="2088"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建设时期引起当地居民极小的不便</w:t>
            </w:r>
          </w:p>
        </w:tc>
        <w:tc>
          <w:tcPr>
            <w:tcW w:w="2373"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有关部门应注意引导和加强现场管理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5" w:hRule="atLeast"/>
          <w:jc w:val="center"/>
        </w:trPr>
        <w:tc>
          <w:tcPr>
            <w:tcW w:w="701"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2</w:t>
            </w:r>
          </w:p>
        </w:tc>
        <w:tc>
          <w:tcPr>
            <w:tcW w:w="1933"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当地组织机构</w:t>
            </w:r>
          </w:p>
        </w:tc>
        <w:tc>
          <w:tcPr>
            <w:tcW w:w="1427"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全力支持</w:t>
            </w:r>
          </w:p>
        </w:tc>
        <w:tc>
          <w:tcPr>
            <w:tcW w:w="2088"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交通、电力、通信、供水等建设管理部门配合</w:t>
            </w:r>
          </w:p>
        </w:tc>
        <w:tc>
          <w:tcPr>
            <w:tcW w:w="2373" w:type="dxa"/>
            <w:vAlign w:val="center"/>
          </w:tcPr>
          <w:p>
            <w:pPr>
              <w:spacing w:line="360" w:lineRule="auto"/>
              <w:jc w:val="center"/>
              <w:rPr>
                <w:rFonts w:ascii="仿宋_GB2312" w:hAnsi="Arial" w:eastAsia="仿宋_GB2312"/>
                <w:color w:val="000000"/>
                <w:sz w:val="24"/>
              </w:rPr>
            </w:pPr>
            <w:r>
              <w:rPr>
                <w:rFonts w:hint="eastAsia" w:ascii="仿宋_GB2312" w:hAnsi="Arial" w:eastAsia="仿宋_GB2312"/>
                <w:color w:val="000000"/>
                <w:sz w:val="24"/>
              </w:rPr>
              <w:t>有关管理部门应协调配合及大力支持</w:t>
            </w:r>
          </w:p>
        </w:tc>
      </w:tr>
    </w:tbl>
    <w:p>
      <w:pPr>
        <w:pStyle w:val="3"/>
        <w:rPr>
          <w:rFonts w:ascii="仿宋_GB2312" w:eastAsia="仿宋_GB2312" w:cs="Arial"/>
          <w:color w:val="000000"/>
          <w:sz w:val="28"/>
          <w:szCs w:val="28"/>
        </w:rPr>
      </w:pPr>
      <w:bookmarkStart w:id="93" w:name="_Toc109209617"/>
      <w:bookmarkStart w:id="94" w:name="_Toc101151376"/>
      <w:bookmarkStart w:id="95" w:name="_Toc464510843"/>
      <w:bookmarkStart w:id="96" w:name="_Toc93398870"/>
      <w:r>
        <w:rPr>
          <w:rFonts w:hint="eastAsia" w:ascii="仿宋_GB2312" w:eastAsia="仿宋_GB2312" w:cs="Arial"/>
          <w:color w:val="000000"/>
          <w:sz w:val="28"/>
          <w:szCs w:val="28"/>
        </w:rPr>
        <w:t>11.3 社会评价结论</w:t>
      </w:r>
      <w:bookmarkEnd w:id="93"/>
      <w:bookmarkEnd w:id="94"/>
      <w:bookmarkEnd w:id="95"/>
      <w:bookmarkEnd w:id="96"/>
    </w:p>
    <w:p>
      <w:pPr>
        <w:spacing w:beforeLines="50" w:afterLines="50" w:line="540" w:lineRule="exact"/>
        <w:ind w:firstLine="560" w:firstLineChars="200"/>
        <w:rPr>
          <w:rFonts w:ascii="仿宋_GB2312" w:hAnsi="Arial" w:eastAsia="仿宋_GB2312"/>
          <w:color w:val="000000"/>
          <w:sz w:val="28"/>
          <w:szCs w:val="28"/>
        </w:rPr>
        <w:sectPr>
          <w:pgSz w:w="11906" w:h="16838"/>
          <w:pgMar w:top="1440" w:right="1800" w:bottom="1440" w:left="1800" w:header="851" w:footer="840" w:gutter="0"/>
          <w:cols w:space="425" w:num="1"/>
          <w:docGrid w:type="lines" w:linePitch="312" w:charSpace="0"/>
        </w:sectPr>
      </w:pPr>
      <w:r>
        <w:rPr>
          <w:rFonts w:hint="eastAsia" w:ascii="仿宋_GB2312" w:hAnsi="Arial" w:eastAsia="仿宋_GB2312"/>
          <w:color w:val="000000"/>
          <w:sz w:val="28"/>
          <w:szCs w:val="28"/>
        </w:rPr>
        <w:t>经过社会影响分析和项目互适性分析，项目的建设对社会产生正面的影响，项目的建设是可行的，符合区域规划和经济发展的要求，满足市民对城市发展的实际需求，项目的建设，促进土地开发利用的价值，优化了投资环境，能促进旅游区招商引资工作的开展，提高区域后续发展的能力。</w:t>
      </w:r>
      <w:bookmarkEnd w:id="85"/>
      <w:bookmarkEnd w:id="86"/>
      <w:bookmarkEnd w:id="87"/>
    </w:p>
    <w:p>
      <w:pPr>
        <w:pStyle w:val="2"/>
        <w:spacing w:before="100" w:beforeAutospacing="1" w:after="100" w:afterAutospacing="1" w:line="360" w:lineRule="auto"/>
        <w:ind w:left="560"/>
        <w:jc w:val="center"/>
        <w:rPr>
          <w:rFonts w:hint="eastAsia" w:ascii="仿宋_GB2312" w:eastAsia="仿宋_GB2312"/>
          <w:color w:val="000000" w:themeColor="text1"/>
          <w:sz w:val="32"/>
          <w:szCs w:val="32"/>
        </w:rPr>
      </w:pPr>
      <w:bookmarkStart w:id="97" w:name="_Toc464510844"/>
      <w:bookmarkStart w:id="98" w:name="_Toc415647906"/>
      <w:r>
        <w:rPr>
          <w:rFonts w:hint="eastAsia" w:ascii="仿宋_GB2312" w:eastAsia="仿宋_GB2312"/>
          <w:color w:val="000000" w:themeColor="text1"/>
          <w:sz w:val="32"/>
          <w:szCs w:val="32"/>
        </w:rPr>
        <w:t>第十二章  社会稳定风险分析</w:t>
      </w:r>
      <w:bookmarkEnd w:id="97"/>
    </w:p>
    <w:p>
      <w:pPr>
        <w:pStyle w:val="3"/>
        <w:rPr>
          <w:rFonts w:hint="eastAsia" w:ascii="仿宋_GB2312" w:hAnsi="宋体" w:eastAsia="仿宋_GB2312"/>
          <w:color w:val="000000" w:themeColor="text1"/>
          <w:sz w:val="28"/>
          <w:szCs w:val="28"/>
        </w:rPr>
      </w:pPr>
      <w:bookmarkStart w:id="99" w:name="_Toc349748674"/>
      <w:bookmarkStart w:id="100" w:name="_Toc367718445"/>
      <w:bookmarkStart w:id="101" w:name="_Toc464510845"/>
      <w:r>
        <w:rPr>
          <w:rFonts w:hint="eastAsia" w:ascii="仿宋_GB2312" w:hAnsi="宋体" w:eastAsia="仿宋_GB2312"/>
          <w:color w:val="000000" w:themeColor="text1"/>
          <w:sz w:val="28"/>
          <w:szCs w:val="28"/>
        </w:rPr>
        <w:t>12.1</w:t>
      </w:r>
      <w:bookmarkEnd w:id="99"/>
      <w:r>
        <w:rPr>
          <w:rFonts w:hint="eastAsia" w:ascii="仿宋_GB2312" w:hAnsi="宋体" w:eastAsia="仿宋_GB2312"/>
          <w:color w:val="000000" w:themeColor="text1"/>
          <w:sz w:val="28"/>
          <w:szCs w:val="28"/>
        </w:rPr>
        <w:t xml:space="preserve"> 编制依据</w:t>
      </w:r>
      <w:bookmarkEnd w:id="100"/>
      <w:bookmarkEnd w:id="101"/>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1、《国家发展改革委关于印发国家发展改革委重大固定资产投资项目社会稳定风险评估暂行办法的通知》（发改投资[2012]2492号）；</w:t>
      </w:r>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2、《国家发展改革委办公厅关于印发重大固定资产投资项目社会稳定风险分析篇章和评估报告编制大纲（试行）的通知》（发改办投资[2013]428号）；</w:t>
      </w:r>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 xml:space="preserve">3、《广东省发展改革委关于印发重大项目社会稳定风险评估暂行办法的通知》（粤发改重点[2012]1095 号）； </w:t>
      </w:r>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4、《广东省环境保护规划纲要（2006-2020年）》；</w:t>
      </w:r>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 xml:space="preserve">5、《广东省固体废物污染环境防治条例》（2004年5月1日施行）； </w:t>
      </w:r>
    </w:p>
    <w:p>
      <w:pPr>
        <w:pStyle w:val="3"/>
        <w:rPr>
          <w:rFonts w:hint="eastAsia" w:ascii="仿宋_GB2312" w:hAnsi="宋体" w:eastAsia="仿宋_GB2312"/>
          <w:color w:val="000000" w:themeColor="text1"/>
          <w:sz w:val="28"/>
          <w:szCs w:val="28"/>
        </w:rPr>
      </w:pPr>
      <w:bookmarkStart w:id="102" w:name="_Toc464510846"/>
      <w:bookmarkStart w:id="103" w:name="_Toc367718446"/>
      <w:r>
        <w:rPr>
          <w:rFonts w:hint="eastAsia" w:ascii="仿宋_GB2312" w:hAnsi="宋体" w:eastAsia="仿宋_GB2312"/>
          <w:color w:val="000000" w:themeColor="text1"/>
          <w:sz w:val="28"/>
          <w:szCs w:val="28"/>
        </w:rPr>
        <w:t>12.2 风险调查</w:t>
      </w:r>
      <w:bookmarkEnd w:id="102"/>
      <w:bookmarkEnd w:id="103"/>
    </w:p>
    <w:p>
      <w:pPr>
        <w:pStyle w:val="43"/>
        <w:ind w:firstLine="562"/>
        <w:rPr>
          <w:rFonts w:hint="eastAsia" w:ascii="仿宋_GB2312"/>
          <w:b/>
          <w:color w:val="000000" w:themeColor="text1"/>
        </w:rPr>
      </w:pPr>
      <w:r>
        <w:rPr>
          <w:rFonts w:hint="eastAsia" w:ascii="仿宋_GB2312"/>
          <w:b/>
          <w:color w:val="000000" w:themeColor="text1"/>
        </w:rPr>
        <w:t>1、项目的合法性</w:t>
      </w:r>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汕头市政府于2016年2月17日召开会议研究规划建设桑浦山龙泉岩片区森林消防应急道路有关问题，会议形成《关于规划建设汕头市桑浦山龙泉岩片区森林消防应急道路有关问题的签报件》文件，项目符合汕头市“十三五”相关规划，同意进行建设。</w:t>
      </w:r>
    </w:p>
    <w:p>
      <w:pPr>
        <w:spacing w:beforeLines="50" w:afterLines="50" w:line="540" w:lineRule="exact"/>
        <w:ind w:firstLine="562" w:firstLineChars="200"/>
        <w:rPr>
          <w:rFonts w:hint="eastAsia" w:ascii="仿宋_GB2312" w:eastAsia="仿宋_GB2312"/>
          <w:b/>
          <w:color w:val="000000" w:themeColor="text1"/>
          <w:sz w:val="28"/>
          <w:szCs w:val="28"/>
        </w:rPr>
      </w:pPr>
      <w:r>
        <w:rPr>
          <w:rFonts w:hint="eastAsia" w:ascii="仿宋_GB2312" w:eastAsia="仿宋_GB2312"/>
          <w:b/>
          <w:color w:val="000000" w:themeColor="text1"/>
          <w:sz w:val="28"/>
          <w:szCs w:val="28"/>
        </w:rPr>
        <w:t>2、项目自然和社会环境状况</w:t>
      </w:r>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本项目选址于汕头市桑浦山山脚下，道路</w:t>
      </w:r>
      <w:r>
        <w:rPr>
          <w:rFonts w:hint="eastAsia" w:ascii="仿宋_GB2312" w:hAnsi="宋体" w:eastAsia="仿宋_GB2312"/>
          <w:color w:val="000000" w:themeColor="text1"/>
          <w:sz w:val="28"/>
          <w:szCs w:val="28"/>
        </w:rPr>
        <w:t>长1180米，建设总面积为20216平方米</w:t>
      </w:r>
      <w:r>
        <w:rPr>
          <w:rFonts w:hint="eastAsia" w:ascii="仿宋_GB2312" w:eastAsia="仿宋_GB2312"/>
          <w:color w:val="000000" w:themeColor="text1"/>
          <w:sz w:val="28"/>
          <w:szCs w:val="28"/>
        </w:rPr>
        <w:t>。本项目地形地貌条件简单，无滑坡、崩塌、泥石流、地面沉降、塌陷、地裂缝等现状，无不良地质灾害发育。本项目水电供应、雨污排水等市政配套条件已基本完备。</w:t>
      </w:r>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本项目合在建设期有利于活跃当地建材市场，为劳动力提供就业机会；在建成投入使用后将极大的改善片区的交通环境，这是本项目对社会经济发展的有利影响。本项目建设期内项目的施工会对地表水、空气、噪声环境等方面产生一定程度的不利影响：施工过程中会产生大量粉尘，施工机械会有作业噪声；施工机械燃油或机油渗漏会引起油污染；施工物堆料场受降雨冲刷会引起地表径流污染；施工营地生活污水未经处理直排或生活垃圾随意抛弃会引起污染；大型挖掘机械及运土车辆对道路的损坏和环境卫生的破坏的现象将不同程度的存在。</w:t>
      </w:r>
    </w:p>
    <w:p>
      <w:pPr>
        <w:pStyle w:val="3"/>
        <w:rPr>
          <w:rFonts w:hint="eastAsia" w:ascii="仿宋_GB2312" w:hAnsi="宋体" w:eastAsia="仿宋_GB2312"/>
          <w:color w:val="000000" w:themeColor="text1"/>
          <w:sz w:val="28"/>
          <w:szCs w:val="28"/>
        </w:rPr>
      </w:pPr>
      <w:bookmarkStart w:id="104" w:name="_Toc367718447"/>
      <w:bookmarkStart w:id="105" w:name="_Toc464510847"/>
      <w:r>
        <w:rPr>
          <w:rFonts w:hint="eastAsia" w:ascii="仿宋_GB2312" w:hAnsi="宋体" w:eastAsia="仿宋_GB2312"/>
          <w:color w:val="000000" w:themeColor="text1"/>
          <w:sz w:val="28"/>
          <w:szCs w:val="28"/>
        </w:rPr>
        <w:t>12.3 风险识别</w:t>
      </w:r>
      <w:bookmarkEnd w:id="104"/>
      <w:bookmarkEnd w:id="105"/>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根据风险调查的结果，针对利益相关者的意见与诉求，以及日后可能引发不稳定事件的情形，查找并分析可能引发社会稳定风险的各种风险因素。本项目主要包括工程风险因素和与社会互适性风险因素，其中工程风险因素方面主要针对政策规划批复程序、征地拆迁、技术经济以及人居环境等方面进行风险分析，与社会互适性风险因素方面主要针对经济利益、社会环境以及经济管理等方面进行风险分析。</w:t>
      </w:r>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具体情况见表12-1所示。</w:t>
      </w:r>
    </w:p>
    <w:p>
      <w:pPr>
        <w:spacing w:line="360" w:lineRule="auto"/>
        <w:rPr>
          <w:rFonts w:hint="eastAsia" w:ascii="仿宋_GB2312" w:eastAsia="仿宋_GB2312"/>
          <w:color w:val="000000" w:themeColor="text1"/>
          <w:sz w:val="28"/>
          <w:szCs w:val="28"/>
        </w:rPr>
      </w:pPr>
    </w:p>
    <w:p>
      <w:pPr>
        <w:spacing w:beforeLines="50" w:afterLines="50" w:line="360" w:lineRule="auto"/>
        <w:jc w:val="center"/>
        <w:rPr>
          <w:rFonts w:hint="eastAsia" w:ascii="仿宋_GB2312" w:eastAsia="仿宋_GB2312"/>
          <w:b/>
          <w:color w:val="000000" w:themeColor="text1"/>
          <w:sz w:val="24"/>
        </w:rPr>
      </w:pPr>
      <w:r>
        <w:rPr>
          <w:rFonts w:hint="eastAsia" w:ascii="仿宋_GB2312" w:eastAsia="仿宋_GB2312"/>
          <w:b/>
          <w:color w:val="000000" w:themeColor="text1"/>
          <w:sz w:val="24"/>
        </w:rPr>
        <w:t>社会稳定风险识别表</w:t>
      </w:r>
    </w:p>
    <w:p>
      <w:pPr>
        <w:spacing w:beforeLines="50" w:afterLines="50" w:line="360" w:lineRule="auto"/>
        <w:jc w:val="left"/>
        <w:rPr>
          <w:rFonts w:hint="eastAsia" w:ascii="仿宋_GB2312" w:eastAsia="仿宋_GB2312"/>
          <w:b/>
          <w:color w:val="000000" w:themeColor="text1"/>
          <w:sz w:val="24"/>
        </w:rPr>
      </w:pPr>
      <w:r>
        <w:rPr>
          <w:rFonts w:hint="eastAsia" w:ascii="仿宋_GB2312" w:eastAsia="仿宋_GB2312"/>
          <w:b/>
          <w:color w:val="000000" w:themeColor="text1"/>
          <w:sz w:val="24"/>
        </w:rPr>
        <w:t>表12-1</w:t>
      </w:r>
    </w:p>
    <w:tbl>
      <w:tblPr>
        <w:tblStyle w:val="28"/>
        <w:tblW w:w="8426" w:type="dxa"/>
        <w:tblInd w:w="144" w:type="dxa"/>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
      <w:tblGrid>
        <w:gridCol w:w="851"/>
        <w:gridCol w:w="850"/>
        <w:gridCol w:w="1276"/>
        <w:gridCol w:w="5449"/>
      </w:tblGrid>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84" w:hRule="atLeast"/>
          <w:tblHeader/>
        </w:trPr>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类别</w:t>
            </w:r>
          </w:p>
        </w:tc>
        <w:tc>
          <w:tcPr>
            <w:tcW w:w="850"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分类</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风险因素</w:t>
            </w:r>
          </w:p>
        </w:tc>
        <w:tc>
          <w:tcPr>
            <w:tcW w:w="5449"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参考评价指标</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287" w:hRule="atLeast"/>
        </w:trPr>
        <w:tc>
          <w:tcPr>
            <w:tcW w:w="851" w:type="dxa"/>
            <w:vMerge w:val="restart"/>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工程风险因素</w:t>
            </w:r>
          </w:p>
        </w:tc>
        <w:tc>
          <w:tcPr>
            <w:tcW w:w="850" w:type="dxa"/>
            <w:vMerge w:val="restart"/>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政策规划批复程序</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立项审批程序</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决策权限、范围、内容合法，立项程序符合相关要求。</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663"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发展规划</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本项目符合《汕头市国民经济和社会发展第十三个五年规划纲要》的规划和发展状况，符合大多数人的利益。</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84"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规划选址、土地利用</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本项目符合《汕头市城市总体规划（2002—2020）》；</w:t>
            </w:r>
          </w:p>
          <w:p>
            <w:pPr>
              <w:rPr>
                <w:rFonts w:hint="eastAsia" w:ascii="仿宋_GB2312" w:eastAsia="仿宋_GB2312"/>
                <w:color w:val="000000" w:themeColor="text1"/>
                <w:sz w:val="24"/>
              </w:rPr>
            </w:pPr>
            <w:r>
              <w:rPr>
                <w:rFonts w:hint="eastAsia" w:ascii="仿宋_GB2312" w:eastAsia="仿宋_GB2312"/>
                <w:color w:val="000000" w:themeColor="text1"/>
                <w:sz w:val="24"/>
              </w:rPr>
              <w:t>《汕头市桑浦山龙泉岩片区专项控制规划》等相关规划内容，满足控制性规划要求。</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84"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规划相关参数</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本项目规划设计方案符合实际，可操作性强。</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81"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公众参与性</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上述环节应广泛听取意见，并能够真实、及时反馈</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PrEx>
        <w:trPr>
          <w:trHeight w:val="584"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restart"/>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征地拆迁</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土地</w:t>
            </w:r>
          </w:p>
          <w:p>
            <w:pPr>
              <w:jc w:val="center"/>
              <w:rPr>
                <w:rFonts w:hint="eastAsia" w:ascii="仿宋_GB2312" w:eastAsia="仿宋_GB2312"/>
                <w:color w:val="000000" w:themeColor="text1"/>
                <w:sz w:val="24"/>
              </w:rPr>
            </w:pPr>
            <w:r>
              <w:rPr>
                <w:rFonts w:hint="eastAsia" w:ascii="仿宋_GB2312" w:eastAsia="仿宋_GB2312"/>
                <w:color w:val="000000" w:themeColor="text1"/>
                <w:sz w:val="24"/>
              </w:rPr>
              <w:t>征用范围</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本项目建设用地符合因地制宜、节约利用土地资源的总要求，红线范围划定合理可行</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84"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征用的补偿标准</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本项目建设用地按照国家和当地法规规定的程序开展土地补偿工作，补偿方案已征求公众意见，对征地区域居民进行相应补偿。</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技术经济</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工程技术方案</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建设用地所在区域发生地质灾害种类不多、危害性亦较小，在工程建设过程中可以进行整治、加固，减少危险程度。评估区未发现有重要价值的矿产、地质地貌景观和古生物化石等，也未发现大型滑坡、泥石流、人工洞穴、大面积地下采空区、地下有毒有害气体及放射性污染源等，评估区的场地适宜开发区工程项目的建设。</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restart"/>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人居环境（建设期、</w:t>
            </w:r>
          </w:p>
          <w:p>
            <w:pPr>
              <w:jc w:val="center"/>
              <w:rPr>
                <w:rFonts w:hint="eastAsia" w:ascii="仿宋_GB2312" w:eastAsia="仿宋_GB2312"/>
                <w:color w:val="000000" w:themeColor="text1"/>
                <w:sz w:val="24"/>
              </w:rPr>
            </w:pPr>
            <w:r>
              <w:rPr>
                <w:rFonts w:hint="eastAsia" w:ascii="仿宋_GB2312" w:eastAsia="仿宋_GB2312"/>
                <w:color w:val="000000" w:themeColor="text1"/>
                <w:sz w:val="24"/>
              </w:rPr>
              <w:t>运营期）</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噪音、振动</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 xml:space="preserve">本项目施工期间噪声应符合《建筑施工界噪声限值》（GB12523-90）； </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固体废弃物</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本项目建设期与运营期产生的固体废弃物应及时清运，避免影响群众健康及生活环境造成</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废气、粉尘</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本项目废气排放应执行广东省地方标准《大气污染物排放限值》（DB44/27-2001）二级标准。</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kern w:val="0"/>
                <w:sz w:val="24"/>
              </w:rPr>
            </w:pPr>
            <w:r>
              <w:rPr>
                <w:rFonts w:hint="eastAsia" w:ascii="仿宋_GB2312" w:eastAsia="仿宋_GB2312"/>
                <w:color w:val="000000" w:themeColor="text1"/>
                <w:sz w:val="24"/>
              </w:rPr>
              <w:t>绿化、景观</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本项目绿化、景观应满足相关要求并迎合本地区风俗习惯。</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水体污染</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本项目废水排放应执行广东省地方标准《水污染物排放限值》（DB44/26-2001）三级标准（第二时段）。</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地质沉降、建筑损坏</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基坑开挖、打桩等引起地质沉降，对周边建筑安全可能产生不利影响。</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restart"/>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与社会互适性风险因素</w:t>
            </w:r>
          </w:p>
          <w:p>
            <w:pPr>
              <w:jc w:val="center"/>
              <w:rPr>
                <w:rFonts w:hint="eastAsia" w:ascii="仿宋_GB2312" w:eastAsia="仿宋_GB2312"/>
                <w:color w:val="000000" w:themeColor="text1"/>
                <w:sz w:val="24"/>
              </w:rPr>
            </w:pPr>
          </w:p>
        </w:tc>
        <w:tc>
          <w:tcPr>
            <w:tcW w:w="850" w:type="dxa"/>
            <w:vMerge w:val="restart"/>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经济利益</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生产经营</w:t>
            </w:r>
          </w:p>
          <w:p>
            <w:pPr>
              <w:jc w:val="center"/>
              <w:rPr>
                <w:rFonts w:hint="eastAsia" w:ascii="仿宋_GB2312" w:eastAsia="仿宋_GB2312"/>
                <w:color w:val="000000" w:themeColor="text1"/>
                <w:sz w:val="24"/>
              </w:rPr>
            </w:pPr>
            <w:r>
              <w:rPr>
                <w:rFonts w:hint="eastAsia" w:ascii="仿宋_GB2312" w:eastAsia="仿宋_GB2312"/>
                <w:color w:val="000000" w:themeColor="text1"/>
                <w:sz w:val="24"/>
              </w:rPr>
              <w:t>劳动就业</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项目建设期间不会因项目实施导致生活经营场所或其他必要条件如（水电气供应中断）等无法正常运转。</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收入影响</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本项目投入运营后，为当地居民提供了一定的就业机会。</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对周边房屋价格的影响</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本项目的建设对周边地块房价的升值可能产生一定的影响。</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公共配套服务</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本项目为市政道路基础设施工程，建成后设施配套较之以往有所提升。</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水电通信等管道基础设施</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施工过程中，若管线意外破坏或移动，有可能会造成短暂时期影响。</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社会治安</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因本项目的建设使得外来务工人员、流动人口增加，对社会秩序、治安等可能会带来短暂时期的影响。</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restart"/>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建设管理</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环境保护</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本项目建设过程中应制定完善并落实环境保护措施，降低废气、废水、固体废弃物、噪声等污染对环境和周边居民的不利影响。</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施工安全</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本项目建设过程中应保障施工安全，将引发安全事故的隐患发生的可能性降至可控范围内。</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273"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工程质量</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落实本项目建设过程中的工程质量管理</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PrEx>
        <w:trPr>
          <w:trHeight w:val="570" w:hRule="atLeast"/>
        </w:trPr>
        <w:tc>
          <w:tcPr>
            <w:tcW w:w="851" w:type="dxa"/>
            <w:vMerge w:val="continue"/>
            <w:vAlign w:val="center"/>
          </w:tcPr>
          <w:p>
            <w:pPr>
              <w:jc w:val="cente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劳动用工（合同、薪酬、劳动保护等）</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建设过程中的规范劳动用工，完善各项制度，保障劳动者权益等。</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70" w:hRule="atLeast"/>
        </w:trPr>
        <w:tc>
          <w:tcPr>
            <w:tcW w:w="851" w:type="dxa"/>
            <w:vMerge w:val="continue"/>
            <w:vAlign w:val="center"/>
          </w:tcPr>
          <w:p>
            <w:pPr>
              <w:rPr>
                <w:rFonts w:hint="eastAsia" w:ascii="仿宋_GB2312" w:eastAsia="仿宋_GB2312"/>
                <w:color w:val="000000" w:themeColor="text1"/>
                <w:sz w:val="24"/>
              </w:rPr>
            </w:pPr>
          </w:p>
        </w:tc>
        <w:tc>
          <w:tcPr>
            <w:tcW w:w="850" w:type="dxa"/>
            <w:vMerge w:val="continue"/>
            <w:vAlign w:val="center"/>
          </w:tcPr>
          <w:p>
            <w:pPr>
              <w:jc w:val="center"/>
              <w:rPr>
                <w:rFonts w:hint="eastAsia" w:ascii="仿宋_GB2312" w:eastAsia="仿宋_GB2312"/>
                <w:color w:val="000000" w:themeColor="text1"/>
                <w:sz w:val="24"/>
              </w:rPr>
            </w:pP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组织管理（招投标、承包、采购、工期等）</w:t>
            </w:r>
          </w:p>
        </w:tc>
        <w:tc>
          <w:tcPr>
            <w:tcW w:w="5449"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规范建设过程中的组织管理。</w:t>
            </w:r>
          </w:p>
        </w:tc>
      </w:tr>
    </w:tbl>
    <w:p>
      <w:pPr>
        <w:pStyle w:val="3"/>
        <w:rPr>
          <w:rFonts w:hint="eastAsia" w:ascii="仿宋_GB2312" w:hAnsi="宋体" w:eastAsia="仿宋_GB2312"/>
          <w:color w:val="000000" w:themeColor="text1"/>
          <w:sz w:val="28"/>
          <w:szCs w:val="28"/>
        </w:rPr>
      </w:pPr>
      <w:bookmarkStart w:id="106" w:name="_Toc464510848"/>
      <w:bookmarkStart w:id="107" w:name="_Toc367718448"/>
      <w:r>
        <w:rPr>
          <w:rFonts w:hint="eastAsia" w:ascii="仿宋_GB2312" w:hAnsi="宋体" w:eastAsia="仿宋_GB2312"/>
          <w:color w:val="000000" w:themeColor="text1"/>
          <w:sz w:val="28"/>
          <w:szCs w:val="28"/>
        </w:rPr>
        <w:t>12.4 风险估计</w:t>
      </w:r>
      <w:bookmarkEnd w:id="106"/>
      <w:bookmarkEnd w:id="107"/>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风险发生的阶段主要包括项目决策、准备、实施及运行四个阶段，结合项目当地经济社会与拟建项目的相互适应性，对初步识别的各类风险因素中筛选、归纳主要风险因素。</w:t>
      </w:r>
    </w:p>
    <w:p>
      <w:pPr>
        <w:spacing w:line="360" w:lineRule="auto"/>
        <w:ind w:firstLine="560" w:firstLineChars="200"/>
        <w:rPr>
          <w:rFonts w:hint="eastAsia" w:ascii="仿宋_GB2312" w:eastAsia="仿宋_GB2312"/>
          <w:color w:val="000000" w:themeColor="text1"/>
          <w:sz w:val="24"/>
        </w:rPr>
      </w:pPr>
      <w:r>
        <w:rPr>
          <w:rFonts w:hint="eastAsia" w:ascii="仿宋_GB2312" w:eastAsia="仿宋_GB2312"/>
          <w:color w:val="000000" w:themeColor="text1"/>
          <w:sz w:val="28"/>
          <w:szCs w:val="28"/>
        </w:rPr>
        <w:t>根据对项目决策、准备、实施及运行等四个阶段的风险因素的分析与估计，筛选主要风险因素并估计其风险程度，见表12-2所示。</w:t>
      </w:r>
    </w:p>
    <w:p>
      <w:pPr>
        <w:spacing w:beforeLines="50" w:afterLines="50" w:line="540" w:lineRule="exact"/>
        <w:jc w:val="left"/>
        <w:rPr>
          <w:rFonts w:hint="eastAsia" w:ascii="仿宋_GB2312" w:eastAsia="仿宋_GB2312"/>
          <w:b/>
          <w:color w:val="000000" w:themeColor="text1"/>
          <w:sz w:val="24"/>
        </w:rPr>
      </w:pPr>
      <w:r>
        <w:rPr>
          <w:rFonts w:hint="eastAsia" w:ascii="仿宋_GB2312" w:eastAsia="仿宋_GB2312"/>
          <w:b/>
          <w:color w:val="000000" w:themeColor="text1"/>
          <w:sz w:val="24"/>
        </w:rPr>
        <w:t>表12-2            主要风险因素及其风险程度表</w:t>
      </w:r>
    </w:p>
    <w:tbl>
      <w:tblPr>
        <w:tblStyle w:val="28"/>
        <w:tblW w:w="8364" w:type="dxa"/>
        <w:tblInd w:w="144" w:type="dxa"/>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
      <w:tblGrid>
        <w:gridCol w:w="567"/>
        <w:gridCol w:w="1418"/>
        <w:gridCol w:w="1559"/>
        <w:gridCol w:w="1276"/>
        <w:gridCol w:w="945"/>
        <w:gridCol w:w="945"/>
        <w:gridCol w:w="945"/>
        <w:gridCol w:w="709"/>
      </w:tblGrid>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466" w:hRule="atLeast"/>
          <w:tblHeader/>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序号</w:t>
            </w:r>
          </w:p>
        </w:tc>
        <w:tc>
          <w:tcPr>
            <w:tcW w:w="1418"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分析类型</w:t>
            </w:r>
          </w:p>
        </w:tc>
        <w:tc>
          <w:tcPr>
            <w:tcW w:w="1559"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发生阶段</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风险因素</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风险</w:t>
            </w:r>
          </w:p>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概率</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影响</w:t>
            </w:r>
          </w:p>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程度</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风险</w:t>
            </w:r>
          </w:p>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程度</w:t>
            </w:r>
          </w:p>
        </w:tc>
        <w:tc>
          <w:tcPr>
            <w:tcW w:w="709"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备注</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1</w:t>
            </w:r>
          </w:p>
        </w:tc>
        <w:tc>
          <w:tcPr>
            <w:tcW w:w="1418"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工程风险因素</w:t>
            </w:r>
          </w:p>
        </w:tc>
        <w:tc>
          <w:tcPr>
            <w:tcW w:w="1559"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项目决策与运行阶段</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安置方案</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中等</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709"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285"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2</w:t>
            </w:r>
          </w:p>
        </w:tc>
        <w:tc>
          <w:tcPr>
            <w:tcW w:w="1418"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工程风险因素</w:t>
            </w:r>
          </w:p>
        </w:tc>
        <w:tc>
          <w:tcPr>
            <w:tcW w:w="1559"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项目准备阶段</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工程技术方案</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中等</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709"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225"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3</w:t>
            </w:r>
          </w:p>
        </w:tc>
        <w:tc>
          <w:tcPr>
            <w:tcW w:w="1418"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工程风险因素</w:t>
            </w:r>
          </w:p>
        </w:tc>
        <w:tc>
          <w:tcPr>
            <w:tcW w:w="1559"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项目实施与运行阶段</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人居环境</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709"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389"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4</w:t>
            </w:r>
          </w:p>
        </w:tc>
        <w:tc>
          <w:tcPr>
            <w:tcW w:w="1418"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与社会互适性风险因素</w:t>
            </w:r>
          </w:p>
        </w:tc>
        <w:tc>
          <w:tcPr>
            <w:tcW w:w="1559"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项目实施阶段</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建设管理</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709"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433"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5</w:t>
            </w:r>
          </w:p>
        </w:tc>
        <w:tc>
          <w:tcPr>
            <w:tcW w:w="1418"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与社会互适性风险因素</w:t>
            </w:r>
          </w:p>
        </w:tc>
        <w:tc>
          <w:tcPr>
            <w:tcW w:w="1559"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项目运行阶段</w:t>
            </w:r>
          </w:p>
        </w:tc>
        <w:tc>
          <w:tcPr>
            <w:tcW w:w="1276"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社会环境</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945"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709"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p>
        </w:tc>
      </w:tr>
    </w:tbl>
    <w:p>
      <w:pPr>
        <w:pStyle w:val="3"/>
        <w:rPr>
          <w:rFonts w:hint="eastAsia" w:ascii="仿宋_GB2312" w:hAnsi="宋体" w:eastAsia="仿宋_GB2312"/>
          <w:color w:val="000000" w:themeColor="text1"/>
          <w:sz w:val="28"/>
          <w:szCs w:val="28"/>
        </w:rPr>
      </w:pPr>
      <w:bookmarkStart w:id="108" w:name="_Toc367718449"/>
      <w:bookmarkStart w:id="109" w:name="_Toc464510849"/>
      <w:r>
        <w:rPr>
          <w:rFonts w:hint="eastAsia" w:ascii="仿宋_GB2312" w:hAnsi="宋体" w:eastAsia="仿宋_GB2312"/>
          <w:color w:val="000000" w:themeColor="text1"/>
          <w:sz w:val="28"/>
          <w:szCs w:val="28"/>
        </w:rPr>
        <w:t>12.5 风险防范和化解措施</w:t>
      </w:r>
      <w:bookmarkEnd w:id="108"/>
      <w:bookmarkEnd w:id="109"/>
    </w:p>
    <w:p>
      <w:pPr>
        <w:spacing w:line="360" w:lineRule="auto"/>
        <w:ind w:firstLine="560" w:firstLineChars="200"/>
        <w:rPr>
          <w:rFonts w:hint="eastAsia" w:ascii="仿宋_GB2312" w:eastAsia="仿宋_GB2312"/>
          <w:color w:val="000000" w:themeColor="text1"/>
          <w:sz w:val="24"/>
        </w:rPr>
      </w:pPr>
      <w:r>
        <w:rPr>
          <w:rFonts w:hint="eastAsia" w:ascii="仿宋_GB2312" w:eastAsia="仿宋_GB2312"/>
          <w:color w:val="000000" w:themeColor="text1"/>
          <w:sz w:val="28"/>
          <w:szCs w:val="28"/>
        </w:rPr>
        <w:t>根据风险识别和风险估计的结果，提出风险防范和化解措施。具体见表12-3所示</w:t>
      </w:r>
    </w:p>
    <w:p>
      <w:pPr>
        <w:spacing w:beforeLines="50" w:afterLines="50" w:line="540" w:lineRule="exact"/>
        <w:jc w:val="left"/>
        <w:rPr>
          <w:rFonts w:hint="eastAsia" w:ascii="仿宋_GB2312" w:eastAsia="仿宋_GB2312"/>
          <w:b/>
          <w:color w:val="000000" w:themeColor="text1"/>
          <w:sz w:val="24"/>
        </w:rPr>
      </w:pPr>
      <w:r>
        <w:rPr>
          <w:rFonts w:hint="eastAsia" w:ascii="仿宋_GB2312" w:eastAsia="仿宋_GB2312"/>
          <w:b/>
          <w:color w:val="000000" w:themeColor="text1"/>
          <w:sz w:val="24"/>
        </w:rPr>
        <w:t>表12-3            风险防范和化解措施汇总表</w:t>
      </w:r>
    </w:p>
    <w:tbl>
      <w:tblPr>
        <w:tblStyle w:val="28"/>
        <w:tblW w:w="8647" w:type="dxa"/>
        <w:tblInd w:w="144" w:type="dxa"/>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
      <w:tblGrid>
        <w:gridCol w:w="567"/>
        <w:gridCol w:w="1134"/>
        <w:gridCol w:w="851"/>
        <w:gridCol w:w="2126"/>
        <w:gridCol w:w="2126"/>
        <w:gridCol w:w="851"/>
        <w:gridCol w:w="992"/>
      </w:tblGrid>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549" w:hRule="atLeast"/>
          <w:tblHeader/>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序号</w:t>
            </w:r>
          </w:p>
        </w:tc>
        <w:tc>
          <w:tcPr>
            <w:tcW w:w="1134"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风险发生阶段</w:t>
            </w:r>
          </w:p>
        </w:tc>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风险因素</w:t>
            </w:r>
          </w:p>
        </w:tc>
        <w:tc>
          <w:tcPr>
            <w:tcW w:w="2126"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主要防范</w:t>
            </w:r>
          </w:p>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化解措施</w:t>
            </w:r>
          </w:p>
        </w:tc>
        <w:tc>
          <w:tcPr>
            <w:tcW w:w="2126"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实施时间和要求</w:t>
            </w:r>
          </w:p>
        </w:tc>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责任主体</w:t>
            </w:r>
          </w:p>
        </w:tc>
        <w:tc>
          <w:tcPr>
            <w:tcW w:w="992"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协助单位</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995"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1</w:t>
            </w:r>
          </w:p>
        </w:tc>
        <w:tc>
          <w:tcPr>
            <w:tcW w:w="1134"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项目决策与运行阶段</w:t>
            </w:r>
          </w:p>
        </w:tc>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审批政策</w:t>
            </w:r>
          </w:p>
        </w:tc>
        <w:tc>
          <w:tcPr>
            <w:tcW w:w="2126"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需要研究、关注相关的政策及其变动，以便根据变动了的政策做出有利于项目建设的措施和行动</w:t>
            </w:r>
          </w:p>
        </w:tc>
        <w:tc>
          <w:tcPr>
            <w:tcW w:w="2126"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尽快实施项目建设，减少因政策变动而给项目</w:t>
            </w:r>
          </w:p>
          <w:p>
            <w:pPr>
              <w:rPr>
                <w:rFonts w:hint="eastAsia" w:ascii="仿宋_GB2312" w:eastAsia="仿宋_GB2312"/>
                <w:color w:val="000000" w:themeColor="text1"/>
                <w:sz w:val="24"/>
              </w:rPr>
            </w:pPr>
            <w:r>
              <w:rPr>
                <w:rFonts w:hint="eastAsia" w:ascii="仿宋_GB2312" w:eastAsia="仿宋_GB2312"/>
                <w:color w:val="000000" w:themeColor="text1"/>
                <w:sz w:val="24"/>
              </w:rPr>
              <w:t>建设造成的不利后果。</w:t>
            </w:r>
          </w:p>
        </w:tc>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建设单位</w:t>
            </w:r>
          </w:p>
        </w:tc>
        <w:tc>
          <w:tcPr>
            <w:tcW w:w="992"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998"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2</w:t>
            </w:r>
          </w:p>
        </w:tc>
        <w:tc>
          <w:tcPr>
            <w:tcW w:w="1134"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项目准备阶段</w:t>
            </w:r>
          </w:p>
        </w:tc>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工程技术方案</w:t>
            </w:r>
          </w:p>
        </w:tc>
        <w:tc>
          <w:tcPr>
            <w:tcW w:w="2126"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满足相关专业国家标准，并迎合本地人文风俗习惯以及群众诉求。</w:t>
            </w:r>
          </w:p>
        </w:tc>
        <w:tc>
          <w:tcPr>
            <w:tcW w:w="2126"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项目准备阶段方案设计时期完成</w:t>
            </w:r>
          </w:p>
        </w:tc>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设计单位</w:t>
            </w:r>
          </w:p>
        </w:tc>
        <w:tc>
          <w:tcPr>
            <w:tcW w:w="992"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2562"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3</w:t>
            </w:r>
          </w:p>
        </w:tc>
        <w:tc>
          <w:tcPr>
            <w:tcW w:w="1134"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项目实施阶段</w:t>
            </w:r>
          </w:p>
        </w:tc>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建设管理</w:t>
            </w:r>
          </w:p>
        </w:tc>
        <w:tc>
          <w:tcPr>
            <w:tcW w:w="2126"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规范并落实环境保护措施、施工安全措施、工程质量管理、劳动用工管理、组织管理等内容。</w:t>
            </w:r>
          </w:p>
        </w:tc>
        <w:tc>
          <w:tcPr>
            <w:tcW w:w="2126"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项目实施阶段进行组织管理</w:t>
            </w:r>
          </w:p>
        </w:tc>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施工单位、监理单位</w:t>
            </w:r>
          </w:p>
        </w:tc>
        <w:tc>
          <w:tcPr>
            <w:tcW w:w="992"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城管部门</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PrEx>
        <w:trPr>
          <w:trHeight w:val="3127"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4</w:t>
            </w:r>
          </w:p>
        </w:tc>
        <w:tc>
          <w:tcPr>
            <w:tcW w:w="1134"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项目运行阶段</w:t>
            </w:r>
          </w:p>
        </w:tc>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人居环境</w:t>
            </w:r>
          </w:p>
        </w:tc>
        <w:tc>
          <w:tcPr>
            <w:tcW w:w="2126"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废水、废气、固体废弃物的排放以及噪声的控制应满足国家相关标准</w:t>
            </w:r>
          </w:p>
        </w:tc>
        <w:tc>
          <w:tcPr>
            <w:tcW w:w="2126" w:type="dxa"/>
            <w:shd w:val="clear" w:color="auto" w:fill="auto"/>
            <w:tcMar>
              <w:top w:w="72" w:type="dxa"/>
              <w:left w:w="144" w:type="dxa"/>
              <w:bottom w:w="72" w:type="dxa"/>
              <w:right w:w="144" w:type="dxa"/>
            </w:tcMar>
            <w:vAlign w:val="center"/>
          </w:tcPr>
          <w:p>
            <w:pPr>
              <w:rPr>
                <w:rFonts w:hint="eastAsia" w:ascii="仿宋_GB2312" w:eastAsia="仿宋_GB2312"/>
                <w:color w:val="000000" w:themeColor="text1"/>
                <w:sz w:val="24"/>
              </w:rPr>
            </w:pPr>
            <w:r>
              <w:rPr>
                <w:rFonts w:hint="eastAsia" w:ascii="仿宋_GB2312" w:eastAsia="仿宋_GB2312"/>
                <w:color w:val="000000" w:themeColor="text1"/>
                <w:sz w:val="24"/>
              </w:rPr>
              <w:t>项目实施阶段由施工单位进行组织管理，项目运营阶段有环卫等相关部门管理</w:t>
            </w:r>
          </w:p>
        </w:tc>
        <w:tc>
          <w:tcPr>
            <w:tcW w:w="851"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施工单位、物业管理单位</w:t>
            </w:r>
          </w:p>
        </w:tc>
        <w:tc>
          <w:tcPr>
            <w:tcW w:w="992"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环卫部门</w:t>
            </w:r>
          </w:p>
        </w:tc>
      </w:tr>
    </w:tbl>
    <w:p>
      <w:pPr>
        <w:pStyle w:val="3"/>
        <w:rPr>
          <w:rFonts w:hint="eastAsia" w:ascii="仿宋_GB2312" w:hAnsi="宋体" w:eastAsia="仿宋_GB2312"/>
          <w:color w:val="000000" w:themeColor="text1"/>
          <w:sz w:val="28"/>
          <w:szCs w:val="28"/>
        </w:rPr>
      </w:pPr>
      <w:bookmarkStart w:id="110" w:name="_Toc464510850"/>
      <w:bookmarkStart w:id="111" w:name="_Toc367718450"/>
      <w:r>
        <w:rPr>
          <w:rFonts w:hint="eastAsia" w:ascii="仿宋_GB2312" w:hAnsi="宋体" w:eastAsia="仿宋_GB2312"/>
          <w:color w:val="000000" w:themeColor="text1"/>
          <w:sz w:val="28"/>
          <w:szCs w:val="28"/>
        </w:rPr>
        <w:t>12.6 风险等级</w:t>
      </w:r>
      <w:bookmarkEnd w:id="110"/>
      <w:bookmarkEnd w:id="111"/>
    </w:p>
    <w:p>
      <w:pPr>
        <w:spacing w:line="360" w:lineRule="auto"/>
        <w:ind w:firstLine="560" w:firstLineChars="200"/>
        <w:rPr>
          <w:rFonts w:hint="eastAsia" w:ascii="仿宋_GB2312" w:eastAsia="仿宋_GB2312"/>
          <w:color w:val="000000" w:themeColor="text1"/>
          <w:sz w:val="24"/>
        </w:rPr>
      </w:pPr>
      <w:r>
        <w:rPr>
          <w:rFonts w:hint="eastAsia" w:ascii="仿宋_GB2312" w:eastAsia="仿宋_GB2312"/>
          <w:color w:val="000000" w:themeColor="text1"/>
          <w:sz w:val="28"/>
          <w:szCs w:val="28"/>
        </w:rPr>
        <w:t>各责任主体落实风险防范与化解措施后，将可能引发的风险控制在可控的范围之内，各阶段风险因素发生的风险概率很低，影响程度较小或者可忽略，引起的风险程度微小。措施前后各主要风险因素变化情况见表12-4所示。综合分析本项目各主要风险因素的风险概率、影响程度及风险程度以及落实措施后风险因素的变化情况，本项目的风险等级为低等级。</w:t>
      </w:r>
    </w:p>
    <w:p>
      <w:pPr>
        <w:spacing w:beforeLines="50" w:afterLines="50" w:line="540" w:lineRule="exact"/>
        <w:jc w:val="left"/>
        <w:rPr>
          <w:rFonts w:hint="eastAsia" w:ascii="仿宋_GB2312" w:eastAsia="仿宋_GB2312"/>
          <w:b/>
          <w:color w:val="000000" w:themeColor="text1"/>
          <w:sz w:val="24"/>
        </w:rPr>
      </w:pPr>
      <w:r>
        <w:rPr>
          <w:rFonts w:hint="eastAsia" w:ascii="仿宋_GB2312" w:eastAsia="仿宋_GB2312"/>
          <w:b/>
          <w:color w:val="000000" w:themeColor="text1"/>
          <w:sz w:val="24"/>
        </w:rPr>
        <w:t>表12-4           措施前后主要风险因素变化情况表</w:t>
      </w:r>
    </w:p>
    <w:tbl>
      <w:tblPr>
        <w:tblStyle w:val="28"/>
        <w:tblW w:w="8384" w:type="dxa"/>
        <w:tblInd w:w="144" w:type="dxa"/>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
      <w:tblGrid>
        <w:gridCol w:w="567"/>
        <w:gridCol w:w="1438"/>
        <w:gridCol w:w="1063"/>
        <w:gridCol w:w="1063"/>
        <w:gridCol w:w="1063"/>
        <w:gridCol w:w="1063"/>
        <w:gridCol w:w="1063"/>
        <w:gridCol w:w="1064"/>
      </w:tblGrid>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40" w:hRule="atLeast"/>
        </w:trPr>
        <w:tc>
          <w:tcPr>
            <w:tcW w:w="567" w:type="dxa"/>
            <w:vMerge w:val="restart"/>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序号</w:t>
            </w:r>
          </w:p>
        </w:tc>
        <w:tc>
          <w:tcPr>
            <w:tcW w:w="1438" w:type="dxa"/>
            <w:vMerge w:val="restart"/>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风险</w:t>
            </w:r>
          </w:p>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因素</w:t>
            </w:r>
          </w:p>
        </w:tc>
        <w:tc>
          <w:tcPr>
            <w:tcW w:w="2126" w:type="dxa"/>
            <w:gridSpan w:val="2"/>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风险概率</w:t>
            </w:r>
          </w:p>
        </w:tc>
        <w:tc>
          <w:tcPr>
            <w:tcW w:w="2126" w:type="dxa"/>
            <w:gridSpan w:val="2"/>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影响程度</w:t>
            </w:r>
          </w:p>
        </w:tc>
        <w:tc>
          <w:tcPr>
            <w:tcW w:w="2127" w:type="dxa"/>
            <w:gridSpan w:val="2"/>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风险程度</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567" w:type="dxa"/>
            <w:vMerge w:val="continue"/>
            <w:vAlign w:val="center"/>
          </w:tcPr>
          <w:p>
            <w:pPr>
              <w:jc w:val="center"/>
              <w:rPr>
                <w:rFonts w:hint="eastAsia" w:ascii="仿宋_GB2312" w:eastAsia="仿宋_GB2312"/>
                <w:b/>
                <w:color w:val="000000" w:themeColor="text1"/>
                <w:sz w:val="24"/>
              </w:rPr>
            </w:pPr>
          </w:p>
        </w:tc>
        <w:tc>
          <w:tcPr>
            <w:tcW w:w="1438" w:type="dxa"/>
            <w:vMerge w:val="continue"/>
            <w:vAlign w:val="center"/>
          </w:tcPr>
          <w:p>
            <w:pPr>
              <w:jc w:val="center"/>
              <w:rPr>
                <w:rFonts w:hint="eastAsia" w:ascii="仿宋_GB2312" w:eastAsia="仿宋_GB2312"/>
                <w:b/>
                <w:color w:val="000000" w:themeColor="text1"/>
                <w:sz w:val="24"/>
              </w:rPr>
            </w:pP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措施前</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措施后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措施前</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措施后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措施前</w:t>
            </w:r>
          </w:p>
        </w:tc>
        <w:tc>
          <w:tcPr>
            <w:tcW w:w="1064" w:type="dxa"/>
            <w:shd w:val="clear" w:color="auto" w:fill="auto"/>
            <w:tcMar>
              <w:top w:w="72" w:type="dxa"/>
              <w:left w:w="144" w:type="dxa"/>
              <w:bottom w:w="72" w:type="dxa"/>
              <w:right w:w="144" w:type="dxa"/>
            </w:tcMar>
            <w:vAlign w:val="center"/>
          </w:tcPr>
          <w:p>
            <w:pPr>
              <w:jc w:val="center"/>
              <w:rPr>
                <w:rFonts w:hint="eastAsia" w:ascii="仿宋_GB2312" w:eastAsia="仿宋_GB2312"/>
                <w:b/>
                <w:color w:val="000000" w:themeColor="text1"/>
                <w:sz w:val="24"/>
              </w:rPr>
            </w:pPr>
            <w:r>
              <w:rPr>
                <w:rFonts w:hint="eastAsia" w:ascii="仿宋_GB2312" w:eastAsia="仿宋_GB2312"/>
                <w:b/>
                <w:color w:val="000000" w:themeColor="text1"/>
                <w:sz w:val="24"/>
              </w:rPr>
              <w:t>措施后</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87"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1</w:t>
            </w:r>
          </w:p>
        </w:tc>
        <w:tc>
          <w:tcPr>
            <w:tcW w:w="1438"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审批政策</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中等</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1064"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335"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2</w:t>
            </w:r>
          </w:p>
        </w:tc>
        <w:tc>
          <w:tcPr>
            <w:tcW w:w="1438"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工程技术方案</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很低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中等</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1064"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微小</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105"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3</w:t>
            </w:r>
          </w:p>
        </w:tc>
        <w:tc>
          <w:tcPr>
            <w:tcW w:w="1438"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人居环境</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很低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可忽略</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1064"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微小</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325"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4</w:t>
            </w:r>
          </w:p>
        </w:tc>
        <w:tc>
          <w:tcPr>
            <w:tcW w:w="1438"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建设管理</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很低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可忽略</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1064"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微小</w:t>
            </w:r>
          </w:p>
        </w:tc>
      </w:tr>
      <w:tr>
        <w:tblPrEx>
          <w:tblBorders>
            <w:top w:val="double" w:color="auto" w:sz="4" w:space="0"/>
            <w:left w:val="double" w:color="auto" w:sz="4" w:space="0"/>
            <w:bottom w:val="double" w:color="auto" w:sz="4" w:space="0"/>
            <w:right w:val="double" w:color="auto" w:sz="4" w:space="0"/>
            <w:insideH w:val="single" w:color="000000" w:sz="8" w:space="0"/>
            <w:insideV w:val="single" w:color="000000" w:sz="8" w:space="0"/>
          </w:tblBorders>
          <w:tblLayout w:type="fixed"/>
          <w:tblCellMar>
            <w:top w:w="0" w:type="dxa"/>
            <w:left w:w="0" w:type="dxa"/>
            <w:bottom w:w="0" w:type="dxa"/>
            <w:right w:w="0" w:type="dxa"/>
          </w:tblCellMar>
        </w:tblPrEx>
        <w:trPr>
          <w:trHeight w:val="18" w:hRule="atLeast"/>
        </w:trPr>
        <w:tc>
          <w:tcPr>
            <w:tcW w:w="567"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5</w:t>
            </w:r>
          </w:p>
        </w:tc>
        <w:tc>
          <w:tcPr>
            <w:tcW w:w="1438"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社会环境</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很低</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可忽略</w:t>
            </w:r>
          </w:p>
        </w:tc>
        <w:tc>
          <w:tcPr>
            <w:tcW w:w="1063"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较小</w:t>
            </w:r>
          </w:p>
        </w:tc>
        <w:tc>
          <w:tcPr>
            <w:tcW w:w="1064" w:type="dxa"/>
            <w:shd w:val="clear" w:color="auto" w:fill="auto"/>
            <w:tcMar>
              <w:top w:w="72" w:type="dxa"/>
              <w:left w:w="144" w:type="dxa"/>
              <w:bottom w:w="72" w:type="dxa"/>
              <w:right w:w="144" w:type="dxa"/>
            </w:tcMar>
            <w:vAlign w:val="center"/>
          </w:tcPr>
          <w:p>
            <w:pPr>
              <w:jc w:val="center"/>
              <w:rPr>
                <w:rFonts w:hint="eastAsia" w:ascii="仿宋_GB2312" w:eastAsia="仿宋_GB2312"/>
                <w:color w:val="000000" w:themeColor="text1"/>
                <w:sz w:val="24"/>
              </w:rPr>
            </w:pPr>
            <w:r>
              <w:rPr>
                <w:rFonts w:hint="eastAsia" w:ascii="仿宋_GB2312" w:eastAsia="仿宋_GB2312"/>
                <w:color w:val="000000" w:themeColor="text1"/>
                <w:sz w:val="24"/>
              </w:rPr>
              <w:t>微小</w:t>
            </w:r>
          </w:p>
        </w:tc>
      </w:tr>
    </w:tbl>
    <w:p>
      <w:pPr>
        <w:pStyle w:val="3"/>
        <w:rPr>
          <w:rFonts w:hint="eastAsia" w:ascii="仿宋_GB2312" w:hAnsi="宋体" w:eastAsia="仿宋_GB2312"/>
          <w:color w:val="000000" w:themeColor="text1"/>
          <w:sz w:val="28"/>
          <w:szCs w:val="28"/>
        </w:rPr>
      </w:pPr>
      <w:bookmarkStart w:id="112" w:name="_Toc367718451"/>
      <w:bookmarkStart w:id="113" w:name="_Toc464510851"/>
      <w:r>
        <w:rPr>
          <w:rFonts w:hint="eastAsia" w:ascii="仿宋_GB2312" w:hAnsi="宋体" w:eastAsia="仿宋_GB2312"/>
          <w:color w:val="000000" w:themeColor="text1"/>
          <w:sz w:val="28"/>
          <w:szCs w:val="28"/>
        </w:rPr>
        <w:t>12.7 风险分析结论</w:t>
      </w:r>
      <w:bookmarkEnd w:id="112"/>
      <w:bookmarkEnd w:id="113"/>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本项目存在的风险因素主要包括审批政策、工程技术方案、人居环境、建设管理以及社会环境等五方面。</w:t>
      </w:r>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针对风险因素提出的风险防范及化解措施主要包括：（1）需要研究、关注相关的政策及其变动，以便根据变动了的政策做出有利于项目建设的措施和行动，并且尽快实施项目建设，减少因政策变动而给项目建设造成的不利后果；（2）满足相关专业国家标准，并迎合本地人文风俗习惯以及群众诉求，降低工程技术方案引发的风险；（3）废水、废气、固体废弃物的排放以及噪声的控制应满足国家相关标准，降低人居环境可能引发的风险；（4）规范并落实环境保护措施、施工安全措施、工程质量管理、劳动用工管理、组织管理等内容，降低建设管理可能引发的风险；（5）通过电视、报纸、广播、网络、开通热线电话等方式加强宣传工作，宣传工程实施的意义，取得公众理解和支持；引导有异议的群众采取合理合法的方式反映问题，降低社会环境引发的风险。</w:t>
      </w:r>
    </w:p>
    <w:p>
      <w:pPr>
        <w:spacing w:line="360" w:lineRule="auto"/>
        <w:ind w:firstLine="560" w:firstLineChars="200"/>
        <w:rPr>
          <w:rFonts w:hint="eastAsia" w:ascii="仿宋_GB2312" w:eastAsia="仿宋_GB2312"/>
          <w:color w:val="000000" w:themeColor="text1"/>
          <w:sz w:val="28"/>
          <w:szCs w:val="28"/>
        </w:rPr>
      </w:pPr>
      <w:r>
        <w:rPr>
          <w:rFonts w:hint="eastAsia" w:ascii="仿宋_GB2312" w:eastAsia="仿宋_GB2312"/>
          <w:color w:val="000000" w:themeColor="text1"/>
          <w:sz w:val="28"/>
          <w:szCs w:val="28"/>
        </w:rPr>
        <w:t>在相关部门的协同管理下，落实各阶段的风险防范与化解措施。落实措施后，本项目的风险等级为低</w:t>
      </w:r>
      <w:bookmarkStart w:id="128" w:name="_GoBack"/>
      <w:bookmarkEnd w:id="128"/>
      <w:r>
        <w:rPr>
          <w:rFonts w:hint="eastAsia" w:ascii="仿宋_GB2312" w:eastAsia="仿宋_GB2312"/>
          <w:color w:val="000000" w:themeColor="text1"/>
          <w:sz w:val="28"/>
          <w:szCs w:val="28"/>
        </w:rPr>
        <w:t>等级。</w:t>
      </w:r>
    </w:p>
    <w:p>
      <w:pPr>
        <w:sectPr>
          <w:pgSz w:w="11906" w:h="16838"/>
          <w:pgMar w:top="1440" w:right="1800" w:bottom="1440" w:left="1800" w:header="851" w:footer="840" w:gutter="0"/>
          <w:cols w:space="425" w:num="1"/>
          <w:docGrid w:type="lines" w:linePitch="312" w:charSpace="0"/>
        </w:sectPr>
      </w:pPr>
    </w:p>
    <w:p>
      <w:pPr>
        <w:pStyle w:val="2"/>
        <w:spacing w:before="100" w:beforeAutospacing="1" w:after="100" w:afterAutospacing="1" w:line="360" w:lineRule="auto"/>
        <w:ind w:left="560"/>
        <w:jc w:val="center"/>
        <w:rPr>
          <w:rFonts w:ascii="仿宋_GB2312" w:eastAsia="仿宋_GB2312"/>
          <w:sz w:val="32"/>
          <w:szCs w:val="32"/>
        </w:rPr>
      </w:pPr>
      <w:bookmarkStart w:id="114" w:name="_Toc464510852"/>
      <w:r>
        <w:rPr>
          <w:rFonts w:hint="eastAsia" w:ascii="仿宋_GB2312" w:eastAsia="仿宋_GB2312"/>
          <w:sz w:val="32"/>
          <w:szCs w:val="32"/>
        </w:rPr>
        <w:t>第十三章  结论与建议</w:t>
      </w:r>
      <w:bookmarkEnd w:id="98"/>
      <w:bookmarkEnd w:id="114"/>
    </w:p>
    <w:p>
      <w:pPr>
        <w:pStyle w:val="3"/>
        <w:tabs>
          <w:tab w:val="left" w:pos="992"/>
        </w:tabs>
        <w:spacing w:beforeLines="50" w:afterLines="50" w:line="540" w:lineRule="exact"/>
        <w:jc w:val="left"/>
        <w:rPr>
          <w:rFonts w:ascii="仿宋_GB2312" w:eastAsia="仿宋_GB2312" w:cs="Arial"/>
          <w:sz w:val="28"/>
          <w:szCs w:val="28"/>
        </w:rPr>
      </w:pPr>
      <w:bookmarkStart w:id="115" w:name="_Toc347320849"/>
      <w:bookmarkStart w:id="116" w:name="_Toc415647907"/>
      <w:bookmarkStart w:id="117" w:name="_Toc464510853"/>
      <w:r>
        <w:rPr>
          <w:rFonts w:hint="eastAsia" w:ascii="仿宋_GB2312" w:eastAsia="仿宋_GB2312" w:cs="Arial"/>
          <w:sz w:val="28"/>
          <w:szCs w:val="28"/>
        </w:rPr>
        <w:t>13.1 结论</w:t>
      </w:r>
      <w:bookmarkEnd w:id="115"/>
      <w:bookmarkEnd w:id="116"/>
      <w:bookmarkEnd w:id="117"/>
    </w:p>
    <w:p>
      <w:pPr>
        <w:autoSpaceDE w:val="0"/>
        <w:autoSpaceDN w:val="0"/>
        <w:adjustRightInd w:val="0"/>
        <w:ind w:firstLine="560" w:firstLineChars="200"/>
        <w:jc w:val="left"/>
        <w:rPr>
          <w:rFonts w:ascii="仿宋_GB2312" w:hAnsi="华文仿宋" w:eastAsia="仿宋_GB2312"/>
          <w:sz w:val="28"/>
          <w:szCs w:val="28"/>
        </w:rPr>
      </w:pPr>
      <w:r>
        <w:rPr>
          <w:rFonts w:hint="eastAsia" w:ascii="仿宋_GB2312" w:hAnsi="华文仿宋" w:eastAsia="仿宋_GB2312"/>
          <w:sz w:val="28"/>
          <w:szCs w:val="28"/>
        </w:rPr>
        <w:t>1、本项目是</w:t>
      </w:r>
      <w:r>
        <w:rPr>
          <w:rFonts w:hint="eastAsia" w:ascii="仿宋_GB2312" w:hAnsi="宋体" w:eastAsia="仿宋_GB2312"/>
          <w:color w:val="000000"/>
          <w:sz w:val="28"/>
          <w:szCs w:val="28"/>
        </w:rPr>
        <w:t>桑浦山龙泉岩森林消防应急通道上山段（慈园路）工程</w:t>
      </w:r>
      <w:r>
        <w:rPr>
          <w:rFonts w:hint="eastAsia" w:ascii="仿宋_GB2312" w:hAnsi="华文仿宋" w:eastAsia="仿宋_GB2312"/>
          <w:sz w:val="28"/>
          <w:szCs w:val="28"/>
        </w:rPr>
        <w:t>，项目建设符合汕头市“十三五”规划纲要的要求，有助于推动汕头地区经济迅速发展，同时也是汕头市旅游业可持续发展的需要。</w:t>
      </w:r>
    </w:p>
    <w:p>
      <w:pPr>
        <w:autoSpaceDE w:val="0"/>
        <w:autoSpaceDN w:val="0"/>
        <w:adjustRightInd w:val="0"/>
        <w:ind w:firstLine="560" w:firstLineChars="200"/>
        <w:jc w:val="left"/>
        <w:rPr>
          <w:rFonts w:ascii="仿宋_GB2312" w:eastAsia="仿宋_GB2312"/>
          <w:sz w:val="28"/>
          <w:szCs w:val="28"/>
        </w:rPr>
      </w:pPr>
      <w:r>
        <w:rPr>
          <w:rFonts w:hint="eastAsia" w:ascii="仿宋_GB2312" w:hAnsi="华文仿宋" w:eastAsia="仿宋_GB2312"/>
          <w:sz w:val="28"/>
          <w:szCs w:val="28"/>
        </w:rPr>
        <w:t>2、</w:t>
      </w:r>
      <w:r>
        <w:rPr>
          <w:rFonts w:hint="eastAsia" w:ascii="仿宋_GB2312" w:eastAsia="仿宋_GB2312"/>
          <w:sz w:val="28"/>
          <w:szCs w:val="28"/>
        </w:rPr>
        <w:t>本项目地块位于汕头市桑浦山山脚下。交通便利，施工填料、用水、用电等条件可满足施工需要，可保证项目工程顺利开工建设。</w:t>
      </w:r>
    </w:p>
    <w:p>
      <w:pPr>
        <w:autoSpaceDE w:val="0"/>
        <w:autoSpaceDN w:val="0"/>
        <w:adjustRightInd w:val="0"/>
        <w:ind w:firstLine="560" w:firstLineChars="200"/>
        <w:jc w:val="left"/>
        <w:rPr>
          <w:rFonts w:ascii="仿宋_GB2312" w:hAnsi="华文仿宋" w:eastAsia="仿宋_GB2312"/>
          <w:sz w:val="28"/>
          <w:szCs w:val="28"/>
        </w:rPr>
      </w:pPr>
      <w:r>
        <w:rPr>
          <w:rFonts w:hint="eastAsia" w:ascii="仿宋_GB2312" w:hAnsi="华文仿宋" w:eastAsia="仿宋_GB2312"/>
          <w:sz w:val="28"/>
          <w:szCs w:val="28"/>
        </w:rPr>
        <w:t>3、</w:t>
      </w:r>
      <w:r>
        <w:rPr>
          <w:rFonts w:hint="eastAsia" w:ascii="仿宋_GB2312" w:hAnsi="宋体" w:eastAsia="仿宋_GB2312"/>
          <w:color w:val="000000"/>
          <w:sz w:val="28"/>
          <w:szCs w:val="28"/>
        </w:rPr>
        <w:t>桑浦山龙泉岩森林消防应急通道上山段（慈园路）工程</w:t>
      </w:r>
      <w:r>
        <w:rPr>
          <w:rFonts w:hint="eastAsia" w:ascii="仿宋_GB2312" w:hAnsi="华文仿宋" w:eastAsia="仿宋_GB2312"/>
          <w:sz w:val="28"/>
          <w:szCs w:val="28"/>
        </w:rPr>
        <w:t>按城市支路标准建设，设计车速为30公里/小时，总计长度1180米，规划道路路宽为15米。项目道路总体沿南北走向；全线中间含6个交叉口。工程规模合理，工程方案切实可行。</w:t>
      </w:r>
    </w:p>
    <w:p>
      <w:pPr>
        <w:spacing w:beforeLines="50" w:afterLines="50" w:line="540" w:lineRule="exact"/>
        <w:ind w:firstLine="560" w:firstLineChars="200"/>
        <w:rPr>
          <w:rFonts w:ascii="仿宋_GB2312" w:hAnsi="Arial" w:eastAsia="仿宋_GB2312"/>
          <w:color w:val="000000" w:themeColor="text1"/>
          <w:sz w:val="28"/>
          <w:szCs w:val="28"/>
        </w:rPr>
      </w:pPr>
      <w:r>
        <w:rPr>
          <w:rFonts w:hint="eastAsia" w:ascii="仿宋_GB2312" w:eastAsia="仿宋_GB2312"/>
          <w:color w:val="000000" w:themeColor="text1"/>
          <w:sz w:val="28"/>
          <w:szCs w:val="28"/>
        </w:rPr>
        <w:t>4、</w:t>
      </w:r>
      <w:r>
        <w:rPr>
          <w:rFonts w:hint="eastAsia" w:ascii="仿宋_GB2312" w:hAnsi="Arial" w:eastAsia="仿宋_GB2312"/>
          <w:color w:val="000000" w:themeColor="text1"/>
          <w:sz w:val="28"/>
          <w:szCs w:val="28"/>
        </w:rPr>
        <w:t>本项目建</w:t>
      </w:r>
      <w:r>
        <w:rPr>
          <w:rFonts w:hint="eastAsia" w:ascii="仿宋_GB2312" w:hAnsi="Arial" w:eastAsia="仿宋_GB2312"/>
          <w:color w:val="000000" w:themeColor="text1"/>
          <w:sz w:val="28"/>
          <w:szCs w:val="28"/>
          <w:highlight w:val="none"/>
        </w:rPr>
        <w:t>设投资</w:t>
      </w:r>
      <w:r>
        <w:rPr>
          <w:rFonts w:hint="eastAsia" w:ascii="仿宋_GB2312" w:hAnsi="Arial" w:eastAsia="仿宋_GB2312"/>
          <w:color w:val="000000" w:themeColor="text1"/>
          <w:sz w:val="28"/>
          <w:szCs w:val="28"/>
          <w:highlight w:val="none"/>
          <w:lang w:eastAsia="zh-CN"/>
        </w:rPr>
        <w:t>2672.65</w:t>
      </w:r>
      <w:r>
        <w:rPr>
          <w:rFonts w:hint="eastAsia" w:ascii="仿宋_GB2312" w:hAnsi="Arial" w:eastAsia="仿宋_GB2312"/>
          <w:color w:val="000000" w:themeColor="text1"/>
          <w:sz w:val="28"/>
          <w:szCs w:val="28"/>
          <w:highlight w:val="none"/>
        </w:rPr>
        <w:t>万元，其中工程费用2014.09万元、其它费用</w:t>
      </w:r>
      <w:r>
        <w:rPr>
          <w:rFonts w:hint="eastAsia" w:ascii="仿宋_GB2312" w:hAnsi="Arial" w:eastAsia="仿宋_GB2312"/>
          <w:color w:val="000000" w:themeColor="text1"/>
          <w:sz w:val="28"/>
          <w:szCs w:val="28"/>
          <w:highlight w:val="none"/>
          <w:lang w:eastAsia="zh-CN"/>
        </w:rPr>
        <w:t>310.42</w:t>
      </w:r>
      <w:r>
        <w:rPr>
          <w:rFonts w:hint="eastAsia" w:ascii="仿宋_GB2312" w:hAnsi="Arial" w:eastAsia="仿宋_GB2312"/>
          <w:color w:val="000000" w:themeColor="text1"/>
          <w:sz w:val="28"/>
          <w:szCs w:val="28"/>
          <w:highlight w:val="none"/>
        </w:rPr>
        <w:t>万元、预备费</w:t>
      </w:r>
      <w:r>
        <w:rPr>
          <w:rFonts w:hint="eastAsia" w:ascii="仿宋_GB2312" w:hAnsi="Arial" w:eastAsia="仿宋_GB2312"/>
          <w:color w:val="000000" w:themeColor="text1"/>
          <w:sz w:val="28"/>
          <w:szCs w:val="28"/>
          <w:highlight w:val="none"/>
          <w:lang w:eastAsia="zh-CN"/>
        </w:rPr>
        <w:t>143.14</w:t>
      </w:r>
      <w:r>
        <w:rPr>
          <w:rFonts w:hint="eastAsia" w:ascii="仿宋_GB2312" w:hAnsi="Arial" w:eastAsia="仿宋_GB2312"/>
          <w:color w:val="000000" w:themeColor="text1"/>
          <w:sz w:val="28"/>
          <w:szCs w:val="28"/>
          <w:highlight w:val="none"/>
        </w:rPr>
        <w:t>万元</w:t>
      </w:r>
      <w:r>
        <w:rPr>
          <w:rFonts w:hint="eastAsia" w:ascii="仿宋_GB2312" w:hAnsi="Arial" w:eastAsia="仿宋_GB2312"/>
          <w:color w:val="000000" w:themeColor="text1"/>
          <w:sz w:val="28"/>
          <w:szCs w:val="28"/>
          <w:highlight w:val="none"/>
          <w:lang w:eastAsia="zh-CN"/>
        </w:rPr>
        <w:t>、征地拆迁费</w:t>
      </w:r>
      <w:r>
        <w:rPr>
          <w:rFonts w:hint="eastAsia" w:ascii="仿宋_GB2312" w:hAnsi="Arial" w:eastAsia="仿宋_GB2312"/>
          <w:color w:val="000000" w:themeColor="text1"/>
          <w:sz w:val="28"/>
          <w:szCs w:val="28"/>
          <w:highlight w:val="none"/>
          <w:lang w:val="en-US" w:eastAsia="zh-CN"/>
        </w:rPr>
        <w:t>205.00万元</w:t>
      </w:r>
      <w:r>
        <w:rPr>
          <w:rFonts w:hint="eastAsia" w:ascii="仿宋_GB2312" w:eastAsia="仿宋_GB2312"/>
          <w:color w:val="000000" w:themeColor="text1"/>
          <w:sz w:val="28"/>
          <w:szCs w:val="28"/>
          <w:highlight w:val="none"/>
        </w:rPr>
        <w:t>。投资规模合理，资金来源为汕头</w:t>
      </w:r>
      <w:r>
        <w:rPr>
          <w:rFonts w:hint="eastAsia" w:ascii="仿宋_GB2312" w:eastAsia="仿宋_GB2312"/>
          <w:color w:val="000000" w:themeColor="text1"/>
          <w:sz w:val="28"/>
          <w:szCs w:val="28"/>
        </w:rPr>
        <w:t>市财政资金，资金落实有保证。</w:t>
      </w:r>
    </w:p>
    <w:p>
      <w:pPr>
        <w:spacing w:line="360" w:lineRule="auto"/>
        <w:ind w:firstLine="560" w:firstLineChars="200"/>
        <w:rPr>
          <w:rFonts w:ascii="仿宋_GB2312" w:eastAsia="仿宋_GB2312"/>
          <w:sz w:val="28"/>
          <w:szCs w:val="28"/>
        </w:rPr>
      </w:pPr>
      <w:r>
        <w:rPr>
          <w:rFonts w:hint="eastAsia" w:ascii="仿宋_GB2312" w:eastAsia="仿宋_GB2312"/>
          <w:sz w:val="28"/>
          <w:szCs w:val="28"/>
        </w:rPr>
        <w:t>5、本项目将有效完区内路网建设，有利于招商引资，提高区域后续发展的能力，加快区域发展。本项目建设将产生良好的社会效益。</w:t>
      </w:r>
    </w:p>
    <w:p>
      <w:pPr>
        <w:pStyle w:val="3"/>
        <w:tabs>
          <w:tab w:val="left" w:pos="992"/>
        </w:tabs>
        <w:spacing w:beforeLines="50" w:afterLines="50" w:line="540" w:lineRule="exact"/>
        <w:jc w:val="left"/>
        <w:rPr>
          <w:rFonts w:ascii="仿宋_GB2312" w:eastAsia="仿宋_GB2312" w:cs="Arial"/>
          <w:sz w:val="28"/>
          <w:szCs w:val="28"/>
        </w:rPr>
      </w:pPr>
      <w:bookmarkStart w:id="118" w:name="_Toc347320850"/>
      <w:bookmarkStart w:id="119" w:name="_Toc415647908"/>
      <w:bookmarkStart w:id="120" w:name="_Toc464510854"/>
      <w:r>
        <w:rPr>
          <w:rFonts w:hint="eastAsia" w:ascii="仿宋_GB2312" w:eastAsia="仿宋_GB2312" w:cs="Arial"/>
          <w:sz w:val="28"/>
          <w:szCs w:val="28"/>
        </w:rPr>
        <w:t>13.2 建议</w:t>
      </w:r>
      <w:bookmarkEnd w:id="118"/>
      <w:bookmarkEnd w:id="119"/>
      <w:bookmarkEnd w:id="120"/>
    </w:p>
    <w:p>
      <w:pPr>
        <w:spacing w:line="360" w:lineRule="auto"/>
        <w:ind w:firstLine="560" w:firstLineChars="200"/>
        <w:rPr>
          <w:rFonts w:ascii="仿宋_GB2312" w:eastAsia="仿宋_GB2312"/>
          <w:sz w:val="28"/>
          <w:szCs w:val="28"/>
        </w:rPr>
      </w:pPr>
      <w:r>
        <w:rPr>
          <w:rFonts w:hint="eastAsia" w:ascii="仿宋_GB2312" w:eastAsia="仿宋_GB2312"/>
          <w:sz w:val="28"/>
          <w:szCs w:val="28"/>
        </w:rPr>
        <w:t>1、建议建设单位尽快完善项目用地环评、能评等前期工作，保证项目后续工程的顺利实施；</w:t>
      </w:r>
    </w:p>
    <w:p>
      <w:pPr>
        <w:spacing w:line="360" w:lineRule="auto"/>
        <w:ind w:firstLine="560" w:firstLineChars="200"/>
        <w:rPr>
          <w:rFonts w:ascii="仿宋_GB2312" w:eastAsia="仿宋_GB2312"/>
          <w:sz w:val="28"/>
          <w:szCs w:val="28"/>
        </w:rPr>
      </w:pPr>
      <w:r>
        <w:rPr>
          <w:rFonts w:hint="eastAsia" w:ascii="仿宋_GB2312" w:eastAsia="仿宋_GB2312"/>
          <w:sz w:val="28"/>
          <w:szCs w:val="28"/>
        </w:rPr>
        <w:t>2、项目建设地块尚未进行地质勘察，建议尽快对地块进行地质勘察，以完善工程方案；</w:t>
      </w:r>
    </w:p>
    <w:p>
      <w:pPr>
        <w:autoSpaceDE w:val="0"/>
        <w:autoSpaceDN w:val="0"/>
        <w:adjustRightInd w:val="0"/>
        <w:ind w:firstLine="560" w:firstLineChars="200"/>
        <w:jc w:val="left"/>
        <w:rPr>
          <w:rFonts w:ascii="仿宋_GB2312" w:eastAsia="仿宋_GB2312"/>
          <w:sz w:val="28"/>
          <w:szCs w:val="28"/>
        </w:rPr>
      </w:pPr>
      <w:r>
        <w:rPr>
          <w:rFonts w:hint="eastAsia" w:ascii="仿宋_GB2312" w:hAnsi="华文仿宋" w:eastAsia="仿宋_GB2312"/>
          <w:sz w:val="28"/>
          <w:szCs w:val="28"/>
        </w:rPr>
        <w:t>3、</w:t>
      </w:r>
      <w:r>
        <w:rPr>
          <w:rFonts w:hint="eastAsia" w:ascii="仿宋_GB2312" w:eastAsia="仿宋_GB2312"/>
          <w:sz w:val="28"/>
          <w:szCs w:val="28"/>
        </w:rPr>
        <w:t>建议建设单位从前期工作开始，严格控制好工程建设的每一个环节，保证工程质量达标；</w:t>
      </w:r>
    </w:p>
    <w:p>
      <w:pPr>
        <w:spacing w:line="360" w:lineRule="auto"/>
        <w:ind w:firstLine="560" w:firstLineChars="200"/>
        <w:rPr>
          <w:rFonts w:ascii="仿宋_GB2312" w:eastAsia="仿宋_GB2312"/>
          <w:sz w:val="28"/>
          <w:szCs w:val="28"/>
        </w:rPr>
      </w:pPr>
      <w:r>
        <w:rPr>
          <w:rFonts w:hint="eastAsia" w:ascii="仿宋_GB2312" w:eastAsia="仿宋_GB2312"/>
          <w:sz w:val="28"/>
          <w:szCs w:val="28"/>
        </w:rPr>
        <w:t>4、建议项目建设过程中实行严格的管理制度，做好各项工作的开展计划，控制建设总投资，确保建设资金的高效使用。</w:t>
      </w:r>
    </w:p>
    <w:p>
      <w:pPr>
        <w:rPr>
          <w:rFonts w:ascii="仿宋_GB2312" w:hAnsi="华文仿宋" w:eastAsia="仿宋_GB2312"/>
          <w:color w:val="FF0000"/>
          <w:sz w:val="28"/>
          <w:szCs w:val="28"/>
        </w:rPr>
      </w:pPr>
    </w:p>
    <w:p>
      <w:pPr>
        <w:spacing w:beforeLines="50" w:afterLines="50" w:line="540" w:lineRule="exact"/>
        <w:ind w:firstLine="560" w:firstLineChars="200"/>
        <w:rPr>
          <w:rFonts w:ascii="仿宋_GB2312" w:eastAsia="仿宋_GB2312"/>
          <w:color w:val="FF0000"/>
          <w:sz w:val="28"/>
          <w:szCs w:val="28"/>
        </w:rPr>
        <w:sectPr>
          <w:pgSz w:w="11906" w:h="16838"/>
          <w:pgMar w:top="1440" w:right="1800" w:bottom="1440" w:left="1800" w:header="851" w:footer="840" w:gutter="0"/>
          <w:cols w:space="425" w:num="1"/>
          <w:docGrid w:type="lines" w:linePitch="312" w:charSpace="0"/>
        </w:sectPr>
      </w:pPr>
    </w:p>
    <w:p>
      <w:pPr>
        <w:spacing w:line="360" w:lineRule="auto"/>
        <w:ind w:firstLine="560" w:firstLineChars="200"/>
        <w:outlineLvl w:val="1"/>
        <w:rPr>
          <w:rFonts w:ascii="仿宋_GB2312" w:eastAsia="仿宋_GB2312"/>
          <w:sz w:val="28"/>
          <w:szCs w:val="28"/>
        </w:rPr>
      </w:pPr>
      <w:bookmarkStart w:id="121" w:name="_Toc464510855"/>
      <w:r>
        <w:rPr>
          <w:rFonts w:hint="eastAsia" w:ascii="仿宋_GB2312" w:eastAsia="仿宋_GB2312"/>
          <w:sz w:val="28"/>
          <w:szCs w:val="28"/>
        </w:rPr>
        <w:t>附件1-</w:t>
      </w:r>
      <w:r>
        <w:rPr>
          <w:rFonts w:hint="eastAsia" w:ascii="仿宋_GB2312" w:hAnsi="宋体" w:eastAsia="仿宋_GB2312"/>
          <w:color w:val="000000"/>
          <w:sz w:val="28"/>
          <w:szCs w:val="28"/>
        </w:rPr>
        <w:t>桑浦山龙泉岩森林消防应急通道上山段（慈园路）工程</w:t>
      </w:r>
      <w:r>
        <w:rPr>
          <w:rFonts w:hint="eastAsia" w:ascii="仿宋_GB2312" w:eastAsia="仿宋_GB2312"/>
          <w:sz w:val="28"/>
          <w:szCs w:val="28"/>
        </w:rPr>
        <w:t>项目平面图</w:t>
      </w:r>
      <w:bookmarkEnd w:id="121"/>
    </w:p>
    <w:p>
      <w:pPr>
        <w:spacing w:line="360" w:lineRule="auto"/>
        <w:jc w:val="center"/>
        <w:rPr>
          <w:rFonts w:ascii="仿宋_GB2312" w:eastAsia="仿宋_GB2312"/>
          <w:sz w:val="28"/>
          <w:szCs w:val="28"/>
        </w:rPr>
      </w:pPr>
      <w:r>
        <w:rPr>
          <w:rFonts w:hint="eastAsia" w:ascii="仿宋_GB2312" w:eastAsia="仿宋_GB2312"/>
          <w:sz w:val="28"/>
          <w:szCs w:val="28"/>
        </w:rPr>
        <w:drawing>
          <wp:inline distT="0" distB="0" distL="0" distR="0">
            <wp:extent cx="7640320" cy="4660900"/>
            <wp:effectExtent l="19050" t="0" r="0" b="0"/>
            <wp:docPr id="2" name="图片 2" descr="总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总平面图"/>
                    <pic:cNvPicPr>
                      <a:picLocks noChangeAspect="1" noChangeArrowheads="1"/>
                    </pic:cNvPicPr>
                  </pic:nvPicPr>
                  <pic:blipFill>
                    <a:blip r:embed="rId19"/>
                    <a:srcRect l="8360" t="10224" r="4501" b="14464"/>
                    <a:stretch>
                      <a:fillRect/>
                    </a:stretch>
                  </pic:blipFill>
                  <pic:spPr>
                    <a:xfrm>
                      <a:off x="0" y="0"/>
                      <a:ext cx="7643407" cy="4663197"/>
                    </a:xfrm>
                    <a:prstGeom prst="rect">
                      <a:avLst/>
                    </a:prstGeom>
                    <a:noFill/>
                    <a:ln w="9525">
                      <a:noFill/>
                      <a:miter lim="800000"/>
                      <a:headEnd/>
                      <a:tailEnd/>
                    </a:ln>
                  </pic:spPr>
                </pic:pic>
              </a:graphicData>
            </a:graphic>
          </wp:inline>
        </w:drawing>
      </w:r>
      <w:r>
        <w:rPr>
          <w:rFonts w:ascii="仿宋_GB2312" w:eastAsia="仿宋_GB2312"/>
          <w:sz w:val="28"/>
          <w:szCs w:val="28"/>
        </w:rPr>
        <w:drawing>
          <wp:inline distT="0" distB="0" distL="0" distR="0">
            <wp:extent cx="8656955" cy="4286885"/>
            <wp:effectExtent l="19050" t="0" r="0" b="0"/>
            <wp:docPr id="11" name="图片 4" descr="慈园路初步设计打印_页面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慈园路初步设计打印_页面_14.jpg"/>
                    <pic:cNvPicPr>
                      <a:picLocks noChangeAspect="1"/>
                    </pic:cNvPicPr>
                  </pic:nvPicPr>
                  <pic:blipFill>
                    <a:blip r:embed="rId20"/>
                    <a:srcRect l="8334" t="18026" r="3662" b="20233"/>
                    <a:stretch>
                      <a:fillRect/>
                    </a:stretch>
                  </pic:blipFill>
                  <pic:spPr>
                    <a:xfrm>
                      <a:off x="0" y="0"/>
                      <a:ext cx="8657238" cy="4287116"/>
                    </a:xfrm>
                    <a:prstGeom prst="rect">
                      <a:avLst/>
                    </a:prstGeom>
                  </pic:spPr>
                </pic:pic>
              </a:graphicData>
            </a:graphic>
          </wp:inline>
        </w:drawing>
      </w:r>
      <w:r>
        <w:rPr>
          <w:rFonts w:ascii="仿宋_GB2312" w:eastAsia="仿宋_GB2312"/>
          <w:sz w:val="28"/>
          <w:szCs w:val="28"/>
        </w:rPr>
        <w:drawing>
          <wp:inline distT="0" distB="0" distL="0" distR="0">
            <wp:extent cx="8805545" cy="4333875"/>
            <wp:effectExtent l="19050" t="0" r="0" b="0"/>
            <wp:docPr id="12" name="图片 5" descr="慈园路初步设计打印_页面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慈园路初步设计打印_页面_15.jpg"/>
                    <pic:cNvPicPr>
                      <a:picLocks noChangeAspect="1"/>
                    </pic:cNvPicPr>
                  </pic:nvPicPr>
                  <pic:blipFill>
                    <a:blip r:embed="rId21"/>
                    <a:srcRect l="8187" t="18258" r="3786" b="20432"/>
                    <a:stretch>
                      <a:fillRect/>
                    </a:stretch>
                  </pic:blipFill>
                  <pic:spPr>
                    <a:xfrm>
                      <a:off x="0" y="0"/>
                      <a:ext cx="8802702" cy="4332961"/>
                    </a:xfrm>
                    <a:prstGeom prst="rect">
                      <a:avLst/>
                    </a:prstGeom>
                  </pic:spPr>
                </pic:pic>
              </a:graphicData>
            </a:graphic>
          </wp:inline>
        </w:drawing>
      </w:r>
      <w:r>
        <w:rPr>
          <w:rFonts w:ascii="仿宋_GB2312" w:eastAsia="仿宋_GB2312"/>
          <w:sz w:val="28"/>
          <w:szCs w:val="28"/>
        </w:rPr>
        <w:drawing>
          <wp:inline distT="0" distB="0" distL="0" distR="0">
            <wp:extent cx="8657590" cy="4356735"/>
            <wp:effectExtent l="19050" t="0" r="0" b="0"/>
            <wp:docPr id="13" name="图片 8" descr="慈园路初步设计打印_页面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慈园路初步设计打印_页面_16.jpg"/>
                    <pic:cNvPicPr>
                      <a:picLocks noChangeAspect="1"/>
                    </pic:cNvPicPr>
                  </pic:nvPicPr>
                  <pic:blipFill>
                    <a:blip r:embed="rId22"/>
                    <a:srcRect l="8504" t="18018" r="3586" b="19369"/>
                    <a:stretch>
                      <a:fillRect/>
                    </a:stretch>
                  </pic:blipFill>
                  <pic:spPr>
                    <a:xfrm>
                      <a:off x="0" y="0"/>
                      <a:ext cx="8658000" cy="4356783"/>
                    </a:xfrm>
                    <a:prstGeom prst="rect">
                      <a:avLst/>
                    </a:prstGeom>
                  </pic:spPr>
                </pic:pic>
              </a:graphicData>
            </a:graphic>
          </wp:inline>
        </w:drawing>
      </w:r>
      <w:r>
        <w:rPr>
          <w:rFonts w:ascii="仿宋_GB2312" w:eastAsia="仿宋_GB2312"/>
          <w:sz w:val="28"/>
          <w:szCs w:val="28"/>
        </w:rPr>
        <w:drawing>
          <wp:inline distT="0" distB="0" distL="0" distR="0">
            <wp:extent cx="8657590" cy="4424045"/>
            <wp:effectExtent l="19050" t="0" r="0" b="0"/>
            <wp:docPr id="14" name="图片 9" descr="慈园路初步设计打印_页面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慈园路初步设计打印_页面_17.jpg"/>
                    <pic:cNvPicPr>
                      <a:picLocks noChangeAspect="1"/>
                    </pic:cNvPicPr>
                  </pic:nvPicPr>
                  <pic:blipFill>
                    <a:blip r:embed="rId23"/>
                    <a:srcRect l="8838" t="17793" r="3730" b="19094"/>
                    <a:stretch>
                      <a:fillRect/>
                    </a:stretch>
                  </pic:blipFill>
                  <pic:spPr>
                    <a:xfrm>
                      <a:off x="0" y="0"/>
                      <a:ext cx="8658000" cy="4424627"/>
                    </a:xfrm>
                    <a:prstGeom prst="rect">
                      <a:avLst/>
                    </a:prstGeom>
                  </pic:spPr>
                </pic:pic>
              </a:graphicData>
            </a:graphic>
          </wp:inline>
        </w:drawing>
      </w:r>
    </w:p>
    <w:p>
      <w:pPr>
        <w:spacing w:line="360" w:lineRule="auto"/>
        <w:ind w:firstLine="560" w:firstLineChars="200"/>
        <w:outlineLvl w:val="1"/>
        <w:rPr>
          <w:rFonts w:ascii="仿宋_GB2312" w:eastAsia="仿宋_GB2312"/>
          <w:sz w:val="28"/>
          <w:szCs w:val="28"/>
        </w:rPr>
        <w:sectPr>
          <w:pgSz w:w="16838" w:h="11906" w:orient="landscape"/>
          <w:pgMar w:top="1800" w:right="1440" w:bottom="1800" w:left="1440" w:header="851" w:footer="840" w:gutter="0"/>
          <w:cols w:space="425" w:num="1"/>
          <w:docGrid w:type="lines" w:linePitch="312" w:charSpace="0"/>
        </w:sectPr>
      </w:pPr>
    </w:p>
    <w:p>
      <w:pPr>
        <w:spacing w:line="360" w:lineRule="auto"/>
        <w:ind w:firstLine="560" w:firstLineChars="200"/>
        <w:outlineLvl w:val="1"/>
        <w:rPr>
          <w:rFonts w:ascii="仿宋_GB2312" w:eastAsia="仿宋_GB2312"/>
          <w:sz w:val="28"/>
          <w:szCs w:val="28"/>
        </w:rPr>
      </w:pPr>
      <w:bookmarkStart w:id="122" w:name="_Toc464510856"/>
      <w:r>
        <w:rPr>
          <w:rFonts w:hint="eastAsia" w:ascii="仿宋_GB2312" w:eastAsia="仿宋_GB2312"/>
          <w:sz w:val="28"/>
          <w:szCs w:val="28"/>
        </w:rPr>
        <w:t>附件2-桑浦山龙泉岩森林消防应急通道上山段（慈园路）工程项目道路结构横断面示意图</w:t>
      </w:r>
      <w:bookmarkEnd w:id="122"/>
    </w:p>
    <w:p>
      <w:pPr>
        <w:spacing w:line="360" w:lineRule="auto"/>
        <w:ind w:firstLine="560" w:firstLineChars="200"/>
        <w:jc w:val="center"/>
        <w:rPr>
          <w:rFonts w:ascii="仿宋_GB2312" w:eastAsia="仿宋_GB2312"/>
          <w:sz w:val="28"/>
          <w:szCs w:val="28"/>
        </w:rPr>
      </w:pPr>
      <w:r>
        <w:rPr>
          <w:rFonts w:hint="eastAsia" w:ascii="仿宋_GB2312" w:eastAsia="仿宋_GB2312"/>
          <w:sz w:val="28"/>
          <w:szCs w:val="28"/>
        </w:rPr>
        <w:drawing>
          <wp:inline distT="0" distB="0" distL="0" distR="0">
            <wp:extent cx="7372350" cy="4724400"/>
            <wp:effectExtent l="19050" t="0" r="0" b="0"/>
            <wp:docPr id="3" name="图片 3" descr="道路横断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道路横断图"/>
                    <pic:cNvPicPr>
                      <a:picLocks noChangeAspect="1" noChangeArrowheads="1"/>
                    </pic:cNvPicPr>
                  </pic:nvPicPr>
                  <pic:blipFill>
                    <a:blip r:embed="rId24"/>
                    <a:srcRect/>
                    <a:stretch>
                      <a:fillRect/>
                    </a:stretch>
                  </pic:blipFill>
                  <pic:spPr>
                    <a:xfrm>
                      <a:off x="0" y="0"/>
                      <a:ext cx="7372350" cy="4724400"/>
                    </a:xfrm>
                    <a:prstGeom prst="rect">
                      <a:avLst/>
                    </a:prstGeom>
                    <a:noFill/>
                    <a:ln w="9525">
                      <a:noFill/>
                      <a:miter lim="800000"/>
                      <a:headEnd/>
                      <a:tailEnd/>
                    </a:ln>
                  </pic:spPr>
                </pic:pic>
              </a:graphicData>
            </a:graphic>
          </wp:inline>
        </w:drawing>
      </w:r>
    </w:p>
    <w:p>
      <w:pPr>
        <w:spacing w:line="360" w:lineRule="auto"/>
        <w:ind w:firstLine="560" w:firstLineChars="200"/>
        <w:outlineLvl w:val="1"/>
        <w:rPr>
          <w:rFonts w:ascii="仿宋_GB2312" w:eastAsia="仿宋_GB2312"/>
          <w:sz w:val="28"/>
          <w:szCs w:val="28"/>
        </w:rPr>
      </w:pPr>
      <w:bookmarkStart w:id="123" w:name="_Toc464510857"/>
      <w:r>
        <w:rPr>
          <w:rFonts w:hint="eastAsia" w:ascii="仿宋_GB2312" w:eastAsia="仿宋_GB2312"/>
          <w:sz w:val="28"/>
          <w:szCs w:val="28"/>
        </w:rPr>
        <w:t>附件3-桑浦山龙泉岩森林消防应急通道上山段（慈园路）工程项目交通设施工程平面图</w:t>
      </w:r>
      <w:bookmarkEnd w:id="123"/>
    </w:p>
    <w:p>
      <w:pPr>
        <w:spacing w:line="360" w:lineRule="auto"/>
        <w:jc w:val="center"/>
        <w:rPr>
          <w:rFonts w:ascii="仿宋_GB2312" w:eastAsia="仿宋_GB2312"/>
          <w:sz w:val="28"/>
          <w:szCs w:val="28"/>
        </w:rPr>
        <w:sectPr>
          <w:pgSz w:w="16838" w:h="11906" w:orient="landscape"/>
          <w:pgMar w:top="1800" w:right="1440" w:bottom="1800" w:left="1440" w:header="851" w:footer="840" w:gutter="0"/>
          <w:cols w:space="425" w:num="1"/>
          <w:docGrid w:type="lines" w:linePitch="312" w:charSpace="0"/>
        </w:sectPr>
      </w:pPr>
      <w:r>
        <w:rPr>
          <w:rFonts w:ascii="仿宋_GB2312" w:eastAsia="仿宋_GB2312"/>
          <w:sz w:val="28"/>
          <w:szCs w:val="28"/>
        </w:rPr>
        <w:drawing>
          <wp:inline distT="0" distB="0" distL="0" distR="0">
            <wp:extent cx="7687945" cy="4749165"/>
            <wp:effectExtent l="19050" t="0" r="8165" b="0"/>
            <wp:docPr id="15" name="图片 14" descr="慈园路初步设计打印_页面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慈园路初步设计打印_页面_21.jpg"/>
                    <pic:cNvPicPr>
                      <a:picLocks noChangeAspect="1"/>
                    </pic:cNvPicPr>
                  </pic:nvPicPr>
                  <pic:blipFill>
                    <a:blip r:embed="rId25"/>
                    <a:srcRect l="8509" t="18243" r="3746" b="5146"/>
                    <a:stretch>
                      <a:fillRect/>
                    </a:stretch>
                  </pic:blipFill>
                  <pic:spPr>
                    <a:xfrm>
                      <a:off x="0" y="0"/>
                      <a:ext cx="7700067" cy="4756820"/>
                    </a:xfrm>
                    <a:prstGeom prst="rect">
                      <a:avLst/>
                    </a:prstGeom>
                  </pic:spPr>
                </pic:pic>
              </a:graphicData>
            </a:graphic>
          </wp:inline>
        </w:drawing>
      </w:r>
      <w:r>
        <w:rPr>
          <w:rFonts w:ascii="仿宋_GB2312" w:eastAsia="仿宋_GB2312"/>
          <w:sz w:val="28"/>
          <w:szCs w:val="28"/>
        </w:rPr>
        <w:drawing>
          <wp:inline distT="0" distB="0" distL="0" distR="0">
            <wp:extent cx="8777605" cy="5399405"/>
            <wp:effectExtent l="19050" t="0" r="3840" b="0"/>
            <wp:docPr id="16" name="图片 15" descr="慈园路初步设计打印_页面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慈园路初步设计打印_页面_22.jpg"/>
                    <pic:cNvPicPr>
                      <a:picLocks noChangeAspect="1"/>
                    </pic:cNvPicPr>
                  </pic:nvPicPr>
                  <pic:blipFill>
                    <a:blip r:embed="rId26"/>
                    <a:srcRect l="8344" t="18243" r="3586" b="5180"/>
                    <a:stretch>
                      <a:fillRect/>
                    </a:stretch>
                  </pic:blipFill>
                  <pic:spPr>
                    <a:xfrm>
                      <a:off x="0" y="0"/>
                      <a:ext cx="8778210" cy="5400000"/>
                    </a:xfrm>
                    <a:prstGeom prst="rect">
                      <a:avLst/>
                    </a:prstGeom>
                  </pic:spPr>
                </pic:pic>
              </a:graphicData>
            </a:graphic>
          </wp:inline>
        </w:drawing>
      </w:r>
      <w:r>
        <w:rPr>
          <w:rFonts w:ascii="仿宋_GB2312" w:eastAsia="仿宋_GB2312"/>
          <w:sz w:val="28"/>
          <w:szCs w:val="28"/>
        </w:rPr>
        <w:drawing>
          <wp:inline distT="0" distB="0" distL="0" distR="0">
            <wp:extent cx="8664575" cy="5399405"/>
            <wp:effectExtent l="19050" t="0" r="2626" b="0"/>
            <wp:docPr id="17" name="图片 16" descr="慈园路初步设计打印_页面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descr="慈园路初步设计打印_页面_23.jpg"/>
                    <pic:cNvPicPr>
                      <a:picLocks noChangeAspect="1"/>
                    </pic:cNvPicPr>
                  </pic:nvPicPr>
                  <pic:blipFill>
                    <a:blip r:embed="rId27"/>
                    <a:srcRect l="8509" t="17793" r="3746" b="4921"/>
                    <a:stretch>
                      <a:fillRect/>
                    </a:stretch>
                  </pic:blipFill>
                  <pic:spPr>
                    <a:xfrm>
                      <a:off x="0" y="0"/>
                      <a:ext cx="8665124" cy="5400000"/>
                    </a:xfrm>
                    <a:prstGeom prst="rect">
                      <a:avLst/>
                    </a:prstGeom>
                  </pic:spPr>
                </pic:pic>
              </a:graphicData>
            </a:graphic>
          </wp:inline>
        </w:drawing>
      </w:r>
      <w:r>
        <w:rPr>
          <w:rFonts w:ascii="仿宋_GB2312" w:eastAsia="仿宋_GB2312"/>
          <w:sz w:val="28"/>
          <w:szCs w:val="28"/>
        </w:rPr>
        <w:drawing>
          <wp:inline distT="0" distB="0" distL="0" distR="0">
            <wp:extent cx="8930640" cy="4499610"/>
            <wp:effectExtent l="19050" t="0" r="3732" b="0"/>
            <wp:docPr id="18" name="图片 17" descr="慈园路初步设计打印_页面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descr="慈园路初步设计打印_页面_24.jpg"/>
                    <pic:cNvPicPr>
                      <a:picLocks noChangeAspect="1"/>
                    </pic:cNvPicPr>
                  </pic:nvPicPr>
                  <pic:blipFill>
                    <a:blip r:embed="rId28"/>
                    <a:srcRect l="8504" t="17793" r="3586" b="19595"/>
                    <a:stretch>
                      <a:fillRect/>
                    </a:stretch>
                  </pic:blipFill>
                  <pic:spPr>
                    <a:xfrm>
                      <a:off x="0" y="0"/>
                      <a:ext cx="8930718" cy="4500000"/>
                    </a:xfrm>
                    <a:prstGeom prst="rect">
                      <a:avLst/>
                    </a:prstGeom>
                  </pic:spPr>
                </pic:pic>
              </a:graphicData>
            </a:graphic>
          </wp:inline>
        </w:drawing>
      </w:r>
    </w:p>
    <w:p>
      <w:pPr>
        <w:spacing w:line="360" w:lineRule="auto"/>
        <w:ind w:firstLine="560" w:firstLineChars="200"/>
        <w:outlineLvl w:val="1"/>
        <w:rPr>
          <w:rFonts w:ascii="仿宋_GB2312" w:eastAsia="仿宋_GB2312"/>
          <w:sz w:val="28"/>
          <w:szCs w:val="28"/>
        </w:rPr>
      </w:pPr>
      <w:bookmarkStart w:id="124" w:name="_Toc464510858"/>
      <w:r>
        <w:rPr>
          <w:rFonts w:hint="eastAsia" w:ascii="仿宋_GB2312" w:eastAsia="仿宋_GB2312"/>
          <w:sz w:val="28"/>
          <w:szCs w:val="28"/>
        </w:rPr>
        <w:t>附件4-桑浦山龙泉岩森林消防应急通道上山段（慈园路）工程项目绿化工程平面图</w:t>
      </w:r>
      <w:bookmarkEnd w:id="124"/>
    </w:p>
    <w:p>
      <w:pPr>
        <w:spacing w:line="360" w:lineRule="auto"/>
        <w:jc w:val="center"/>
        <w:rPr>
          <w:rFonts w:ascii="仿宋_GB2312" w:eastAsia="仿宋_GB2312"/>
          <w:sz w:val="28"/>
          <w:szCs w:val="28"/>
        </w:rPr>
        <w:sectPr>
          <w:pgSz w:w="16838" w:h="11906" w:orient="landscape"/>
          <w:pgMar w:top="1800" w:right="1440" w:bottom="1800" w:left="1440" w:header="851" w:footer="840" w:gutter="0"/>
          <w:cols w:space="425" w:num="1"/>
          <w:docGrid w:type="lines" w:linePitch="312" w:charSpace="0"/>
        </w:sectPr>
      </w:pPr>
      <w:r>
        <w:rPr>
          <w:rFonts w:ascii="仿宋_GB2312" w:eastAsia="仿宋_GB2312"/>
          <w:sz w:val="28"/>
          <w:szCs w:val="28"/>
        </w:rPr>
        <w:drawing>
          <wp:inline distT="0" distB="0" distL="0" distR="0">
            <wp:extent cx="7851775" cy="4679950"/>
            <wp:effectExtent l="19050" t="0" r="0" b="0"/>
            <wp:docPr id="28" name="图片 27" descr="慈园路初步设计打印_页面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慈园路初步设计打印_页面_41.jpg"/>
                    <pic:cNvPicPr>
                      <a:picLocks noChangeAspect="1"/>
                    </pic:cNvPicPr>
                  </pic:nvPicPr>
                  <pic:blipFill>
                    <a:blip r:embed="rId29"/>
                    <a:srcRect l="8344" t="20496" r="3586" b="5176"/>
                    <a:stretch>
                      <a:fillRect/>
                    </a:stretch>
                  </pic:blipFill>
                  <pic:spPr>
                    <a:xfrm>
                      <a:off x="0" y="0"/>
                      <a:ext cx="7852200" cy="4680000"/>
                    </a:xfrm>
                    <a:prstGeom prst="rect">
                      <a:avLst/>
                    </a:prstGeom>
                  </pic:spPr>
                </pic:pic>
              </a:graphicData>
            </a:graphic>
          </wp:inline>
        </w:drawing>
      </w:r>
      <w:r>
        <w:rPr>
          <w:rFonts w:ascii="仿宋_GB2312" w:eastAsia="仿宋_GB2312"/>
          <w:sz w:val="28"/>
          <w:szCs w:val="28"/>
        </w:rPr>
        <w:drawing>
          <wp:inline distT="0" distB="0" distL="0" distR="0">
            <wp:extent cx="8196580" cy="5039995"/>
            <wp:effectExtent l="19050" t="0" r="0" b="0"/>
            <wp:docPr id="29" name="图片 28" descr="慈园路初步设计打印_页面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慈园路初步设计打印_页面_42.jpg"/>
                    <pic:cNvPicPr>
                      <a:picLocks noChangeAspect="1"/>
                    </pic:cNvPicPr>
                  </pic:nvPicPr>
                  <pic:blipFill>
                    <a:blip r:embed="rId30"/>
                    <a:srcRect l="8344" t="17793" r="3586" b="5631"/>
                    <a:stretch>
                      <a:fillRect/>
                    </a:stretch>
                  </pic:blipFill>
                  <pic:spPr>
                    <a:xfrm>
                      <a:off x="0" y="0"/>
                      <a:ext cx="8196939" cy="5040000"/>
                    </a:xfrm>
                    <a:prstGeom prst="rect">
                      <a:avLst/>
                    </a:prstGeom>
                  </pic:spPr>
                </pic:pic>
              </a:graphicData>
            </a:graphic>
          </wp:inline>
        </w:drawing>
      </w:r>
      <w:r>
        <w:rPr>
          <w:rFonts w:ascii="仿宋_GB2312" w:eastAsia="仿宋_GB2312"/>
          <w:sz w:val="28"/>
          <w:szCs w:val="28"/>
        </w:rPr>
        <w:drawing>
          <wp:inline distT="0" distB="0" distL="0" distR="0">
            <wp:extent cx="8110855" cy="5039995"/>
            <wp:effectExtent l="19050" t="0" r="4204" b="0"/>
            <wp:docPr id="30" name="图片 29" descr="慈园路初步设计打印_页面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descr="慈园路初步设计打印_页面_43.jpg"/>
                    <pic:cNvPicPr>
                      <a:picLocks noChangeAspect="1"/>
                    </pic:cNvPicPr>
                  </pic:nvPicPr>
                  <pic:blipFill>
                    <a:blip r:embed="rId31"/>
                    <a:srcRect l="8341" t="18018" r="4064" b="4955"/>
                    <a:stretch>
                      <a:fillRect/>
                    </a:stretch>
                  </pic:blipFill>
                  <pic:spPr>
                    <a:xfrm>
                      <a:off x="0" y="0"/>
                      <a:ext cx="8111096" cy="5040000"/>
                    </a:xfrm>
                    <a:prstGeom prst="rect">
                      <a:avLst/>
                    </a:prstGeom>
                  </pic:spPr>
                </pic:pic>
              </a:graphicData>
            </a:graphic>
          </wp:inline>
        </w:drawing>
      </w:r>
      <w:r>
        <w:rPr>
          <w:rFonts w:ascii="仿宋_GB2312" w:eastAsia="仿宋_GB2312"/>
          <w:sz w:val="28"/>
          <w:szCs w:val="28"/>
        </w:rPr>
        <w:drawing>
          <wp:inline distT="0" distB="0" distL="0" distR="0">
            <wp:extent cx="8545195" cy="4319905"/>
            <wp:effectExtent l="19050" t="0" r="7790" b="0"/>
            <wp:docPr id="31" name="图片 30" descr="慈园路初步设计打印_页面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descr="慈园路初步设计打印_页面_44.jpg"/>
                    <pic:cNvPicPr>
                      <a:picLocks noChangeAspect="1"/>
                    </pic:cNvPicPr>
                  </pic:nvPicPr>
                  <pic:blipFill>
                    <a:blip r:embed="rId32"/>
                    <a:srcRect l="8514" t="18018" r="3746" b="19319"/>
                    <a:stretch>
                      <a:fillRect/>
                    </a:stretch>
                  </pic:blipFill>
                  <pic:spPr>
                    <a:xfrm>
                      <a:off x="0" y="0"/>
                      <a:ext cx="8545660" cy="4320000"/>
                    </a:xfrm>
                    <a:prstGeom prst="rect">
                      <a:avLst/>
                    </a:prstGeom>
                  </pic:spPr>
                </pic:pic>
              </a:graphicData>
            </a:graphic>
          </wp:inline>
        </w:drawing>
      </w:r>
    </w:p>
    <w:p>
      <w:pPr>
        <w:spacing w:line="360" w:lineRule="auto"/>
        <w:ind w:firstLine="560" w:firstLineChars="200"/>
        <w:outlineLvl w:val="1"/>
        <w:rPr>
          <w:rFonts w:ascii="仿宋_GB2312" w:eastAsia="仿宋_GB2312"/>
          <w:sz w:val="28"/>
          <w:szCs w:val="28"/>
        </w:rPr>
      </w:pPr>
      <w:bookmarkStart w:id="125" w:name="_Toc464510859"/>
      <w:r>
        <w:rPr>
          <w:rFonts w:hint="eastAsia" w:ascii="仿宋_GB2312" w:eastAsia="仿宋_GB2312"/>
          <w:sz w:val="28"/>
          <w:szCs w:val="28"/>
        </w:rPr>
        <w:t>附件5-桑浦山龙泉岩森林消防应急通道上山段（慈园路）工程项目排水工程平面图</w:t>
      </w:r>
      <w:bookmarkEnd w:id="125"/>
    </w:p>
    <w:p>
      <w:pPr>
        <w:spacing w:line="360" w:lineRule="auto"/>
        <w:ind w:firstLine="420"/>
        <w:jc w:val="center"/>
        <w:rPr>
          <w:rFonts w:ascii="仿宋_GB2312" w:eastAsia="仿宋_GB2312"/>
          <w:sz w:val="28"/>
          <w:szCs w:val="28"/>
        </w:rPr>
      </w:pPr>
      <w:r>
        <w:rPr>
          <w:rFonts w:ascii="仿宋_GB2312" w:eastAsia="仿宋_GB2312"/>
          <w:sz w:val="28"/>
          <w:szCs w:val="28"/>
        </w:rPr>
        <w:drawing>
          <wp:inline distT="0" distB="0" distL="0" distR="0">
            <wp:extent cx="8018780" cy="4679950"/>
            <wp:effectExtent l="19050" t="0" r="772" b="0"/>
            <wp:docPr id="19" name="图片 18" descr="慈园路初步设计打印_页面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慈园路初步设计打印_页面_27.jpg"/>
                    <pic:cNvPicPr>
                      <a:picLocks noChangeAspect="1"/>
                    </pic:cNvPicPr>
                  </pic:nvPicPr>
                  <pic:blipFill>
                    <a:blip r:embed="rId33"/>
                    <a:srcRect l="7726" t="11895" r="2916" b="14315"/>
                    <a:stretch>
                      <a:fillRect/>
                    </a:stretch>
                  </pic:blipFill>
                  <pic:spPr>
                    <a:xfrm>
                      <a:off x="0" y="0"/>
                      <a:ext cx="8019278" cy="4680000"/>
                    </a:xfrm>
                    <a:prstGeom prst="rect">
                      <a:avLst/>
                    </a:prstGeom>
                  </pic:spPr>
                </pic:pic>
              </a:graphicData>
            </a:graphic>
          </wp:inline>
        </w:drawing>
      </w:r>
      <w:r>
        <w:rPr>
          <w:rFonts w:ascii="仿宋_GB2312" w:eastAsia="仿宋_GB2312"/>
          <w:sz w:val="28"/>
          <w:szCs w:val="28"/>
        </w:rPr>
        <w:drawing>
          <wp:inline distT="0" distB="0" distL="0" distR="0">
            <wp:extent cx="8260715" cy="5039995"/>
            <wp:effectExtent l="19050" t="0" r="6588" b="0"/>
            <wp:docPr id="20" name="图片 19" descr="慈园路初步设计打印_页面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descr="慈园路初步设计打印_页面_28.jpg"/>
                    <pic:cNvPicPr>
                      <a:picLocks noChangeAspect="1"/>
                    </pic:cNvPicPr>
                  </pic:nvPicPr>
                  <pic:blipFill>
                    <a:blip r:embed="rId34"/>
                    <a:srcRect l="7445" t="18548" r="3525" b="4595"/>
                    <a:stretch>
                      <a:fillRect/>
                    </a:stretch>
                  </pic:blipFill>
                  <pic:spPr>
                    <a:xfrm>
                      <a:off x="0" y="0"/>
                      <a:ext cx="8261112" cy="5040000"/>
                    </a:xfrm>
                    <a:prstGeom prst="rect">
                      <a:avLst/>
                    </a:prstGeom>
                  </pic:spPr>
                </pic:pic>
              </a:graphicData>
            </a:graphic>
          </wp:inline>
        </w:drawing>
      </w:r>
      <w:r>
        <w:rPr>
          <w:rFonts w:ascii="仿宋_GB2312" w:eastAsia="仿宋_GB2312"/>
          <w:sz w:val="28"/>
          <w:szCs w:val="28"/>
        </w:rPr>
        <w:drawing>
          <wp:inline distT="0" distB="0" distL="0" distR="0">
            <wp:extent cx="7593330" cy="5399405"/>
            <wp:effectExtent l="19050" t="0" r="7337" b="0"/>
            <wp:docPr id="21" name="图片 20" descr="慈园路初步设计打印_页面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descr="慈园路初步设计打印_页面_29.jpg"/>
                    <pic:cNvPicPr>
                      <a:picLocks noChangeAspect="1"/>
                    </pic:cNvPicPr>
                  </pic:nvPicPr>
                  <pic:blipFill>
                    <a:blip r:embed="rId35"/>
                    <a:srcRect l="7441" t="6653" r="4056" b="4234"/>
                    <a:stretch>
                      <a:fillRect/>
                    </a:stretch>
                  </pic:blipFill>
                  <pic:spPr>
                    <a:xfrm>
                      <a:off x="0" y="0"/>
                      <a:ext cx="7593613" cy="5400000"/>
                    </a:xfrm>
                    <a:prstGeom prst="rect">
                      <a:avLst/>
                    </a:prstGeom>
                  </pic:spPr>
                </pic:pic>
              </a:graphicData>
            </a:graphic>
          </wp:inline>
        </w:drawing>
      </w:r>
      <w:r>
        <w:rPr>
          <w:rFonts w:ascii="仿宋_GB2312" w:eastAsia="仿宋_GB2312"/>
          <w:sz w:val="28"/>
          <w:szCs w:val="28"/>
        </w:rPr>
        <w:drawing>
          <wp:inline distT="0" distB="0" distL="0" distR="0">
            <wp:extent cx="7635240" cy="5399405"/>
            <wp:effectExtent l="19050" t="0" r="3711" b="0"/>
            <wp:docPr id="22" name="图片 21" descr="慈园路初步设计打印_页面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慈园路初步设计打印_页面_30.jpg"/>
                    <pic:cNvPicPr>
                      <a:picLocks noChangeAspect="1"/>
                    </pic:cNvPicPr>
                  </pic:nvPicPr>
                  <pic:blipFill>
                    <a:blip r:embed="rId36"/>
                    <a:srcRect l="7448" t="6452" r="2774" b="3781"/>
                    <a:stretch>
                      <a:fillRect/>
                    </a:stretch>
                  </pic:blipFill>
                  <pic:spPr>
                    <a:xfrm>
                      <a:off x="0" y="0"/>
                      <a:ext cx="7635339" cy="5400000"/>
                    </a:xfrm>
                    <a:prstGeom prst="rect">
                      <a:avLst/>
                    </a:prstGeom>
                  </pic:spPr>
                </pic:pic>
              </a:graphicData>
            </a:graphic>
          </wp:inline>
        </w:drawing>
      </w:r>
      <w:r>
        <w:rPr>
          <w:rFonts w:ascii="仿宋_GB2312" w:eastAsia="仿宋_GB2312"/>
          <w:sz w:val="28"/>
          <w:szCs w:val="28"/>
        </w:rPr>
        <w:drawing>
          <wp:inline distT="0" distB="0" distL="0" distR="0">
            <wp:extent cx="8405495" cy="5039995"/>
            <wp:effectExtent l="19050" t="0" r="0" b="0"/>
            <wp:docPr id="23" name="图片 22" descr="慈园路初步设计打印_页面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descr="慈园路初步设计打印_页面_31.jpg"/>
                    <pic:cNvPicPr>
                      <a:picLocks noChangeAspect="1"/>
                    </pic:cNvPicPr>
                  </pic:nvPicPr>
                  <pic:blipFill>
                    <a:blip r:embed="rId37"/>
                    <a:srcRect l="7583" t="9879" r="2631" b="13911"/>
                    <a:stretch>
                      <a:fillRect/>
                    </a:stretch>
                  </pic:blipFill>
                  <pic:spPr>
                    <a:xfrm>
                      <a:off x="0" y="0"/>
                      <a:ext cx="8405936" cy="5040000"/>
                    </a:xfrm>
                    <a:prstGeom prst="rect">
                      <a:avLst/>
                    </a:prstGeom>
                  </pic:spPr>
                </pic:pic>
              </a:graphicData>
            </a:graphic>
          </wp:inline>
        </w:drawing>
      </w:r>
    </w:p>
    <w:p>
      <w:pPr>
        <w:spacing w:line="360" w:lineRule="auto"/>
        <w:ind w:firstLine="560" w:firstLineChars="200"/>
        <w:outlineLvl w:val="1"/>
        <w:rPr>
          <w:rFonts w:ascii="仿宋_GB2312" w:eastAsia="仿宋_GB2312"/>
          <w:sz w:val="28"/>
          <w:szCs w:val="28"/>
        </w:rPr>
      </w:pPr>
      <w:bookmarkStart w:id="126" w:name="_Toc464510860"/>
      <w:r>
        <w:rPr>
          <w:rFonts w:hint="eastAsia" w:ascii="仿宋_GB2312" w:eastAsia="仿宋_GB2312"/>
          <w:sz w:val="28"/>
          <w:szCs w:val="28"/>
        </w:rPr>
        <w:t>附件6-桑浦山龙泉岩森林消防应急通道上山段（慈园路）工程项目道路照明工程平面图</w:t>
      </w:r>
      <w:bookmarkEnd w:id="126"/>
    </w:p>
    <w:p>
      <w:pPr>
        <w:spacing w:line="360" w:lineRule="auto"/>
        <w:ind w:firstLine="560" w:firstLineChars="200"/>
        <w:jc w:val="center"/>
        <w:rPr>
          <w:rFonts w:ascii="仿宋_GB2312" w:eastAsia="仿宋_GB2312"/>
          <w:sz w:val="28"/>
          <w:szCs w:val="28"/>
        </w:rPr>
      </w:pPr>
      <w:r>
        <w:rPr>
          <w:rFonts w:ascii="仿宋_GB2312" w:eastAsia="仿宋_GB2312"/>
          <w:sz w:val="28"/>
          <w:szCs w:val="28"/>
        </w:rPr>
        <w:drawing>
          <wp:inline distT="0" distB="0" distL="0" distR="0">
            <wp:extent cx="7828280" cy="4679950"/>
            <wp:effectExtent l="19050" t="0" r="993" b="0"/>
            <wp:docPr id="24" name="图片 23" descr="慈园路初步设计打印_页面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慈园路初步设计打印_页面_35.jpg"/>
                    <pic:cNvPicPr>
                      <a:picLocks noChangeAspect="1"/>
                    </pic:cNvPicPr>
                  </pic:nvPicPr>
                  <pic:blipFill>
                    <a:blip r:embed="rId38"/>
                    <a:srcRect l="7398" t="9685" r="2471" b="14134"/>
                    <a:stretch>
                      <a:fillRect/>
                    </a:stretch>
                  </pic:blipFill>
                  <pic:spPr>
                    <a:xfrm>
                      <a:off x="0" y="0"/>
                      <a:ext cx="7828557" cy="4680000"/>
                    </a:xfrm>
                    <a:prstGeom prst="rect">
                      <a:avLst/>
                    </a:prstGeom>
                  </pic:spPr>
                </pic:pic>
              </a:graphicData>
            </a:graphic>
          </wp:inline>
        </w:drawing>
      </w:r>
      <w:r>
        <w:rPr>
          <w:rFonts w:ascii="仿宋_GB2312" w:eastAsia="仿宋_GB2312"/>
          <w:sz w:val="28"/>
          <w:szCs w:val="28"/>
        </w:rPr>
        <w:drawing>
          <wp:inline distT="0" distB="0" distL="0" distR="0">
            <wp:extent cx="8295005" cy="5039995"/>
            <wp:effectExtent l="19050" t="0" r="0" b="0"/>
            <wp:docPr id="25" name="图片 24" descr="慈园路初步设计打印_页面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descr="慈园路初步设计打印_页面_36.jpg"/>
                    <pic:cNvPicPr>
                      <a:picLocks noChangeAspect="1"/>
                    </pic:cNvPicPr>
                  </pic:nvPicPr>
                  <pic:blipFill>
                    <a:blip r:embed="rId39"/>
                    <a:srcRect l="7393" t="9009" r="2949" b="13940"/>
                    <a:stretch>
                      <a:fillRect/>
                    </a:stretch>
                  </pic:blipFill>
                  <pic:spPr>
                    <a:xfrm>
                      <a:off x="0" y="0"/>
                      <a:ext cx="8295077" cy="5040000"/>
                    </a:xfrm>
                    <a:prstGeom prst="rect">
                      <a:avLst/>
                    </a:prstGeom>
                  </pic:spPr>
                </pic:pic>
              </a:graphicData>
            </a:graphic>
          </wp:inline>
        </w:drawing>
      </w:r>
      <w:r>
        <w:rPr>
          <w:rFonts w:ascii="仿宋_GB2312" w:eastAsia="仿宋_GB2312"/>
          <w:sz w:val="28"/>
          <w:szCs w:val="28"/>
        </w:rPr>
        <w:drawing>
          <wp:inline distT="0" distB="0" distL="0" distR="0">
            <wp:extent cx="8347075" cy="5039995"/>
            <wp:effectExtent l="19050" t="0" r="0" b="0"/>
            <wp:docPr id="26" name="图片 25" descr="慈园路初步设计打印_页面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descr="慈园路初步设计打印_页面_37.jpg"/>
                    <pic:cNvPicPr>
                      <a:picLocks noChangeAspect="1"/>
                    </pic:cNvPicPr>
                  </pic:nvPicPr>
                  <pic:blipFill>
                    <a:blip r:embed="rId40"/>
                    <a:srcRect l="7389" t="9234" r="3045" b="14189"/>
                    <a:stretch>
                      <a:fillRect/>
                    </a:stretch>
                  </pic:blipFill>
                  <pic:spPr>
                    <a:xfrm>
                      <a:off x="0" y="0"/>
                      <a:ext cx="8347552" cy="5040000"/>
                    </a:xfrm>
                    <a:prstGeom prst="rect">
                      <a:avLst/>
                    </a:prstGeom>
                  </pic:spPr>
                </pic:pic>
              </a:graphicData>
            </a:graphic>
          </wp:inline>
        </w:drawing>
      </w:r>
      <w:r>
        <w:rPr>
          <w:rFonts w:ascii="仿宋_GB2312" w:eastAsia="仿宋_GB2312"/>
          <w:sz w:val="28"/>
          <w:szCs w:val="28"/>
        </w:rPr>
        <w:drawing>
          <wp:inline distT="0" distB="0" distL="0" distR="0">
            <wp:extent cx="8211820" cy="5039995"/>
            <wp:effectExtent l="19050" t="0" r="0" b="0"/>
            <wp:docPr id="27" name="图片 26" descr="慈园路初步设计打印_页面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descr="慈园路初步设计打印_页面_38.jpg"/>
                    <pic:cNvPicPr>
                      <a:picLocks noChangeAspect="1"/>
                    </pic:cNvPicPr>
                  </pic:nvPicPr>
                  <pic:blipFill>
                    <a:blip r:embed="rId41"/>
                    <a:srcRect l="7548" t="8108" r="3108" b="14409"/>
                    <a:stretch>
                      <a:fillRect/>
                    </a:stretch>
                  </pic:blipFill>
                  <pic:spPr>
                    <a:xfrm>
                      <a:off x="0" y="0"/>
                      <a:ext cx="8212384" cy="5040000"/>
                    </a:xfrm>
                    <a:prstGeom prst="rect">
                      <a:avLst/>
                    </a:prstGeom>
                  </pic:spPr>
                </pic:pic>
              </a:graphicData>
            </a:graphic>
          </wp:inline>
        </w:drawing>
      </w:r>
    </w:p>
    <w:p>
      <w:pPr>
        <w:spacing w:line="360" w:lineRule="auto"/>
        <w:ind w:firstLine="560" w:firstLineChars="200"/>
        <w:outlineLvl w:val="1"/>
        <w:rPr>
          <w:rFonts w:ascii="仿宋_GB2312" w:eastAsia="仿宋_GB2312"/>
          <w:sz w:val="28"/>
          <w:szCs w:val="28"/>
        </w:rPr>
      </w:pPr>
      <w:bookmarkStart w:id="127" w:name="_Toc464510861"/>
      <w:r>
        <w:rPr>
          <w:rFonts w:hint="eastAsia" w:ascii="仿宋_GB2312" w:eastAsia="仿宋_GB2312"/>
          <w:sz w:val="28"/>
          <w:szCs w:val="28"/>
        </w:rPr>
        <w:t>附件7-桑浦山龙泉岩片区道路交通规划图</w:t>
      </w:r>
      <w:bookmarkEnd w:id="127"/>
    </w:p>
    <w:p>
      <w:pPr>
        <w:spacing w:line="360" w:lineRule="auto"/>
        <w:ind w:firstLine="560" w:firstLineChars="200"/>
        <w:jc w:val="center"/>
        <w:outlineLvl w:val="1"/>
        <w:rPr>
          <w:rFonts w:ascii="仿宋_GB2312" w:eastAsia="仿宋_GB2312"/>
          <w:sz w:val="28"/>
          <w:szCs w:val="28"/>
        </w:rPr>
      </w:pPr>
      <w:r>
        <w:rPr>
          <w:rFonts w:hint="eastAsia" w:ascii="仿宋_GB2312" w:eastAsia="仿宋_GB2312"/>
          <w:sz w:val="28"/>
          <w:szCs w:val="28"/>
        </w:rPr>
        <w:drawing>
          <wp:inline distT="0" distB="0" distL="0" distR="0">
            <wp:extent cx="5848350" cy="4724400"/>
            <wp:effectExtent l="19050" t="0" r="0" b="0"/>
            <wp:docPr id="4" name="图片 4" descr="道路规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道路规划"/>
                    <pic:cNvPicPr>
                      <a:picLocks noChangeAspect="1" noChangeArrowheads="1"/>
                    </pic:cNvPicPr>
                  </pic:nvPicPr>
                  <pic:blipFill>
                    <a:blip r:embed="rId42"/>
                    <a:srcRect/>
                    <a:stretch>
                      <a:fillRect/>
                    </a:stretch>
                  </pic:blipFill>
                  <pic:spPr>
                    <a:xfrm>
                      <a:off x="0" y="0"/>
                      <a:ext cx="5848350" cy="4724400"/>
                    </a:xfrm>
                    <a:prstGeom prst="rect">
                      <a:avLst/>
                    </a:prstGeom>
                    <a:noFill/>
                    <a:ln w="9525">
                      <a:noFill/>
                      <a:miter lim="800000"/>
                      <a:headEnd/>
                      <a:tailEnd/>
                    </a:ln>
                  </pic:spPr>
                </pic:pic>
              </a:graphicData>
            </a:graphic>
          </wp:inline>
        </w:drawing>
      </w:r>
    </w:p>
    <w:sectPr>
      <w:pgSz w:w="16838" w:h="11906" w:orient="landscape"/>
      <w:pgMar w:top="1800" w:right="1440" w:bottom="1800" w:left="1440" w:header="851" w:footer="84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00007A87" w:usb1="80000000" w:usb2="00000008" w:usb3="00000000" w:csb0="400001FF" w:csb1="FFFF0000"/>
  </w:font>
  <w:font w:name="Arial Unicode MS">
    <w:panose1 w:val="020B0604020202020204"/>
    <w:charset w:val="86"/>
    <w:family w:val="swiss"/>
    <w:pitch w:val="default"/>
    <w:sig w:usb0="FFFFFFFF" w:usb1="E9FFFFFF" w:usb2="0000003F" w:usb3="00000000" w:csb0="603F01FF" w:csb1="FFFF0000"/>
  </w:font>
  <w:font w:name="..ì.">
    <w:altName w:val="宋体"/>
    <w:panose1 w:val="00000000000000000000"/>
    <w:charset w:val="86"/>
    <w:family w:val="swiss"/>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altName w:val="宋体"/>
    <w:panose1 w:val="02010609060101010101"/>
    <w:charset w:val="86"/>
    <w:family w:val="modern"/>
    <w:pitch w:val="default"/>
    <w:sig w:usb0="00000000" w:usb1="00000000" w:usb2="00000016" w:usb3="00000000" w:csb0="00040001" w:csb1="00000000"/>
  </w:font>
  <w:font w:name="新宋体">
    <w:panose1 w:val="02010609030101010101"/>
    <w:charset w:val="86"/>
    <w:family w:val="modern"/>
    <w:pitch w:val="default"/>
    <w:sig w:usb0="00000003" w:usb1="080E0000" w:usb2="00000000" w:usb3="00000000" w:csb0="00040001" w:csb1="00000000"/>
  </w:font>
  <w:font w:name="宋体-18030">
    <w:altName w:val="宋体"/>
    <w:panose1 w:val="00000000000000000000"/>
    <w:charset w:val="86"/>
    <w:family w:val="auto"/>
    <w:pitch w:val="default"/>
    <w:sig w:usb0="00000000" w:usb1="00000000" w:usb2="000A005E" w:usb3="00000000" w:csb0="00040001" w:csb1="00000000"/>
  </w:font>
  <w:font w:name="楷体_GB2312">
    <w:panose1 w:val="02010609030101010101"/>
    <w:charset w:val="86"/>
    <w:family w:val="auto"/>
    <w:pitch w:val="default"/>
    <w:sig w:usb0="00000001" w:usb1="080E0000" w:usb2="00000000" w:usb3="00000000" w:csb0="00040000" w:csb1="00000000"/>
  </w:font>
  <w:font w:name="方正兰亭超细黑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right" w:y="1"/>
      <w:rPr>
        <w:rStyle w:val="26"/>
      </w:rPr>
    </w:pPr>
    <w:r>
      <w:rPr>
        <w:rStyle w:val="26"/>
      </w:rPr>
      <w:fldChar w:fldCharType="begin"/>
    </w:r>
    <w:r>
      <w:rPr>
        <w:rStyle w:val="26"/>
      </w:rPr>
      <w:instrText xml:space="preserve">PAGE  </w:instrText>
    </w:r>
    <w:r>
      <w:rPr>
        <w:rStyle w:val="26"/>
      </w:rPr>
      <w:fldChar w:fldCharType="separate"/>
    </w:r>
    <w:r>
      <w:rPr>
        <w:rStyle w:val="26"/>
      </w:rPr>
      <w:t>I</w:t>
    </w:r>
    <w:r>
      <w:rPr>
        <w:rStyle w:val="26"/>
      </w:rPr>
      <w:fldChar w:fldCharType="end"/>
    </w:r>
  </w:p>
  <w:p>
    <w:pPr>
      <w:pStyle w:val="16"/>
      <w:pBdr>
        <w:top w:val="single" w:color="auto" w:sz="4" w:space="1"/>
      </w:pBdr>
      <w:ind w:right="26"/>
      <w:rPr>
        <w:rFonts w:hint="eastAsia" w:eastAsia="宋体"/>
        <w:lang w:eastAsia="zh-CN"/>
      </w:rPr>
    </w:pPr>
    <w:r>
      <w:rPr>
        <w:rFonts w:hint="eastAsia"/>
        <w:lang w:eastAsia="zh-CN"/>
      </w:rPr>
      <w:t>广东国建工程项目管理有限公司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right" w:y="1"/>
      <w:rPr>
        <w:rStyle w:val="26"/>
      </w:rPr>
    </w:pPr>
    <w:r>
      <w:rPr>
        <w:rStyle w:val="26"/>
      </w:rPr>
      <w:fldChar w:fldCharType="begin"/>
    </w:r>
    <w:r>
      <w:rPr>
        <w:rStyle w:val="26"/>
      </w:rPr>
      <w:instrText xml:space="preserve">PAGE  </w:instrText>
    </w:r>
    <w:r>
      <w:rPr>
        <w:rStyle w:val="26"/>
      </w:rPr>
      <w:fldChar w:fldCharType="end"/>
    </w:r>
  </w:p>
  <w:p>
    <w:pPr>
      <w:pStyle w:val="1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right" w:y="1"/>
      <w:rPr>
        <w:rStyle w:val="26"/>
      </w:rPr>
    </w:pPr>
    <w:r>
      <w:rPr>
        <w:rStyle w:val="26"/>
      </w:rPr>
      <w:fldChar w:fldCharType="begin"/>
    </w:r>
    <w:r>
      <w:rPr>
        <w:rStyle w:val="26"/>
      </w:rPr>
      <w:instrText xml:space="preserve">PAGE  </w:instrText>
    </w:r>
    <w:r>
      <w:rPr>
        <w:rStyle w:val="26"/>
      </w:rPr>
      <w:fldChar w:fldCharType="separate"/>
    </w:r>
    <w:r>
      <w:rPr>
        <w:rStyle w:val="26"/>
      </w:rPr>
      <w:t>13</w:t>
    </w:r>
    <w:r>
      <w:rPr>
        <w:rStyle w:val="26"/>
      </w:rPr>
      <w:fldChar w:fldCharType="end"/>
    </w:r>
  </w:p>
  <w:p>
    <w:pPr>
      <w:pStyle w:val="16"/>
      <w:pBdr>
        <w:top w:val="single" w:color="auto" w:sz="4" w:space="1"/>
      </w:pBdr>
      <w:ind w:right="26"/>
      <w:rPr>
        <w:rFonts w:hint="eastAsia" w:eastAsia="宋体"/>
        <w:lang w:eastAsia="zh-CN"/>
      </w:rPr>
    </w:pPr>
    <w:r>
      <w:rPr>
        <w:rFonts w:hint="eastAsia"/>
        <w:lang w:eastAsia="zh-CN"/>
      </w:rPr>
      <w:t>广东国建工程项目管理有限公司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right" w:y="1"/>
      <w:rPr>
        <w:rStyle w:val="26"/>
      </w:rPr>
    </w:pPr>
    <w:r>
      <w:rPr>
        <w:rStyle w:val="26"/>
      </w:rPr>
      <w:fldChar w:fldCharType="begin"/>
    </w:r>
    <w:r>
      <w:rPr>
        <w:rStyle w:val="26"/>
      </w:rPr>
      <w:instrText xml:space="preserve">PAGE  </w:instrText>
    </w:r>
    <w:r>
      <w:rPr>
        <w:rStyle w:val="26"/>
      </w:rPr>
      <w:fldChar w:fldCharType="end"/>
    </w:r>
  </w:p>
  <w:p>
    <w:pPr>
      <w:pStyle w:val="1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right" w:y="1"/>
      <w:rPr>
        <w:rStyle w:val="26"/>
      </w:rPr>
    </w:pPr>
    <w:r>
      <w:rPr>
        <w:rStyle w:val="26"/>
      </w:rPr>
      <w:fldChar w:fldCharType="begin"/>
    </w:r>
    <w:r>
      <w:rPr>
        <w:rStyle w:val="26"/>
      </w:rPr>
      <w:instrText xml:space="preserve">PAGE  </w:instrText>
    </w:r>
    <w:r>
      <w:rPr>
        <w:rStyle w:val="26"/>
      </w:rPr>
      <w:fldChar w:fldCharType="separate"/>
    </w:r>
    <w:r>
      <w:rPr>
        <w:rStyle w:val="26"/>
      </w:rPr>
      <w:t>97</w:t>
    </w:r>
    <w:r>
      <w:rPr>
        <w:rStyle w:val="26"/>
      </w:rPr>
      <w:fldChar w:fldCharType="end"/>
    </w:r>
  </w:p>
  <w:p>
    <w:pPr>
      <w:pStyle w:val="16"/>
      <w:pBdr>
        <w:top w:val="single" w:color="auto" w:sz="4" w:space="1"/>
      </w:pBdr>
      <w:ind w:right="26"/>
      <w:rPr>
        <w:rFonts w:hint="eastAsia" w:eastAsia="宋体"/>
        <w:lang w:eastAsia="zh-CN"/>
      </w:rPr>
    </w:pPr>
    <w:r>
      <w:rPr>
        <w:rFonts w:hint="eastAsia"/>
        <w:lang w:eastAsia="zh-CN"/>
      </w:rPr>
      <w:t>广东国建工程项目管理有限公司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right" w:y="1"/>
      <w:rPr>
        <w:rStyle w:val="26"/>
      </w:rPr>
    </w:pPr>
    <w:r>
      <w:rPr>
        <w:rStyle w:val="26"/>
      </w:rPr>
      <w:fldChar w:fldCharType="begin"/>
    </w:r>
    <w:r>
      <w:rPr>
        <w:rStyle w:val="26"/>
      </w:rPr>
      <w:instrText xml:space="preserve">PAGE  </w:instrText>
    </w:r>
    <w:r>
      <w:rPr>
        <w:rStyle w:val="26"/>
      </w:rPr>
      <w:fldChar w:fldCharType="end"/>
    </w:r>
  </w:p>
  <w:p>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pPr>
    <w:r>
      <w:rPr>
        <w:rFonts w:hint="eastAsia"/>
      </w:rPr>
      <w:t>桑浦山龙泉岩森林消防应急通道上山段（慈园路）工程可行性研究报告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2452B"/>
    <w:multiLevelType w:val="multilevel"/>
    <w:tmpl w:val="13B2452B"/>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26E429FA"/>
    <w:multiLevelType w:val="multilevel"/>
    <w:tmpl w:val="26E429FA"/>
    <w:lvl w:ilvl="0" w:tentative="0">
      <w:start w:val="1"/>
      <w:numFmt w:val="bullet"/>
      <w:lvlText w:val=""/>
      <w:lvlJc w:val="left"/>
      <w:pPr>
        <w:tabs>
          <w:tab w:val="left" w:pos="720"/>
        </w:tabs>
        <w:ind w:left="720" w:hanging="360"/>
      </w:pPr>
      <w:rPr>
        <w:rFonts w:hint="default" w:ascii="Wingdings" w:hAnsi="Wingdings"/>
      </w:rPr>
    </w:lvl>
    <w:lvl w:ilvl="1" w:tentative="0">
      <w:start w:val="1"/>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Wingdings" w:hAnsi="Wingdings"/>
      </w:rPr>
    </w:lvl>
    <w:lvl w:ilvl="4" w:tentative="0">
      <w:start w:val="1"/>
      <w:numFmt w:val="bullet"/>
      <w:lvlText w:val=""/>
      <w:lvlJc w:val="left"/>
      <w:pPr>
        <w:tabs>
          <w:tab w:val="left" w:pos="3600"/>
        </w:tabs>
        <w:ind w:left="3600" w:hanging="360"/>
      </w:pPr>
      <w:rPr>
        <w:rFonts w:hint="default" w:ascii="Wingdings" w:hAnsi="Wingdings"/>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Wingdings" w:hAnsi="Wingdings"/>
      </w:rPr>
    </w:lvl>
    <w:lvl w:ilvl="7" w:tentative="0">
      <w:start w:val="1"/>
      <w:numFmt w:val="bullet"/>
      <w:lvlText w:val=""/>
      <w:lvlJc w:val="left"/>
      <w:pPr>
        <w:tabs>
          <w:tab w:val="left" w:pos="5760"/>
        </w:tabs>
        <w:ind w:left="5760" w:hanging="360"/>
      </w:pPr>
      <w:rPr>
        <w:rFonts w:hint="default" w:ascii="Wingdings" w:hAnsi="Wingdings"/>
      </w:rPr>
    </w:lvl>
    <w:lvl w:ilvl="8" w:tentative="0">
      <w:start w:val="1"/>
      <w:numFmt w:val="bullet"/>
      <w:lvlText w:val=""/>
      <w:lvlJc w:val="left"/>
      <w:pPr>
        <w:tabs>
          <w:tab w:val="left" w:pos="6480"/>
        </w:tabs>
        <w:ind w:left="6480" w:hanging="360"/>
      </w:pPr>
      <w:rPr>
        <w:rFonts w:hint="default" w:ascii="Wingdings" w:hAnsi="Wingdings"/>
      </w:rPr>
    </w:lvl>
  </w:abstractNum>
  <w:abstractNum w:abstractNumId="2">
    <w:nsid w:val="6E7F4CCF"/>
    <w:multiLevelType w:val="multilevel"/>
    <w:tmpl w:val="6E7F4CC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7553A"/>
    <w:rsid w:val="000003A6"/>
    <w:rsid w:val="00000E75"/>
    <w:rsid w:val="00004E2F"/>
    <w:rsid w:val="0000521D"/>
    <w:rsid w:val="00005EBC"/>
    <w:rsid w:val="000074D8"/>
    <w:rsid w:val="000077F6"/>
    <w:rsid w:val="00012C10"/>
    <w:rsid w:val="00014B57"/>
    <w:rsid w:val="00023859"/>
    <w:rsid w:val="00023C62"/>
    <w:rsid w:val="00023D51"/>
    <w:rsid w:val="00025243"/>
    <w:rsid w:val="000253CE"/>
    <w:rsid w:val="0002582A"/>
    <w:rsid w:val="00025DF6"/>
    <w:rsid w:val="00027C95"/>
    <w:rsid w:val="000306CF"/>
    <w:rsid w:val="000311E6"/>
    <w:rsid w:val="00035B2C"/>
    <w:rsid w:val="00036881"/>
    <w:rsid w:val="000368AE"/>
    <w:rsid w:val="00037947"/>
    <w:rsid w:val="00037AF5"/>
    <w:rsid w:val="000412B7"/>
    <w:rsid w:val="00043356"/>
    <w:rsid w:val="000446BA"/>
    <w:rsid w:val="00045727"/>
    <w:rsid w:val="00045FE2"/>
    <w:rsid w:val="0004683C"/>
    <w:rsid w:val="0005459B"/>
    <w:rsid w:val="00055028"/>
    <w:rsid w:val="00055E88"/>
    <w:rsid w:val="0005627D"/>
    <w:rsid w:val="000608B1"/>
    <w:rsid w:val="0006099F"/>
    <w:rsid w:val="000620DB"/>
    <w:rsid w:val="000707B8"/>
    <w:rsid w:val="00070920"/>
    <w:rsid w:val="00073077"/>
    <w:rsid w:val="000732E5"/>
    <w:rsid w:val="0007445E"/>
    <w:rsid w:val="00075D4C"/>
    <w:rsid w:val="00076AA3"/>
    <w:rsid w:val="000813CF"/>
    <w:rsid w:val="000817BF"/>
    <w:rsid w:val="0008233D"/>
    <w:rsid w:val="00084CDE"/>
    <w:rsid w:val="000918B5"/>
    <w:rsid w:val="0009369E"/>
    <w:rsid w:val="00093963"/>
    <w:rsid w:val="00095DE9"/>
    <w:rsid w:val="00097B0C"/>
    <w:rsid w:val="000A00F6"/>
    <w:rsid w:val="000A1102"/>
    <w:rsid w:val="000A11EE"/>
    <w:rsid w:val="000A2011"/>
    <w:rsid w:val="000A27A0"/>
    <w:rsid w:val="000A341C"/>
    <w:rsid w:val="000A3BEF"/>
    <w:rsid w:val="000A51CB"/>
    <w:rsid w:val="000A7841"/>
    <w:rsid w:val="000B14A8"/>
    <w:rsid w:val="000B159A"/>
    <w:rsid w:val="000B281C"/>
    <w:rsid w:val="000B3080"/>
    <w:rsid w:val="000B5EB2"/>
    <w:rsid w:val="000B635E"/>
    <w:rsid w:val="000B676A"/>
    <w:rsid w:val="000C3CE6"/>
    <w:rsid w:val="000C4A10"/>
    <w:rsid w:val="000C4CBD"/>
    <w:rsid w:val="000C4F32"/>
    <w:rsid w:val="000C5C1B"/>
    <w:rsid w:val="000D05DB"/>
    <w:rsid w:val="000D3B59"/>
    <w:rsid w:val="000D491A"/>
    <w:rsid w:val="000D5827"/>
    <w:rsid w:val="000D5DEA"/>
    <w:rsid w:val="000D6847"/>
    <w:rsid w:val="000D6D3E"/>
    <w:rsid w:val="000E0B98"/>
    <w:rsid w:val="000E1900"/>
    <w:rsid w:val="000E2098"/>
    <w:rsid w:val="000E3E80"/>
    <w:rsid w:val="000E56D6"/>
    <w:rsid w:val="000E59CB"/>
    <w:rsid w:val="000E682E"/>
    <w:rsid w:val="000E7543"/>
    <w:rsid w:val="000F0308"/>
    <w:rsid w:val="000F10A1"/>
    <w:rsid w:val="000F154C"/>
    <w:rsid w:val="000F232B"/>
    <w:rsid w:val="000F27C7"/>
    <w:rsid w:val="000F5F67"/>
    <w:rsid w:val="00100CB3"/>
    <w:rsid w:val="00101494"/>
    <w:rsid w:val="001030F0"/>
    <w:rsid w:val="00106B29"/>
    <w:rsid w:val="00106C61"/>
    <w:rsid w:val="00112B57"/>
    <w:rsid w:val="00114055"/>
    <w:rsid w:val="00116D43"/>
    <w:rsid w:val="001171FE"/>
    <w:rsid w:val="00124F10"/>
    <w:rsid w:val="00125547"/>
    <w:rsid w:val="0013063F"/>
    <w:rsid w:val="001306CC"/>
    <w:rsid w:val="001306EE"/>
    <w:rsid w:val="001365EE"/>
    <w:rsid w:val="001369C2"/>
    <w:rsid w:val="001422E1"/>
    <w:rsid w:val="001429A6"/>
    <w:rsid w:val="00143105"/>
    <w:rsid w:val="00144E2C"/>
    <w:rsid w:val="001456D5"/>
    <w:rsid w:val="001458F9"/>
    <w:rsid w:val="0015089A"/>
    <w:rsid w:val="001540EE"/>
    <w:rsid w:val="00156C28"/>
    <w:rsid w:val="001606E8"/>
    <w:rsid w:val="001614EE"/>
    <w:rsid w:val="00161FF3"/>
    <w:rsid w:val="00165214"/>
    <w:rsid w:val="00171B5A"/>
    <w:rsid w:val="0017255C"/>
    <w:rsid w:val="00172AF2"/>
    <w:rsid w:val="00174717"/>
    <w:rsid w:val="001749C2"/>
    <w:rsid w:val="001810F8"/>
    <w:rsid w:val="00181FDA"/>
    <w:rsid w:val="00184222"/>
    <w:rsid w:val="00185B9A"/>
    <w:rsid w:val="00186825"/>
    <w:rsid w:val="001925F0"/>
    <w:rsid w:val="00192884"/>
    <w:rsid w:val="00192A31"/>
    <w:rsid w:val="00192A90"/>
    <w:rsid w:val="001960D3"/>
    <w:rsid w:val="00196946"/>
    <w:rsid w:val="0019780B"/>
    <w:rsid w:val="001A148F"/>
    <w:rsid w:val="001A208A"/>
    <w:rsid w:val="001A3A4A"/>
    <w:rsid w:val="001A464E"/>
    <w:rsid w:val="001A4726"/>
    <w:rsid w:val="001A550E"/>
    <w:rsid w:val="001A71EB"/>
    <w:rsid w:val="001A7287"/>
    <w:rsid w:val="001A7985"/>
    <w:rsid w:val="001B0EAA"/>
    <w:rsid w:val="001B121F"/>
    <w:rsid w:val="001B19F6"/>
    <w:rsid w:val="001B1F9F"/>
    <w:rsid w:val="001B29C4"/>
    <w:rsid w:val="001B3806"/>
    <w:rsid w:val="001B3ECE"/>
    <w:rsid w:val="001B6355"/>
    <w:rsid w:val="001C00A9"/>
    <w:rsid w:val="001C426E"/>
    <w:rsid w:val="001D1970"/>
    <w:rsid w:val="001E0C6E"/>
    <w:rsid w:val="001E1DB3"/>
    <w:rsid w:val="001E367D"/>
    <w:rsid w:val="001E435F"/>
    <w:rsid w:val="001E4EC1"/>
    <w:rsid w:val="001E4FFE"/>
    <w:rsid w:val="001E603A"/>
    <w:rsid w:val="001E604F"/>
    <w:rsid w:val="001E61B6"/>
    <w:rsid w:val="001F164A"/>
    <w:rsid w:val="001F2354"/>
    <w:rsid w:val="001F2AAC"/>
    <w:rsid w:val="001F4595"/>
    <w:rsid w:val="001F4FE3"/>
    <w:rsid w:val="001F5067"/>
    <w:rsid w:val="002009AD"/>
    <w:rsid w:val="0020308F"/>
    <w:rsid w:val="0020586B"/>
    <w:rsid w:val="00205BC6"/>
    <w:rsid w:val="002061FE"/>
    <w:rsid w:val="0020740C"/>
    <w:rsid w:val="00207C99"/>
    <w:rsid w:val="00207ECF"/>
    <w:rsid w:val="00207F0C"/>
    <w:rsid w:val="00210187"/>
    <w:rsid w:val="00210F5B"/>
    <w:rsid w:val="002112B5"/>
    <w:rsid w:val="00213958"/>
    <w:rsid w:val="00214831"/>
    <w:rsid w:val="002204AA"/>
    <w:rsid w:val="00220FC0"/>
    <w:rsid w:val="002213EB"/>
    <w:rsid w:val="00222FDB"/>
    <w:rsid w:val="00223EA6"/>
    <w:rsid w:val="002261B0"/>
    <w:rsid w:val="00226E35"/>
    <w:rsid w:val="002320C7"/>
    <w:rsid w:val="002330F6"/>
    <w:rsid w:val="00240963"/>
    <w:rsid w:val="00241E07"/>
    <w:rsid w:val="002438B4"/>
    <w:rsid w:val="00244117"/>
    <w:rsid w:val="002447CC"/>
    <w:rsid w:val="002456A6"/>
    <w:rsid w:val="00245BAF"/>
    <w:rsid w:val="00246415"/>
    <w:rsid w:val="002541F7"/>
    <w:rsid w:val="002541FE"/>
    <w:rsid w:val="00254F77"/>
    <w:rsid w:val="0025791B"/>
    <w:rsid w:val="0026121F"/>
    <w:rsid w:val="002616C0"/>
    <w:rsid w:val="00262CD9"/>
    <w:rsid w:val="002638E3"/>
    <w:rsid w:val="002642E4"/>
    <w:rsid w:val="00264E3D"/>
    <w:rsid w:val="002656B7"/>
    <w:rsid w:val="00265780"/>
    <w:rsid w:val="002659AE"/>
    <w:rsid w:val="00265EA1"/>
    <w:rsid w:val="00265F8B"/>
    <w:rsid w:val="00266C30"/>
    <w:rsid w:val="00266FC0"/>
    <w:rsid w:val="00267256"/>
    <w:rsid w:val="00270293"/>
    <w:rsid w:val="0027288D"/>
    <w:rsid w:val="00273DA5"/>
    <w:rsid w:val="0027553A"/>
    <w:rsid w:val="00280AF7"/>
    <w:rsid w:val="00280DEC"/>
    <w:rsid w:val="00281F3A"/>
    <w:rsid w:val="00283D70"/>
    <w:rsid w:val="00284354"/>
    <w:rsid w:val="00285A7E"/>
    <w:rsid w:val="0028715A"/>
    <w:rsid w:val="002915FD"/>
    <w:rsid w:val="00293137"/>
    <w:rsid w:val="002968ED"/>
    <w:rsid w:val="00296B53"/>
    <w:rsid w:val="00297FDE"/>
    <w:rsid w:val="002A1960"/>
    <w:rsid w:val="002A244E"/>
    <w:rsid w:val="002A3C72"/>
    <w:rsid w:val="002A607B"/>
    <w:rsid w:val="002A6A67"/>
    <w:rsid w:val="002A706D"/>
    <w:rsid w:val="002A74A9"/>
    <w:rsid w:val="002B02CA"/>
    <w:rsid w:val="002B1943"/>
    <w:rsid w:val="002B3797"/>
    <w:rsid w:val="002B3BB6"/>
    <w:rsid w:val="002B524C"/>
    <w:rsid w:val="002C084F"/>
    <w:rsid w:val="002C0BF1"/>
    <w:rsid w:val="002C71A4"/>
    <w:rsid w:val="002C7716"/>
    <w:rsid w:val="002C77B8"/>
    <w:rsid w:val="002D12E4"/>
    <w:rsid w:val="002D2FFA"/>
    <w:rsid w:val="002D4336"/>
    <w:rsid w:val="002E12E0"/>
    <w:rsid w:val="002E20F5"/>
    <w:rsid w:val="002E2646"/>
    <w:rsid w:val="002E33BE"/>
    <w:rsid w:val="002E4DF1"/>
    <w:rsid w:val="002E6911"/>
    <w:rsid w:val="002F2F48"/>
    <w:rsid w:val="002F3D33"/>
    <w:rsid w:val="002F5ECA"/>
    <w:rsid w:val="002F7D03"/>
    <w:rsid w:val="00305BD7"/>
    <w:rsid w:val="003065BE"/>
    <w:rsid w:val="0031144D"/>
    <w:rsid w:val="00312018"/>
    <w:rsid w:val="00312D01"/>
    <w:rsid w:val="00314A63"/>
    <w:rsid w:val="00317F33"/>
    <w:rsid w:val="003214DC"/>
    <w:rsid w:val="00322539"/>
    <w:rsid w:val="00323224"/>
    <w:rsid w:val="00323C53"/>
    <w:rsid w:val="00326526"/>
    <w:rsid w:val="003265CF"/>
    <w:rsid w:val="00327E21"/>
    <w:rsid w:val="00331D31"/>
    <w:rsid w:val="003344DF"/>
    <w:rsid w:val="00337512"/>
    <w:rsid w:val="0034029E"/>
    <w:rsid w:val="00342541"/>
    <w:rsid w:val="003456E9"/>
    <w:rsid w:val="00346DE1"/>
    <w:rsid w:val="003503EA"/>
    <w:rsid w:val="00351ED0"/>
    <w:rsid w:val="00352F51"/>
    <w:rsid w:val="0035396A"/>
    <w:rsid w:val="003578AF"/>
    <w:rsid w:val="00357C42"/>
    <w:rsid w:val="00360201"/>
    <w:rsid w:val="00362868"/>
    <w:rsid w:val="00365C25"/>
    <w:rsid w:val="00367F4D"/>
    <w:rsid w:val="00367FBB"/>
    <w:rsid w:val="00370958"/>
    <w:rsid w:val="00373240"/>
    <w:rsid w:val="00373497"/>
    <w:rsid w:val="0037416D"/>
    <w:rsid w:val="00374FD3"/>
    <w:rsid w:val="003833D5"/>
    <w:rsid w:val="003840E4"/>
    <w:rsid w:val="00387803"/>
    <w:rsid w:val="00387C64"/>
    <w:rsid w:val="003914C5"/>
    <w:rsid w:val="003A1144"/>
    <w:rsid w:val="003A2726"/>
    <w:rsid w:val="003A458A"/>
    <w:rsid w:val="003A74D3"/>
    <w:rsid w:val="003B04DA"/>
    <w:rsid w:val="003B1197"/>
    <w:rsid w:val="003B139E"/>
    <w:rsid w:val="003B2625"/>
    <w:rsid w:val="003B2C64"/>
    <w:rsid w:val="003B3401"/>
    <w:rsid w:val="003B414A"/>
    <w:rsid w:val="003B47CC"/>
    <w:rsid w:val="003B4AE1"/>
    <w:rsid w:val="003B5045"/>
    <w:rsid w:val="003B5574"/>
    <w:rsid w:val="003B5D33"/>
    <w:rsid w:val="003C15BA"/>
    <w:rsid w:val="003C182D"/>
    <w:rsid w:val="003C1B25"/>
    <w:rsid w:val="003C5261"/>
    <w:rsid w:val="003C66EC"/>
    <w:rsid w:val="003D4311"/>
    <w:rsid w:val="003D6B35"/>
    <w:rsid w:val="003E03BC"/>
    <w:rsid w:val="003E07E2"/>
    <w:rsid w:val="003E5029"/>
    <w:rsid w:val="003E586F"/>
    <w:rsid w:val="003E5F3A"/>
    <w:rsid w:val="003E6085"/>
    <w:rsid w:val="003E6742"/>
    <w:rsid w:val="003E7C2D"/>
    <w:rsid w:val="003F0D37"/>
    <w:rsid w:val="003F1399"/>
    <w:rsid w:val="003F1710"/>
    <w:rsid w:val="003F3091"/>
    <w:rsid w:val="003F3F78"/>
    <w:rsid w:val="003F7D40"/>
    <w:rsid w:val="00401C74"/>
    <w:rsid w:val="004041D4"/>
    <w:rsid w:val="004105C5"/>
    <w:rsid w:val="00410684"/>
    <w:rsid w:val="004112BB"/>
    <w:rsid w:val="004113D7"/>
    <w:rsid w:val="004123EF"/>
    <w:rsid w:val="0041441F"/>
    <w:rsid w:val="0042162D"/>
    <w:rsid w:val="00421B6F"/>
    <w:rsid w:val="004232B5"/>
    <w:rsid w:val="0042525D"/>
    <w:rsid w:val="0042755D"/>
    <w:rsid w:val="004307FF"/>
    <w:rsid w:val="00431756"/>
    <w:rsid w:val="00433F96"/>
    <w:rsid w:val="004357F3"/>
    <w:rsid w:val="00440890"/>
    <w:rsid w:val="00440D7B"/>
    <w:rsid w:val="0044150F"/>
    <w:rsid w:val="00441925"/>
    <w:rsid w:val="0044229D"/>
    <w:rsid w:val="004425EF"/>
    <w:rsid w:val="004449CC"/>
    <w:rsid w:val="004449F0"/>
    <w:rsid w:val="00444A90"/>
    <w:rsid w:val="004453FE"/>
    <w:rsid w:val="00445438"/>
    <w:rsid w:val="00445B7F"/>
    <w:rsid w:val="00446409"/>
    <w:rsid w:val="0044690D"/>
    <w:rsid w:val="00447B7B"/>
    <w:rsid w:val="004529EB"/>
    <w:rsid w:val="00454600"/>
    <w:rsid w:val="00455EB9"/>
    <w:rsid w:val="004565EC"/>
    <w:rsid w:val="004651AF"/>
    <w:rsid w:val="00466770"/>
    <w:rsid w:val="00466827"/>
    <w:rsid w:val="00471938"/>
    <w:rsid w:val="004735B1"/>
    <w:rsid w:val="0047582E"/>
    <w:rsid w:val="00477D30"/>
    <w:rsid w:val="00477D8A"/>
    <w:rsid w:val="00480C47"/>
    <w:rsid w:val="00483B85"/>
    <w:rsid w:val="004842FF"/>
    <w:rsid w:val="00484A49"/>
    <w:rsid w:val="0048661C"/>
    <w:rsid w:val="004907C0"/>
    <w:rsid w:val="00491162"/>
    <w:rsid w:val="00495D8B"/>
    <w:rsid w:val="004A4CC9"/>
    <w:rsid w:val="004A537A"/>
    <w:rsid w:val="004A7AD5"/>
    <w:rsid w:val="004B1803"/>
    <w:rsid w:val="004B1F72"/>
    <w:rsid w:val="004B39F3"/>
    <w:rsid w:val="004B3F66"/>
    <w:rsid w:val="004B5815"/>
    <w:rsid w:val="004B6479"/>
    <w:rsid w:val="004B6A5C"/>
    <w:rsid w:val="004B7521"/>
    <w:rsid w:val="004B7A14"/>
    <w:rsid w:val="004C024A"/>
    <w:rsid w:val="004C6335"/>
    <w:rsid w:val="004C6986"/>
    <w:rsid w:val="004C6EAD"/>
    <w:rsid w:val="004D10E1"/>
    <w:rsid w:val="004D19FD"/>
    <w:rsid w:val="004D1A5D"/>
    <w:rsid w:val="004D1EC3"/>
    <w:rsid w:val="004D3B38"/>
    <w:rsid w:val="004D5A80"/>
    <w:rsid w:val="004D6F7E"/>
    <w:rsid w:val="004D7AD8"/>
    <w:rsid w:val="004E09BC"/>
    <w:rsid w:val="004E1C01"/>
    <w:rsid w:val="004E4A8E"/>
    <w:rsid w:val="004E5427"/>
    <w:rsid w:val="004F1558"/>
    <w:rsid w:val="004F38F0"/>
    <w:rsid w:val="004F394B"/>
    <w:rsid w:val="004F480B"/>
    <w:rsid w:val="004F4AC8"/>
    <w:rsid w:val="004F7841"/>
    <w:rsid w:val="004F793C"/>
    <w:rsid w:val="004F7B84"/>
    <w:rsid w:val="005029F7"/>
    <w:rsid w:val="00503D02"/>
    <w:rsid w:val="00504A74"/>
    <w:rsid w:val="005079D9"/>
    <w:rsid w:val="005105EB"/>
    <w:rsid w:val="0051328B"/>
    <w:rsid w:val="00520AE4"/>
    <w:rsid w:val="005221F6"/>
    <w:rsid w:val="00523082"/>
    <w:rsid w:val="005252C1"/>
    <w:rsid w:val="00525B2C"/>
    <w:rsid w:val="00525FCA"/>
    <w:rsid w:val="005320BD"/>
    <w:rsid w:val="00533110"/>
    <w:rsid w:val="00533EC9"/>
    <w:rsid w:val="005352FD"/>
    <w:rsid w:val="005362A6"/>
    <w:rsid w:val="00536624"/>
    <w:rsid w:val="00537022"/>
    <w:rsid w:val="00540A43"/>
    <w:rsid w:val="00540C9F"/>
    <w:rsid w:val="005435DF"/>
    <w:rsid w:val="005438FE"/>
    <w:rsid w:val="005445E4"/>
    <w:rsid w:val="00544B79"/>
    <w:rsid w:val="00545571"/>
    <w:rsid w:val="005457B1"/>
    <w:rsid w:val="00546C6C"/>
    <w:rsid w:val="00546F88"/>
    <w:rsid w:val="0054777A"/>
    <w:rsid w:val="005502E8"/>
    <w:rsid w:val="00550494"/>
    <w:rsid w:val="005505BB"/>
    <w:rsid w:val="00550BD9"/>
    <w:rsid w:val="00555EF6"/>
    <w:rsid w:val="00560FC2"/>
    <w:rsid w:val="00561992"/>
    <w:rsid w:val="00561B92"/>
    <w:rsid w:val="00562058"/>
    <w:rsid w:val="0056226D"/>
    <w:rsid w:val="00563C65"/>
    <w:rsid w:val="005642EA"/>
    <w:rsid w:val="00572114"/>
    <w:rsid w:val="005736BB"/>
    <w:rsid w:val="00574629"/>
    <w:rsid w:val="00575EBB"/>
    <w:rsid w:val="00576129"/>
    <w:rsid w:val="00576F79"/>
    <w:rsid w:val="00576FF6"/>
    <w:rsid w:val="005800DC"/>
    <w:rsid w:val="00581578"/>
    <w:rsid w:val="00582EEB"/>
    <w:rsid w:val="00584D84"/>
    <w:rsid w:val="00585789"/>
    <w:rsid w:val="00591F95"/>
    <w:rsid w:val="0059531E"/>
    <w:rsid w:val="005953C4"/>
    <w:rsid w:val="005955A4"/>
    <w:rsid w:val="005958A4"/>
    <w:rsid w:val="00595E18"/>
    <w:rsid w:val="00596878"/>
    <w:rsid w:val="00597D68"/>
    <w:rsid w:val="005A091A"/>
    <w:rsid w:val="005A128C"/>
    <w:rsid w:val="005A426F"/>
    <w:rsid w:val="005A50EC"/>
    <w:rsid w:val="005A6A57"/>
    <w:rsid w:val="005A7D2D"/>
    <w:rsid w:val="005B3790"/>
    <w:rsid w:val="005B3E1C"/>
    <w:rsid w:val="005C1873"/>
    <w:rsid w:val="005C5E70"/>
    <w:rsid w:val="005C6E75"/>
    <w:rsid w:val="005C7495"/>
    <w:rsid w:val="005D0509"/>
    <w:rsid w:val="005D11E7"/>
    <w:rsid w:val="005D1566"/>
    <w:rsid w:val="005D216D"/>
    <w:rsid w:val="005D2F81"/>
    <w:rsid w:val="005D42E9"/>
    <w:rsid w:val="005D7DF7"/>
    <w:rsid w:val="005E103C"/>
    <w:rsid w:val="005E10B9"/>
    <w:rsid w:val="005E1DA3"/>
    <w:rsid w:val="005E7A88"/>
    <w:rsid w:val="005F0535"/>
    <w:rsid w:val="005F2684"/>
    <w:rsid w:val="005F364B"/>
    <w:rsid w:val="005F3A47"/>
    <w:rsid w:val="005F4A8B"/>
    <w:rsid w:val="005F526F"/>
    <w:rsid w:val="005F6535"/>
    <w:rsid w:val="005F6CFA"/>
    <w:rsid w:val="005F6FA2"/>
    <w:rsid w:val="006005CF"/>
    <w:rsid w:val="0060097F"/>
    <w:rsid w:val="0060106B"/>
    <w:rsid w:val="006021B7"/>
    <w:rsid w:val="00604388"/>
    <w:rsid w:val="006060C7"/>
    <w:rsid w:val="00606A7E"/>
    <w:rsid w:val="00607145"/>
    <w:rsid w:val="00610D77"/>
    <w:rsid w:val="00613634"/>
    <w:rsid w:val="00614E8E"/>
    <w:rsid w:val="00615326"/>
    <w:rsid w:val="00615F29"/>
    <w:rsid w:val="00617381"/>
    <w:rsid w:val="00623031"/>
    <w:rsid w:val="00623922"/>
    <w:rsid w:val="00624769"/>
    <w:rsid w:val="006256E7"/>
    <w:rsid w:val="00626457"/>
    <w:rsid w:val="006302E5"/>
    <w:rsid w:val="00630790"/>
    <w:rsid w:val="00636331"/>
    <w:rsid w:val="006373DD"/>
    <w:rsid w:val="00641947"/>
    <w:rsid w:val="00642643"/>
    <w:rsid w:val="00644327"/>
    <w:rsid w:val="00645185"/>
    <w:rsid w:val="006453CD"/>
    <w:rsid w:val="006466D9"/>
    <w:rsid w:val="00646797"/>
    <w:rsid w:val="0064797D"/>
    <w:rsid w:val="0065480E"/>
    <w:rsid w:val="00654859"/>
    <w:rsid w:val="00656C47"/>
    <w:rsid w:val="00661DBF"/>
    <w:rsid w:val="00664188"/>
    <w:rsid w:val="00665484"/>
    <w:rsid w:val="006722ED"/>
    <w:rsid w:val="00672916"/>
    <w:rsid w:val="006740CC"/>
    <w:rsid w:val="006741B3"/>
    <w:rsid w:val="0067422E"/>
    <w:rsid w:val="00676B8C"/>
    <w:rsid w:val="00682105"/>
    <w:rsid w:val="00682166"/>
    <w:rsid w:val="00683992"/>
    <w:rsid w:val="00685255"/>
    <w:rsid w:val="006876D7"/>
    <w:rsid w:val="00697197"/>
    <w:rsid w:val="006A20F8"/>
    <w:rsid w:val="006A2669"/>
    <w:rsid w:val="006A29EE"/>
    <w:rsid w:val="006A75A6"/>
    <w:rsid w:val="006B1E07"/>
    <w:rsid w:val="006B328D"/>
    <w:rsid w:val="006C5BF9"/>
    <w:rsid w:val="006C636E"/>
    <w:rsid w:val="006C662A"/>
    <w:rsid w:val="006D0569"/>
    <w:rsid w:val="006D1B8A"/>
    <w:rsid w:val="006D219C"/>
    <w:rsid w:val="006D23ED"/>
    <w:rsid w:val="006D30B1"/>
    <w:rsid w:val="006D5802"/>
    <w:rsid w:val="006E120A"/>
    <w:rsid w:val="006E15D6"/>
    <w:rsid w:val="006E511A"/>
    <w:rsid w:val="006E5C99"/>
    <w:rsid w:val="006F14C8"/>
    <w:rsid w:val="006F1C1C"/>
    <w:rsid w:val="006F4266"/>
    <w:rsid w:val="006F574B"/>
    <w:rsid w:val="006F6681"/>
    <w:rsid w:val="007006E6"/>
    <w:rsid w:val="007012CE"/>
    <w:rsid w:val="0070196D"/>
    <w:rsid w:val="00703AE1"/>
    <w:rsid w:val="00704D08"/>
    <w:rsid w:val="00705A8D"/>
    <w:rsid w:val="0070617F"/>
    <w:rsid w:val="00707B02"/>
    <w:rsid w:val="00710F2A"/>
    <w:rsid w:val="007111BB"/>
    <w:rsid w:val="0071213D"/>
    <w:rsid w:val="00712F23"/>
    <w:rsid w:val="00713730"/>
    <w:rsid w:val="00713A70"/>
    <w:rsid w:val="00720CEC"/>
    <w:rsid w:val="00721C4C"/>
    <w:rsid w:val="00722707"/>
    <w:rsid w:val="0072598F"/>
    <w:rsid w:val="00726917"/>
    <w:rsid w:val="00730683"/>
    <w:rsid w:val="00732115"/>
    <w:rsid w:val="00734FE6"/>
    <w:rsid w:val="00735809"/>
    <w:rsid w:val="00735C40"/>
    <w:rsid w:val="007378DA"/>
    <w:rsid w:val="00741489"/>
    <w:rsid w:val="00746D32"/>
    <w:rsid w:val="00747612"/>
    <w:rsid w:val="00751223"/>
    <w:rsid w:val="00752B21"/>
    <w:rsid w:val="00753246"/>
    <w:rsid w:val="0075327D"/>
    <w:rsid w:val="00756FEC"/>
    <w:rsid w:val="0075715C"/>
    <w:rsid w:val="007611D6"/>
    <w:rsid w:val="00761414"/>
    <w:rsid w:val="00761BA6"/>
    <w:rsid w:val="00763E99"/>
    <w:rsid w:val="00766E83"/>
    <w:rsid w:val="007709B3"/>
    <w:rsid w:val="00772C25"/>
    <w:rsid w:val="0077324D"/>
    <w:rsid w:val="0077391B"/>
    <w:rsid w:val="00774457"/>
    <w:rsid w:val="00774D5B"/>
    <w:rsid w:val="00775A6B"/>
    <w:rsid w:val="00776111"/>
    <w:rsid w:val="007762B7"/>
    <w:rsid w:val="00777658"/>
    <w:rsid w:val="00777E23"/>
    <w:rsid w:val="007807BB"/>
    <w:rsid w:val="0078135F"/>
    <w:rsid w:val="00783F6F"/>
    <w:rsid w:val="00784F8F"/>
    <w:rsid w:val="00786D0F"/>
    <w:rsid w:val="00791040"/>
    <w:rsid w:val="00792C7D"/>
    <w:rsid w:val="00794CC9"/>
    <w:rsid w:val="0079576B"/>
    <w:rsid w:val="007958F6"/>
    <w:rsid w:val="0079611B"/>
    <w:rsid w:val="00796843"/>
    <w:rsid w:val="00797576"/>
    <w:rsid w:val="007A0A40"/>
    <w:rsid w:val="007A2779"/>
    <w:rsid w:val="007A3576"/>
    <w:rsid w:val="007A68E5"/>
    <w:rsid w:val="007A7AF0"/>
    <w:rsid w:val="007A7CA0"/>
    <w:rsid w:val="007B0673"/>
    <w:rsid w:val="007B28A3"/>
    <w:rsid w:val="007B5353"/>
    <w:rsid w:val="007C037A"/>
    <w:rsid w:val="007C04B3"/>
    <w:rsid w:val="007C07A3"/>
    <w:rsid w:val="007C1C01"/>
    <w:rsid w:val="007C4A5E"/>
    <w:rsid w:val="007D08CA"/>
    <w:rsid w:val="007D0D2B"/>
    <w:rsid w:val="007D2F88"/>
    <w:rsid w:val="007D352D"/>
    <w:rsid w:val="007D3E69"/>
    <w:rsid w:val="007D4BDD"/>
    <w:rsid w:val="007E07BE"/>
    <w:rsid w:val="007E1883"/>
    <w:rsid w:val="007E2102"/>
    <w:rsid w:val="007E6074"/>
    <w:rsid w:val="007F1CE9"/>
    <w:rsid w:val="007F24BA"/>
    <w:rsid w:val="007F2756"/>
    <w:rsid w:val="007F5C9B"/>
    <w:rsid w:val="007F6B4E"/>
    <w:rsid w:val="007F75AB"/>
    <w:rsid w:val="00800944"/>
    <w:rsid w:val="008023B2"/>
    <w:rsid w:val="00802546"/>
    <w:rsid w:val="00802A6B"/>
    <w:rsid w:val="00802F90"/>
    <w:rsid w:val="00812BD4"/>
    <w:rsid w:val="00815293"/>
    <w:rsid w:val="0081546E"/>
    <w:rsid w:val="008159FA"/>
    <w:rsid w:val="00815F37"/>
    <w:rsid w:val="00816871"/>
    <w:rsid w:val="00817E98"/>
    <w:rsid w:val="008204E3"/>
    <w:rsid w:val="0082155B"/>
    <w:rsid w:val="008238AE"/>
    <w:rsid w:val="00823B3C"/>
    <w:rsid w:val="008247A5"/>
    <w:rsid w:val="00825724"/>
    <w:rsid w:val="00825B14"/>
    <w:rsid w:val="00826D8B"/>
    <w:rsid w:val="00826F35"/>
    <w:rsid w:val="008274B7"/>
    <w:rsid w:val="00827CAB"/>
    <w:rsid w:val="00830227"/>
    <w:rsid w:val="0083034F"/>
    <w:rsid w:val="00834987"/>
    <w:rsid w:val="008353C7"/>
    <w:rsid w:val="008375D1"/>
    <w:rsid w:val="0084151A"/>
    <w:rsid w:val="00841A6F"/>
    <w:rsid w:val="00841B4A"/>
    <w:rsid w:val="00845C2C"/>
    <w:rsid w:val="00845D7B"/>
    <w:rsid w:val="00846991"/>
    <w:rsid w:val="00847466"/>
    <w:rsid w:val="00851B14"/>
    <w:rsid w:val="0085279D"/>
    <w:rsid w:val="00852DC0"/>
    <w:rsid w:val="00853747"/>
    <w:rsid w:val="00854599"/>
    <w:rsid w:val="00856A70"/>
    <w:rsid w:val="0085735D"/>
    <w:rsid w:val="008604CE"/>
    <w:rsid w:val="008615A4"/>
    <w:rsid w:val="0086293F"/>
    <w:rsid w:val="00873588"/>
    <w:rsid w:val="00876F50"/>
    <w:rsid w:val="00881AAF"/>
    <w:rsid w:val="00881DE3"/>
    <w:rsid w:val="00890E11"/>
    <w:rsid w:val="0089305A"/>
    <w:rsid w:val="00893E14"/>
    <w:rsid w:val="008948A4"/>
    <w:rsid w:val="0089511B"/>
    <w:rsid w:val="008A0050"/>
    <w:rsid w:val="008A1A0C"/>
    <w:rsid w:val="008A2D96"/>
    <w:rsid w:val="008A60EF"/>
    <w:rsid w:val="008B0B21"/>
    <w:rsid w:val="008B231D"/>
    <w:rsid w:val="008B2571"/>
    <w:rsid w:val="008B26C5"/>
    <w:rsid w:val="008B2F4D"/>
    <w:rsid w:val="008B478A"/>
    <w:rsid w:val="008B693B"/>
    <w:rsid w:val="008B6C60"/>
    <w:rsid w:val="008B6DA1"/>
    <w:rsid w:val="008B7074"/>
    <w:rsid w:val="008B7CEA"/>
    <w:rsid w:val="008C0489"/>
    <w:rsid w:val="008C0D66"/>
    <w:rsid w:val="008C1F6A"/>
    <w:rsid w:val="008C2776"/>
    <w:rsid w:val="008C42C3"/>
    <w:rsid w:val="008C6E8A"/>
    <w:rsid w:val="008C7719"/>
    <w:rsid w:val="008D0E02"/>
    <w:rsid w:val="008D67D3"/>
    <w:rsid w:val="008D7C6D"/>
    <w:rsid w:val="008E249B"/>
    <w:rsid w:val="008E277F"/>
    <w:rsid w:val="008E3037"/>
    <w:rsid w:val="008E5F2E"/>
    <w:rsid w:val="008E6111"/>
    <w:rsid w:val="008E651D"/>
    <w:rsid w:val="008E7485"/>
    <w:rsid w:val="008F2328"/>
    <w:rsid w:val="008F2486"/>
    <w:rsid w:val="008F3A29"/>
    <w:rsid w:val="008F6C3B"/>
    <w:rsid w:val="008F75F2"/>
    <w:rsid w:val="008F7A78"/>
    <w:rsid w:val="008F7CE8"/>
    <w:rsid w:val="00901296"/>
    <w:rsid w:val="00901621"/>
    <w:rsid w:val="00902DEE"/>
    <w:rsid w:val="0090561F"/>
    <w:rsid w:val="00907494"/>
    <w:rsid w:val="00913D61"/>
    <w:rsid w:val="00914550"/>
    <w:rsid w:val="009146B5"/>
    <w:rsid w:val="0091578F"/>
    <w:rsid w:val="00915893"/>
    <w:rsid w:val="00917696"/>
    <w:rsid w:val="00920B3E"/>
    <w:rsid w:val="00920C64"/>
    <w:rsid w:val="00922F16"/>
    <w:rsid w:val="009236C1"/>
    <w:rsid w:val="00926EEA"/>
    <w:rsid w:val="00927975"/>
    <w:rsid w:val="009323C0"/>
    <w:rsid w:val="009336FC"/>
    <w:rsid w:val="00933735"/>
    <w:rsid w:val="00934DEC"/>
    <w:rsid w:val="00935177"/>
    <w:rsid w:val="00935A07"/>
    <w:rsid w:val="009375F4"/>
    <w:rsid w:val="009408F5"/>
    <w:rsid w:val="00940E6D"/>
    <w:rsid w:val="00943CCB"/>
    <w:rsid w:val="00944B37"/>
    <w:rsid w:val="009456D5"/>
    <w:rsid w:val="009459FD"/>
    <w:rsid w:val="009460D8"/>
    <w:rsid w:val="009473EB"/>
    <w:rsid w:val="00950B66"/>
    <w:rsid w:val="009514B9"/>
    <w:rsid w:val="00953FB6"/>
    <w:rsid w:val="0095550C"/>
    <w:rsid w:val="00956060"/>
    <w:rsid w:val="009574B3"/>
    <w:rsid w:val="009579E1"/>
    <w:rsid w:val="00957F44"/>
    <w:rsid w:val="0096229C"/>
    <w:rsid w:val="00965619"/>
    <w:rsid w:val="00965AF8"/>
    <w:rsid w:val="0096685C"/>
    <w:rsid w:val="00971F6C"/>
    <w:rsid w:val="00976F6F"/>
    <w:rsid w:val="00980BA0"/>
    <w:rsid w:val="00981598"/>
    <w:rsid w:val="009817A5"/>
    <w:rsid w:val="00982737"/>
    <w:rsid w:val="00984C10"/>
    <w:rsid w:val="00985125"/>
    <w:rsid w:val="00993666"/>
    <w:rsid w:val="00997ABC"/>
    <w:rsid w:val="009A1261"/>
    <w:rsid w:val="009A409E"/>
    <w:rsid w:val="009A5321"/>
    <w:rsid w:val="009A5683"/>
    <w:rsid w:val="009A5B60"/>
    <w:rsid w:val="009A5E37"/>
    <w:rsid w:val="009A68F6"/>
    <w:rsid w:val="009B02D7"/>
    <w:rsid w:val="009B3986"/>
    <w:rsid w:val="009B5D2A"/>
    <w:rsid w:val="009B7EBC"/>
    <w:rsid w:val="009C2492"/>
    <w:rsid w:val="009C2DC3"/>
    <w:rsid w:val="009C2EA5"/>
    <w:rsid w:val="009C4443"/>
    <w:rsid w:val="009C4A9E"/>
    <w:rsid w:val="009C5690"/>
    <w:rsid w:val="009C72FC"/>
    <w:rsid w:val="009D164B"/>
    <w:rsid w:val="009D170E"/>
    <w:rsid w:val="009D1F24"/>
    <w:rsid w:val="009D56AA"/>
    <w:rsid w:val="009D6203"/>
    <w:rsid w:val="009D750C"/>
    <w:rsid w:val="009E0496"/>
    <w:rsid w:val="009E0DB2"/>
    <w:rsid w:val="009E217D"/>
    <w:rsid w:val="009E4865"/>
    <w:rsid w:val="009E745C"/>
    <w:rsid w:val="009F0AD6"/>
    <w:rsid w:val="009F4952"/>
    <w:rsid w:val="009F4ECB"/>
    <w:rsid w:val="009F5C8B"/>
    <w:rsid w:val="009F6244"/>
    <w:rsid w:val="009F6CE3"/>
    <w:rsid w:val="009F74E2"/>
    <w:rsid w:val="009F763E"/>
    <w:rsid w:val="00A007A1"/>
    <w:rsid w:val="00A00B9A"/>
    <w:rsid w:val="00A04525"/>
    <w:rsid w:val="00A053B5"/>
    <w:rsid w:val="00A05BF3"/>
    <w:rsid w:val="00A0705B"/>
    <w:rsid w:val="00A0746B"/>
    <w:rsid w:val="00A10AFE"/>
    <w:rsid w:val="00A11044"/>
    <w:rsid w:val="00A110AB"/>
    <w:rsid w:val="00A12EC3"/>
    <w:rsid w:val="00A13648"/>
    <w:rsid w:val="00A13B3D"/>
    <w:rsid w:val="00A14923"/>
    <w:rsid w:val="00A171BB"/>
    <w:rsid w:val="00A21A6C"/>
    <w:rsid w:val="00A21D12"/>
    <w:rsid w:val="00A22D4F"/>
    <w:rsid w:val="00A23539"/>
    <w:rsid w:val="00A23B40"/>
    <w:rsid w:val="00A23BD5"/>
    <w:rsid w:val="00A23F00"/>
    <w:rsid w:val="00A26F98"/>
    <w:rsid w:val="00A2784E"/>
    <w:rsid w:val="00A27FC6"/>
    <w:rsid w:val="00A31DD9"/>
    <w:rsid w:val="00A35927"/>
    <w:rsid w:val="00A36EED"/>
    <w:rsid w:val="00A40A1E"/>
    <w:rsid w:val="00A4267B"/>
    <w:rsid w:val="00A43C32"/>
    <w:rsid w:val="00A43CAD"/>
    <w:rsid w:val="00A45909"/>
    <w:rsid w:val="00A47B55"/>
    <w:rsid w:val="00A50711"/>
    <w:rsid w:val="00A50B77"/>
    <w:rsid w:val="00A54EEE"/>
    <w:rsid w:val="00A57210"/>
    <w:rsid w:val="00A651A0"/>
    <w:rsid w:val="00A70508"/>
    <w:rsid w:val="00A75114"/>
    <w:rsid w:val="00A76665"/>
    <w:rsid w:val="00A81A31"/>
    <w:rsid w:val="00A82C59"/>
    <w:rsid w:val="00A8394A"/>
    <w:rsid w:val="00A852EE"/>
    <w:rsid w:val="00A9031B"/>
    <w:rsid w:val="00A930BB"/>
    <w:rsid w:val="00A94EB8"/>
    <w:rsid w:val="00AA0F9D"/>
    <w:rsid w:val="00AA2AF0"/>
    <w:rsid w:val="00AA467C"/>
    <w:rsid w:val="00AA772A"/>
    <w:rsid w:val="00AB0459"/>
    <w:rsid w:val="00AB0F5E"/>
    <w:rsid w:val="00AB18F7"/>
    <w:rsid w:val="00AB1D28"/>
    <w:rsid w:val="00AB222A"/>
    <w:rsid w:val="00AB4452"/>
    <w:rsid w:val="00AB4957"/>
    <w:rsid w:val="00AB4CAC"/>
    <w:rsid w:val="00AB61E1"/>
    <w:rsid w:val="00AC2A48"/>
    <w:rsid w:val="00AC2CA0"/>
    <w:rsid w:val="00AC39E9"/>
    <w:rsid w:val="00AC42B2"/>
    <w:rsid w:val="00AC6734"/>
    <w:rsid w:val="00AD058F"/>
    <w:rsid w:val="00AD31F6"/>
    <w:rsid w:val="00AD4A6A"/>
    <w:rsid w:val="00AD5E62"/>
    <w:rsid w:val="00AD7AD9"/>
    <w:rsid w:val="00AE2CA6"/>
    <w:rsid w:val="00AE372A"/>
    <w:rsid w:val="00AE4657"/>
    <w:rsid w:val="00AE4851"/>
    <w:rsid w:val="00AE633B"/>
    <w:rsid w:val="00AE6CF3"/>
    <w:rsid w:val="00AF012A"/>
    <w:rsid w:val="00AF2557"/>
    <w:rsid w:val="00AF58F1"/>
    <w:rsid w:val="00AF649D"/>
    <w:rsid w:val="00B0151A"/>
    <w:rsid w:val="00B01726"/>
    <w:rsid w:val="00B031BD"/>
    <w:rsid w:val="00B04098"/>
    <w:rsid w:val="00B05E4F"/>
    <w:rsid w:val="00B070B1"/>
    <w:rsid w:val="00B12950"/>
    <w:rsid w:val="00B138A9"/>
    <w:rsid w:val="00B13D97"/>
    <w:rsid w:val="00B1429D"/>
    <w:rsid w:val="00B17648"/>
    <w:rsid w:val="00B20DE5"/>
    <w:rsid w:val="00B232BB"/>
    <w:rsid w:val="00B23431"/>
    <w:rsid w:val="00B31944"/>
    <w:rsid w:val="00B31A39"/>
    <w:rsid w:val="00B36E0B"/>
    <w:rsid w:val="00B41229"/>
    <w:rsid w:val="00B44512"/>
    <w:rsid w:val="00B44DF2"/>
    <w:rsid w:val="00B475EC"/>
    <w:rsid w:val="00B502AC"/>
    <w:rsid w:val="00B51663"/>
    <w:rsid w:val="00B5391D"/>
    <w:rsid w:val="00B54357"/>
    <w:rsid w:val="00B54E12"/>
    <w:rsid w:val="00B551A2"/>
    <w:rsid w:val="00B55916"/>
    <w:rsid w:val="00B61305"/>
    <w:rsid w:val="00B6341B"/>
    <w:rsid w:val="00B663FB"/>
    <w:rsid w:val="00B66865"/>
    <w:rsid w:val="00B71371"/>
    <w:rsid w:val="00B72580"/>
    <w:rsid w:val="00B77B10"/>
    <w:rsid w:val="00B81CBA"/>
    <w:rsid w:val="00B82EFF"/>
    <w:rsid w:val="00B843CD"/>
    <w:rsid w:val="00B85450"/>
    <w:rsid w:val="00B86AA1"/>
    <w:rsid w:val="00B8715A"/>
    <w:rsid w:val="00B90FC0"/>
    <w:rsid w:val="00B930A5"/>
    <w:rsid w:val="00B94F88"/>
    <w:rsid w:val="00BA04FA"/>
    <w:rsid w:val="00BA1617"/>
    <w:rsid w:val="00BA2DD3"/>
    <w:rsid w:val="00BA3230"/>
    <w:rsid w:val="00BA3E19"/>
    <w:rsid w:val="00BA5D0A"/>
    <w:rsid w:val="00BB068C"/>
    <w:rsid w:val="00BB24B6"/>
    <w:rsid w:val="00BB36A8"/>
    <w:rsid w:val="00BB4BCD"/>
    <w:rsid w:val="00BB541E"/>
    <w:rsid w:val="00BB5C97"/>
    <w:rsid w:val="00BB5CCF"/>
    <w:rsid w:val="00BB5F1F"/>
    <w:rsid w:val="00BB6E03"/>
    <w:rsid w:val="00BB7E28"/>
    <w:rsid w:val="00BC2490"/>
    <w:rsid w:val="00BC3053"/>
    <w:rsid w:val="00BC33A0"/>
    <w:rsid w:val="00BC53D6"/>
    <w:rsid w:val="00BC5BB4"/>
    <w:rsid w:val="00BC6B78"/>
    <w:rsid w:val="00BC6BCE"/>
    <w:rsid w:val="00BC7ABC"/>
    <w:rsid w:val="00BD1302"/>
    <w:rsid w:val="00BD155B"/>
    <w:rsid w:val="00BD1779"/>
    <w:rsid w:val="00BD29ED"/>
    <w:rsid w:val="00BD490F"/>
    <w:rsid w:val="00BD4B64"/>
    <w:rsid w:val="00BE1F58"/>
    <w:rsid w:val="00BE2E03"/>
    <w:rsid w:val="00BE56E1"/>
    <w:rsid w:val="00BE5BB9"/>
    <w:rsid w:val="00BE762C"/>
    <w:rsid w:val="00BF1D60"/>
    <w:rsid w:val="00BF2619"/>
    <w:rsid w:val="00BF2B49"/>
    <w:rsid w:val="00BF5F5B"/>
    <w:rsid w:val="00BF6238"/>
    <w:rsid w:val="00BF6A22"/>
    <w:rsid w:val="00BF73FE"/>
    <w:rsid w:val="00C00C80"/>
    <w:rsid w:val="00C015D8"/>
    <w:rsid w:val="00C055F1"/>
    <w:rsid w:val="00C05E67"/>
    <w:rsid w:val="00C0604C"/>
    <w:rsid w:val="00C066CF"/>
    <w:rsid w:val="00C1010B"/>
    <w:rsid w:val="00C16D21"/>
    <w:rsid w:val="00C16E7E"/>
    <w:rsid w:val="00C210EC"/>
    <w:rsid w:val="00C22ED4"/>
    <w:rsid w:val="00C23E4A"/>
    <w:rsid w:val="00C24131"/>
    <w:rsid w:val="00C253A5"/>
    <w:rsid w:val="00C30515"/>
    <w:rsid w:val="00C310D1"/>
    <w:rsid w:val="00C31648"/>
    <w:rsid w:val="00C32D64"/>
    <w:rsid w:val="00C34997"/>
    <w:rsid w:val="00C36BAC"/>
    <w:rsid w:val="00C36BC6"/>
    <w:rsid w:val="00C36E80"/>
    <w:rsid w:val="00C37244"/>
    <w:rsid w:val="00C400F5"/>
    <w:rsid w:val="00C40BA9"/>
    <w:rsid w:val="00C424A8"/>
    <w:rsid w:val="00C429C5"/>
    <w:rsid w:val="00C43076"/>
    <w:rsid w:val="00C47EB2"/>
    <w:rsid w:val="00C524EE"/>
    <w:rsid w:val="00C55529"/>
    <w:rsid w:val="00C55611"/>
    <w:rsid w:val="00C568C0"/>
    <w:rsid w:val="00C569D7"/>
    <w:rsid w:val="00C56ED9"/>
    <w:rsid w:val="00C57214"/>
    <w:rsid w:val="00C63242"/>
    <w:rsid w:val="00C64EF7"/>
    <w:rsid w:val="00C64F0D"/>
    <w:rsid w:val="00C6564C"/>
    <w:rsid w:val="00C65A03"/>
    <w:rsid w:val="00C6686B"/>
    <w:rsid w:val="00C66F08"/>
    <w:rsid w:val="00C678C1"/>
    <w:rsid w:val="00C7180D"/>
    <w:rsid w:val="00C71973"/>
    <w:rsid w:val="00C72220"/>
    <w:rsid w:val="00C72663"/>
    <w:rsid w:val="00C7346E"/>
    <w:rsid w:val="00C7454E"/>
    <w:rsid w:val="00C751F3"/>
    <w:rsid w:val="00C75830"/>
    <w:rsid w:val="00C77E4D"/>
    <w:rsid w:val="00C83E36"/>
    <w:rsid w:val="00C936B0"/>
    <w:rsid w:val="00C93B0B"/>
    <w:rsid w:val="00C94158"/>
    <w:rsid w:val="00C94940"/>
    <w:rsid w:val="00C94BB9"/>
    <w:rsid w:val="00C9711D"/>
    <w:rsid w:val="00C97179"/>
    <w:rsid w:val="00CA034D"/>
    <w:rsid w:val="00CA0DBE"/>
    <w:rsid w:val="00CA23B3"/>
    <w:rsid w:val="00CA4D53"/>
    <w:rsid w:val="00CA5C1C"/>
    <w:rsid w:val="00CA5C87"/>
    <w:rsid w:val="00CA6674"/>
    <w:rsid w:val="00CB353B"/>
    <w:rsid w:val="00CB3BE9"/>
    <w:rsid w:val="00CB5EA9"/>
    <w:rsid w:val="00CB6F9A"/>
    <w:rsid w:val="00CC1B8A"/>
    <w:rsid w:val="00CC4855"/>
    <w:rsid w:val="00CC4D71"/>
    <w:rsid w:val="00CC6B0E"/>
    <w:rsid w:val="00CD1B09"/>
    <w:rsid w:val="00CD437C"/>
    <w:rsid w:val="00CD5501"/>
    <w:rsid w:val="00CD5CA1"/>
    <w:rsid w:val="00CD67DE"/>
    <w:rsid w:val="00CD686E"/>
    <w:rsid w:val="00CD746C"/>
    <w:rsid w:val="00CE2FC4"/>
    <w:rsid w:val="00CE504B"/>
    <w:rsid w:val="00CE6545"/>
    <w:rsid w:val="00CE7C52"/>
    <w:rsid w:val="00CF034A"/>
    <w:rsid w:val="00CF0411"/>
    <w:rsid w:val="00CF1260"/>
    <w:rsid w:val="00CF1547"/>
    <w:rsid w:val="00CF4631"/>
    <w:rsid w:val="00CF46D5"/>
    <w:rsid w:val="00CF4F0F"/>
    <w:rsid w:val="00CF6054"/>
    <w:rsid w:val="00D02492"/>
    <w:rsid w:val="00D04DDF"/>
    <w:rsid w:val="00D0570A"/>
    <w:rsid w:val="00D065C3"/>
    <w:rsid w:val="00D15370"/>
    <w:rsid w:val="00D15E5C"/>
    <w:rsid w:val="00D172F1"/>
    <w:rsid w:val="00D2007D"/>
    <w:rsid w:val="00D21283"/>
    <w:rsid w:val="00D21627"/>
    <w:rsid w:val="00D216BE"/>
    <w:rsid w:val="00D21824"/>
    <w:rsid w:val="00D232ED"/>
    <w:rsid w:val="00D237AA"/>
    <w:rsid w:val="00D23C15"/>
    <w:rsid w:val="00D23FD4"/>
    <w:rsid w:val="00D241D4"/>
    <w:rsid w:val="00D24B11"/>
    <w:rsid w:val="00D24BF4"/>
    <w:rsid w:val="00D25708"/>
    <w:rsid w:val="00D26EB3"/>
    <w:rsid w:val="00D30F3E"/>
    <w:rsid w:val="00D3134B"/>
    <w:rsid w:val="00D34D9D"/>
    <w:rsid w:val="00D3587A"/>
    <w:rsid w:val="00D35CFB"/>
    <w:rsid w:val="00D36847"/>
    <w:rsid w:val="00D3792D"/>
    <w:rsid w:val="00D37A8A"/>
    <w:rsid w:val="00D37E33"/>
    <w:rsid w:val="00D40E97"/>
    <w:rsid w:val="00D41367"/>
    <w:rsid w:val="00D46513"/>
    <w:rsid w:val="00D46755"/>
    <w:rsid w:val="00D47738"/>
    <w:rsid w:val="00D47A04"/>
    <w:rsid w:val="00D47F12"/>
    <w:rsid w:val="00D51CA4"/>
    <w:rsid w:val="00D52AA5"/>
    <w:rsid w:val="00D55B58"/>
    <w:rsid w:val="00D56DEE"/>
    <w:rsid w:val="00D57090"/>
    <w:rsid w:val="00D60411"/>
    <w:rsid w:val="00D61F33"/>
    <w:rsid w:val="00D6210E"/>
    <w:rsid w:val="00D62B18"/>
    <w:rsid w:val="00D660AC"/>
    <w:rsid w:val="00D673EA"/>
    <w:rsid w:val="00D703C7"/>
    <w:rsid w:val="00D77219"/>
    <w:rsid w:val="00D826B0"/>
    <w:rsid w:val="00D84924"/>
    <w:rsid w:val="00D862A0"/>
    <w:rsid w:val="00D86C3E"/>
    <w:rsid w:val="00D92953"/>
    <w:rsid w:val="00D93671"/>
    <w:rsid w:val="00D93920"/>
    <w:rsid w:val="00D939C1"/>
    <w:rsid w:val="00D96711"/>
    <w:rsid w:val="00D97C49"/>
    <w:rsid w:val="00DA0FA5"/>
    <w:rsid w:val="00DB3B55"/>
    <w:rsid w:val="00DB5A3D"/>
    <w:rsid w:val="00DB7904"/>
    <w:rsid w:val="00DC0832"/>
    <w:rsid w:val="00DC1046"/>
    <w:rsid w:val="00DC18CB"/>
    <w:rsid w:val="00DC6838"/>
    <w:rsid w:val="00DD1101"/>
    <w:rsid w:val="00DD15B0"/>
    <w:rsid w:val="00DD4615"/>
    <w:rsid w:val="00DD72CB"/>
    <w:rsid w:val="00DD7DF4"/>
    <w:rsid w:val="00DE428B"/>
    <w:rsid w:val="00DE655D"/>
    <w:rsid w:val="00DE6A35"/>
    <w:rsid w:val="00DF0CF6"/>
    <w:rsid w:val="00DF2782"/>
    <w:rsid w:val="00DF4412"/>
    <w:rsid w:val="00DF4981"/>
    <w:rsid w:val="00E0062B"/>
    <w:rsid w:val="00E008A5"/>
    <w:rsid w:val="00E11590"/>
    <w:rsid w:val="00E141E4"/>
    <w:rsid w:val="00E14B1F"/>
    <w:rsid w:val="00E17A58"/>
    <w:rsid w:val="00E2052C"/>
    <w:rsid w:val="00E21853"/>
    <w:rsid w:val="00E21D38"/>
    <w:rsid w:val="00E23811"/>
    <w:rsid w:val="00E24C59"/>
    <w:rsid w:val="00E30627"/>
    <w:rsid w:val="00E30906"/>
    <w:rsid w:val="00E30B92"/>
    <w:rsid w:val="00E31F37"/>
    <w:rsid w:val="00E33CFC"/>
    <w:rsid w:val="00E34D29"/>
    <w:rsid w:val="00E36FE3"/>
    <w:rsid w:val="00E408CE"/>
    <w:rsid w:val="00E40DC8"/>
    <w:rsid w:val="00E42185"/>
    <w:rsid w:val="00E43EE9"/>
    <w:rsid w:val="00E44F4D"/>
    <w:rsid w:val="00E5253A"/>
    <w:rsid w:val="00E54518"/>
    <w:rsid w:val="00E54879"/>
    <w:rsid w:val="00E5590E"/>
    <w:rsid w:val="00E55B8A"/>
    <w:rsid w:val="00E60024"/>
    <w:rsid w:val="00E60119"/>
    <w:rsid w:val="00E61F21"/>
    <w:rsid w:val="00E6228A"/>
    <w:rsid w:val="00E62EE9"/>
    <w:rsid w:val="00E63525"/>
    <w:rsid w:val="00E6394C"/>
    <w:rsid w:val="00E65795"/>
    <w:rsid w:val="00E657ED"/>
    <w:rsid w:val="00E6617E"/>
    <w:rsid w:val="00E70653"/>
    <w:rsid w:val="00E7084B"/>
    <w:rsid w:val="00E72A1E"/>
    <w:rsid w:val="00E74308"/>
    <w:rsid w:val="00E75714"/>
    <w:rsid w:val="00E772DB"/>
    <w:rsid w:val="00E802B6"/>
    <w:rsid w:val="00E85EB5"/>
    <w:rsid w:val="00E932E1"/>
    <w:rsid w:val="00E93C51"/>
    <w:rsid w:val="00EA122A"/>
    <w:rsid w:val="00EA14F1"/>
    <w:rsid w:val="00EA2381"/>
    <w:rsid w:val="00EA29BA"/>
    <w:rsid w:val="00EA50A4"/>
    <w:rsid w:val="00EA63EB"/>
    <w:rsid w:val="00EA6B08"/>
    <w:rsid w:val="00EB2CEA"/>
    <w:rsid w:val="00EB653D"/>
    <w:rsid w:val="00EB73CB"/>
    <w:rsid w:val="00EB7805"/>
    <w:rsid w:val="00EC0E6B"/>
    <w:rsid w:val="00EC129F"/>
    <w:rsid w:val="00EC1E75"/>
    <w:rsid w:val="00EC3D14"/>
    <w:rsid w:val="00EC579C"/>
    <w:rsid w:val="00EC5F7E"/>
    <w:rsid w:val="00EC7B8D"/>
    <w:rsid w:val="00ED4EBE"/>
    <w:rsid w:val="00ED6984"/>
    <w:rsid w:val="00ED7E74"/>
    <w:rsid w:val="00EE016E"/>
    <w:rsid w:val="00EE10CA"/>
    <w:rsid w:val="00EE1F4D"/>
    <w:rsid w:val="00EE544B"/>
    <w:rsid w:val="00EE7707"/>
    <w:rsid w:val="00EF0173"/>
    <w:rsid w:val="00EF0B77"/>
    <w:rsid w:val="00EF27E6"/>
    <w:rsid w:val="00EF2EFF"/>
    <w:rsid w:val="00EF3B88"/>
    <w:rsid w:val="00EF4E85"/>
    <w:rsid w:val="00EF6DB0"/>
    <w:rsid w:val="00F01CFA"/>
    <w:rsid w:val="00F0667A"/>
    <w:rsid w:val="00F06E7C"/>
    <w:rsid w:val="00F1012B"/>
    <w:rsid w:val="00F105ED"/>
    <w:rsid w:val="00F11371"/>
    <w:rsid w:val="00F12B08"/>
    <w:rsid w:val="00F17959"/>
    <w:rsid w:val="00F17968"/>
    <w:rsid w:val="00F21A55"/>
    <w:rsid w:val="00F22E4F"/>
    <w:rsid w:val="00F307F9"/>
    <w:rsid w:val="00F315B5"/>
    <w:rsid w:val="00F32ABF"/>
    <w:rsid w:val="00F35E04"/>
    <w:rsid w:val="00F36BD5"/>
    <w:rsid w:val="00F375C4"/>
    <w:rsid w:val="00F404D1"/>
    <w:rsid w:val="00F4122C"/>
    <w:rsid w:val="00F43258"/>
    <w:rsid w:val="00F43550"/>
    <w:rsid w:val="00F4616F"/>
    <w:rsid w:val="00F47AA9"/>
    <w:rsid w:val="00F47B52"/>
    <w:rsid w:val="00F47E8F"/>
    <w:rsid w:val="00F50813"/>
    <w:rsid w:val="00F5140D"/>
    <w:rsid w:val="00F5287D"/>
    <w:rsid w:val="00F547FE"/>
    <w:rsid w:val="00F55597"/>
    <w:rsid w:val="00F577A1"/>
    <w:rsid w:val="00F57ABD"/>
    <w:rsid w:val="00F57E92"/>
    <w:rsid w:val="00F6001B"/>
    <w:rsid w:val="00F60A0F"/>
    <w:rsid w:val="00F60F0B"/>
    <w:rsid w:val="00F62209"/>
    <w:rsid w:val="00F64A7D"/>
    <w:rsid w:val="00F667A7"/>
    <w:rsid w:val="00F677FB"/>
    <w:rsid w:val="00F71365"/>
    <w:rsid w:val="00F7146F"/>
    <w:rsid w:val="00F73BE1"/>
    <w:rsid w:val="00F76B1D"/>
    <w:rsid w:val="00F771B6"/>
    <w:rsid w:val="00F83308"/>
    <w:rsid w:val="00F84E5F"/>
    <w:rsid w:val="00F85D9B"/>
    <w:rsid w:val="00F8610D"/>
    <w:rsid w:val="00F873C2"/>
    <w:rsid w:val="00F87CA7"/>
    <w:rsid w:val="00F9105B"/>
    <w:rsid w:val="00F9587B"/>
    <w:rsid w:val="00F97710"/>
    <w:rsid w:val="00FA0E45"/>
    <w:rsid w:val="00FA4457"/>
    <w:rsid w:val="00FA5B5D"/>
    <w:rsid w:val="00FA5DA0"/>
    <w:rsid w:val="00FA75EA"/>
    <w:rsid w:val="00FB03AF"/>
    <w:rsid w:val="00FB06F3"/>
    <w:rsid w:val="00FB1884"/>
    <w:rsid w:val="00FB43A5"/>
    <w:rsid w:val="00FB451B"/>
    <w:rsid w:val="00FB65B9"/>
    <w:rsid w:val="00FB6C8D"/>
    <w:rsid w:val="00FC14DB"/>
    <w:rsid w:val="00FC1C4D"/>
    <w:rsid w:val="00FC2D3B"/>
    <w:rsid w:val="00FC390A"/>
    <w:rsid w:val="00FC4640"/>
    <w:rsid w:val="00FC6AEB"/>
    <w:rsid w:val="00FD1E04"/>
    <w:rsid w:val="00FD2977"/>
    <w:rsid w:val="00FD2F91"/>
    <w:rsid w:val="00FD3119"/>
    <w:rsid w:val="00FD519C"/>
    <w:rsid w:val="00FD56C1"/>
    <w:rsid w:val="00FE01FE"/>
    <w:rsid w:val="00FE113F"/>
    <w:rsid w:val="00FE1534"/>
    <w:rsid w:val="00FE3515"/>
    <w:rsid w:val="00FE4F50"/>
    <w:rsid w:val="00FE5D4F"/>
    <w:rsid w:val="00FE667D"/>
    <w:rsid w:val="00FE73DB"/>
    <w:rsid w:val="00FE771E"/>
    <w:rsid w:val="00FF3FF5"/>
    <w:rsid w:val="00FF4CC0"/>
    <w:rsid w:val="00FF54F1"/>
    <w:rsid w:val="00FF5A72"/>
    <w:rsid w:val="00FF6C7A"/>
    <w:rsid w:val="00FF7CE0"/>
    <w:rsid w:val="040367E3"/>
    <w:rsid w:val="04FF7ED0"/>
    <w:rsid w:val="40A4059C"/>
    <w:rsid w:val="48896F58"/>
    <w:rsid w:val="5C7D0A86"/>
    <w:rsid w:val="72D21A4E"/>
    <w:rsid w:val="79DE7119"/>
    <w:rsid w:val="7C516FBE"/>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AutoShape 28"/>
        <o:r id="V:Rule2" type="connector" idref="#AutoShape 29"/>
        <o:r id="V:Rule3" type="connector" idref="#AutoShape 30"/>
        <o:r id="V:Rule4" type="connector" idref="#AutoShape 31"/>
        <o:r id="V:Rule5" type="connector" idref="#AutoShape 32"/>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39" w:semiHidden="0" w:name="toc 2"/>
    <w:lsdException w:qFormat="1" w:unhideWhenUsed="0" w:uiPriority="0" w:name="toc 3"/>
    <w:lsdException w:unhideWhenUsed="0" w:uiPriority="0" w:name="toc 4"/>
    <w:lsdException w:qFormat="1" w:unhideWhenUsed="0" w:uiPriority="0" w:name="toc 5"/>
    <w:lsdException w:unhideWhenUsed="0" w:uiPriority="0" w:name="toc 6"/>
    <w:lsdException w:qFormat="1" w:unhideWhenUsed="0" w:uiPriority="0" w:name="toc 7"/>
    <w:lsdException w:qFormat="1" w:unhideWhenUsed="0" w:uiPriority="0" w:name="toc 8"/>
    <w:lsdException w:unhideWhenUsed="0" w:uiPriority="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5"/>
    <w:basedOn w:val="1"/>
    <w:next w:val="1"/>
    <w:qFormat/>
    <w:uiPriority w:val="0"/>
    <w:pPr>
      <w:keepNext/>
      <w:keepLines/>
      <w:spacing w:before="280" w:after="290" w:line="376" w:lineRule="auto"/>
      <w:outlineLvl w:val="4"/>
    </w:pPr>
    <w:rPr>
      <w:b/>
      <w:bCs/>
      <w:sz w:val="28"/>
      <w:szCs w:val="28"/>
    </w:rPr>
  </w:style>
  <w:style w:type="character" w:default="1" w:styleId="25">
    <w:name w:val="Default Paragraph Font"/>
    <w:unhideWhenUsed/>
    <w:uiPriority w:val="1"/>
  </w:style>
  <w:style w:type="table" w:default="1" w:styleId="28">
    <w:name w:val="Normal Table"/>
    <w:unhideWhenUsed/>
    <w:qFormat/>
    <w:uiPriority w:val="99"/>
    <w:tblPr>
      <w:tblLayout w:type="fixed"/>
      <w:tblCellMar>
        <w:top w:w="0" w:type="dxa"/>
        <w:left w:w="108" w:type="dxa"/>
        <w:bottom w:w="0" w:type="dxa"/>
        <w:right w:w="108" w:type="dxa"/>
      </w:tblCellMar>
    </w:tblPr>
  </w:style>
  <w:style w:type="paragraph" w:styleId="6">
    <w:name w:val="toc 7"/>
    <w:basedOn w:val="1"/>
    <w:next w:val="1"/>
    <w:semiHidden/>
    <w:qFormat/>
    <w:uiPriority w:val="0"/>
    <w:pPr>
      <w:ind w:left="2520" w:leftChars="1200"/>
    </w:pPr>
  </w:style>
  <w:style w:type="paragraph" w:styleId="7">
    <w:name w:val="Normal Indent"/>
    <w:basedOn w:val="1"/>
    <w:qFormat/>
    <w:uiPriority w:val="0"/>
    <w:pPr>
      <w:ind w:firstLine="420" w:firstLineChars="200"/>
    </w:pPr>
  </w:style>
  <w:style w:type="paragraph" w:styleId="8">
    <w:name w:val="Document Map"/>
    <w:basedOn w:val="1"/>
    <w:semiHidden/>
    <w:qFormat/>
    <w:uiPriority w:val="0"/>
    <w:pPr>
      <w:shd w:val="clear" w:color="auto" w:fill="000080"/>
    </w:pPr>
  </w:style>
  <w:style w:type="paragraph" w:styleId="9">
    <w:name w:val="Body Text"/>
    <w:basedOn w:val="1"/>
    <w:qFormat/>
    <w:uiPriority w:val="0"/>
    <w:pPr>
      <w:spacing w:after="120"/>
    </w:pPr>
  </w:style>
  <w:style w:type="paragraph" w:styleId="10">
    <w:name w:val="Body Text Indent"/>
    <w:basedOn w:val="1"/>
    <w:qFormat/>
    <w:uiPriority w:val="0"/>
    <w:pPr>
      <w:ind w:firstLine="538" w:firstLineChars="192"/>
    </w:pPr>
    <w:rPr>
      <w:sz w:val="28"/>
    </w:rPr>
  </w:style>
  <w:style w:type="paragraph" w:styleId="11">
    <w:name w:val="toc 5"/>
    <w:basedOn w:val="1"/>
    <w:next w:val="1"/>
    <w:semiHidden/>
    <w:qFormat/>
    <w:uiPriority w:val="0"/>
    <w:pPr>
      <w:ind w:left="1680" w:leftChars="800"/>
    </w:pPr>
  </w:style>
  <w:style w:type="paragraph" w:styleId="12">
    <w:name w:val="toc 3"/>
    <w:basedOn w:val="1"/>
    <w:next w:val="1"/>
    <w:semiHidden/>
    <w:qFormat/>
    <w:uiPriority w:val="0"/>
    <w:pPr>
      <w:tabs>
        <w:tab w:val="right" w:leader="dot" w:pos="8296"/>
      </w:tabs>
      <w:spacing w:beforeLines="50"/>
      <w:ind w:left="840" w:leftChars="400"/>
    </w:pPr>
    <w:rPr>
      <w:rFonts w:ascii="宋体" w:hAnsi="宋体" w:cs="Arial"/>
      <w:b/>
      <w:bCs/>
      <w:sz w:val="24"/>
    </w:rPr>
  </w:style>
  <w:style w:type="paragraph" w:styleId="13">
    <w:name w:val="toc 8"/>
    <w:basedOn w:val="1"/>
    <w:next w:val="1"/>
    <w:semiHidden/>
    <w:qFormat/>
    <w:uiPriority w:val="0"/>
    <w:pPr>
      <w:ind w:left="2940" w:leftChars="1400"/>
    </w:pPr>
  </w:style>
  <w:style w:type="paragraph" w:styleId="14">
    <w:name w:val="Date"/>
    <w:basedOn w:val="1"/>
    <w:next w:val="1"/>
    <w:qFormat/>
    <w:uiPriority w:val="0"/>
    <w:rPr>
      <w:rFonts w:eastAsia="仿宋_GB2312"/>
      <w:sz w:val="28"/>
      <w:szCs w:val="20"/>
    </w:rPr>
  </w:style>
  <w:style w:type="paragraph" w:styleId="15">
    <w:name w:val="Balloon Text"/>
    <w:basedOn w:val="1"/>
    <w:semiHidden/>
    <w:uiPriority w:val="0"/>
    <w:rPr>
      <w:sz w:val="18"/>
      <w:szCs w:val="18"/>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pPr>
      <w:tabs>
        <w:tab w:val="right" w:leader="dot" w:pos="8296"/>
      </w:tabs>
    </w:pPr>
    <w:rPr>
      <w:rFonts w:ascii="黑体"/>
      <w:sz w:val="24"/>
    </w:rPr>
  </w:style>
  <w:style w:type="paragraph" w:styleId="19">
    <w:name w:val="toc 4"/>
    <w:basedOn w:val="1"/>
    <w:next w:val="1"/>
    <w:semiHidden/>
    <w:uiPriority w:val="0"/>
    <w:pPr>
      <w:ind w:left="1260" w:leftChars="600"/>
    </w:pPr>
  </w:style>
  <w:style w:type="paragraph" w:styleId="20">
    <w:name w:val="toc 6"/>
    <w:basedOn w:val="1"/>
    <w:next w:val="1"/>
    <w:semiHidden/>
    <w:uiPriority w:val="0"/>
    <w:pPr>
      <w:ind w:left="2100" w:leftChars="1000"/>
    </w:pPr>
  </w:style>
  <w:style w:type="paragraph" w:styleId="21">
    <w:name w:val="Body Text Indent 3"/>
    <w:basedOn w:val="1"/>
    <w:link w:val="37"/>
    <w:uiPriority w:val="0"/>
    <w:pPr>
      <w:spacing w:after="120"/>
      <w:ind w:left="420" w:leftChars="200"/>
    </w:pPr>
    <w:rPr>
      <w:sz w:val="16"/>
      <w:szCs w:val="16"/>
    </w:rPr>
  </w:style>
  <w:style w:type="paragraph" w:styleId="22">
    <w:name w:val="toc 2"/>
    <w:basedOn w:val="1"/>
    <w:next w:val="1"/>
    <w:uiPriority w:val="39"/>
    <w:pPr>
      <w:tabs>
        <w:tab w:val="right" w:leader="dot" w:pos="8296"/>
      </w:tabs>
      <w:spacing w:line="360" w:lineRule="auto"/>
      <w:ind w:left="420" w:leftChars="200"/>
    </w:pPr>
    <w:rPr>
      <w:rFonts w:cs="Arial"/>
      <w:sz w:val="24"/>
      <w:szCs w:val="28"/>
    </w:rPr>
  </w:style>
  <w:style w:type="paragraph" w:styleId="23">
    <w:name w:val="toc 9"/>
    <w:basedOn w:val="1"/>
    <w:next w:val="1"/>
    <w:semiHidden/>
    <w:uiPriority w:val="0"/>
    <w:pPr>
      <w:ind w:left="3360" w:leftChars="1600"/>
    </w:pPr>
  </w:style>
  <w:style w:type="paragraph" w:styleId="24">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styleId="26">
    <w:name w:val="page number"/>
    <w:basedOn w:val="25"/>
    <w:uiPriority w:val="0"/>
  </w:style>
  <w:style w:type="character" w:styleId="27">
    <w:name w:val="Hyperlink"/>
    <w:basedOn w:val="25"/>
    <w:uiPriority w:val="99"/>
    <w:rPr>
      <w:color w:val="0000FF"/>
      <w:u w:val="single"/>
    </w:rPr>
  </w:style>
  <w:style w:type="table" w:styleId="29">
    <w:name w:val="Table Grid"/>
    <w:basedOn w:val="28"/>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30">
    <w:name w:val="标题 1 Char"/>
    <w:basedOn w:val="25"/>
    <w:link w:val="2"/>
    <w:uiPriority w:val="0"/>
    <w:rPr>
      <w:rFonts w:eastAsia="宋体"/>
      <w:b/>
      <w:bCs/>
      <w:kern w:val="44"/>
      <w:sz w:val="44"/>
      <w:szCs w:val="44"/>
      <w:lang w:val="en-US" w:eastAsia="zh-CN" w:bidi="ar-SA"/>
    </w:rPr>
  </w:style>
  <w:style w:type="paragraph" w:customStyle="1" w:styleId="31">
    <w:name w:val="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szCs w:val="20"/>
    </w:rPr>
  </w:style>
  <w:style w:type="paragraph" w:customStyle="1" w:styleId="32">
    <w:name w:val="xl29"/>
    <w:basedOn w:val="1"/>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33">
    <w:name w:val="Char"/>
    <w:basedOn w:val="1"/>
    <w:uiPriority w:val="0"/>
    <w:rPr>
      <w:sz w:val="32"/>
      <w:szCs w:val="32"/>
    </w:rPr>
  </w:style>
  <w:style w:type="paragraph" w:customStyle="1" w:styleId="34">
    <w:name w:val="标题3"/>
    <w:basedOn w:val="4"/>
    <w:uiPriority w:val="0"/>
    <w:pPr>
      <w:adjustRightInd w:val="0"/>
      <w:snapToGrid w:val="0"/>
      <w:spacing w:beforeLines="50" w:afterLines="50" w:line="540" w:lineRule="exact"/>
      <w:ind w:firstLine="482" w:firstLineChars="200"/>
    </w:pPr>
    <w:rPr>
      <w:rFonts w:eastAsia="黑体"/>
      <w:color w:val="000000"/>
      <w:sz w:val="24"/>
    </w:rPr>
  </w:style>
  <w:style w:type="paragraph" w:customStyle="1" w:styleId="35">
    <w:name w:val="样式 标题 5 + 首行缩进:  2 字符 段前: 0.5 行 段后: 0.5 行"/>
    <w:basedOn w:val="5"/>
    <w:uiPriority w:val="0"/>
    <w:pPr>
      <w:spacing w:beforeLines="50" w:afterLines="50" w:line="374" w:lineRule="auto"/>
      <w:ind w:firstLine="482" w:firstLineChars="200"/>
    </w:pPr>
    <w:rPr>
      <w:rFonts w:ascii="Arial" w:hAnsi="Arial" w:cs="宋体"/>
      <w:sz w:val="24"/>
      <w:szCs w:val="20"/>
    </w:rPr>
  </w:style>
  <w:style w:type="paragraph" w:customStyle="1" w:styleId="36">
    <w:name w:val="List Paragraph"/>
    <w:basedOn w:val="1"/>
    <w:qFormat/>
    <w:uiPriority w:val="34"/>
    <w:pPr>
      <w:ind w:firstLine="420" w:firstLineChars="200"/>
    </w:pPr>
    <w:rPr>
      <w:rFonts w:eastAsia="仿宋_GB2312"/>
      <w:sz w:val="32"/>
    </w:rPr>
  </w:style>
  <w:style w:type="character" w:customStyle="1" w:styleId="37">
    <w:name w:val="正文文本缩进 3 Char"/>
    <w:basedOn w:val="25"/>
    <w:link w:val="21"/>
    <w:uiPriority w:val="0"/>
    <w:rPr>
      <w:kern w:val="2"/>
      <w:sz w:val="16"/>
      <w:szCs w:val="16"/>
    </w:rPr>
  </w:style>
  <w:style w:type="paragraph" w:customStyle="1" w:styleId="38">
    <w:name w:val="Char2 Char Char Char Char Char Char Char Char Char Char Char Char"/>
    <w:basedOn w:val="1"/>
    <w:qFormat/>
    <w:uiPriority w:val="0"/>
    <w:pPr>
      <w:autoSpaceDE w:val="0"/>
      <w:autoSpaceDN w:val="0"/>
      <w:adjustRightInd w:val="0"/>
      <w:snapToGrid w:val="0"/>
      <w:spacing w:before="50" w:after="50" w:line="360" w:lineRule="auto"/>
      <w:ind w:firstLine="560" w:firstLineChars="200"/>
    </w:pPr>
    <w:rPr>
      <w:rFonts w:eastAsia="仿宋_GB2312"/>
      <w:color w:val="000000"/>
      <w:sz w:val="24"/>
    </w:rPr>
  </w:style>
  <w:style w:type="paragraph" w:customStyle="1" w:styleId="39">
    <w:name w:val="HTML 预先格式化"/>
    <w:basedOn w:val="1"/>
    <w:next w:val="1"/>
    <w:uiPriority w:val="99"/>
    <w:pPr>
      <w:autoSpaceDE w:val="0"/>
      <w:autoSpaceDN w:val="0"/>
      <w:adjustRightInd w:val="0"/>
      <w:jc w:val="left"/>
    </w:pPr>
    <w:rPr>
      <w:rFonts w:ascii="..ì." w:eastAsia="..ì."/>
      <w:kern w:val="0"/>
      <w:sz w:val="24"/>
    </w:rPr>
  </w:style>
  <w:style w:type="paragraph" w:customStyle="1" w:styleId="40">
    <w:name w:val="样式 首行缩进:  0.85 厘米"/>
    <w:basedOn w:val="1"/>
    <w:uiPriority w:val="0"/>
    <w:pPr>
      <w:spacing w:line="360" w:lineRule="auto"/>
      <w:ind w:firstLine="482"/>
    </w:pPr>
    <w:rPr>
      <w:rFonts w:cs="宋体"/>
      <w:sz w:val="24"/>
      <w:szCs w:val="20"/>
    </w:rPr>
  </w:style>
  <w:style w:type="character" w:customStyle="1" w:styleId="41">
    <w:name w:val="标题 2 Char"/>
    <w:basedOn w:val="25"/>
    <w:link w:val="3"/>
    <w:uiPriority w:val="0"/>
    <w:rPr>
      <w:rFonts w:ascii="Arial" w:hAnsi="Arial" w:eastAsia="黑体"/>
      <w:b/>
      <w:bCs/>
      <w:kern w:val="2"/>
      <w:sz w:val="32"/>
      <w:szCs w:val="32"/>
    </w:rPr>
  </w:style>
  <w:style w:type="character" w:customStyle="1" w:styleId="42">
    <w:name w:val="Text Char Char"/>
    <w:basedOn w:val="25"/>
    <w:link w:val="43"/>
    <w:uiPriority w:val="0"/>
    <w:rPr>
      <w:rFonts w:eastAsia="仿宋_GB2312"/>
      <w:kern w:val="2"/>
      <w:sz w:val="28"/>
      <w:szCs w:val="28"/>
    </w:rPr>
  </w:style>
  <w:style w:type="paragraph" w:customStyle="1" w:styleId="43">
    <w:name w:val="Text"/>
    <w:basedOn w:val="1"/>
    <w:link w:val="42"/>
    <w:uiPriority w:val="0"/>
    <w:pPr>
      <w:spacing w:line="360" w:lineRule="auto"/>
      <w:ind w:firstLine="200" w:firstLineChars="200"/>
    </w:pPr>
    <w:rPr>
      <w:rFonts w:eastAsia="仿宋_GB2312"/>
      <w:sz w:val="28"/>
      <w:szCs w:val="28"/>
    </w:rPr>
  </w:style>
  <w:style w:type="character" w:customStyle="1" w:styleId="44">
    <w:name w:val="标题 2 Char1"/>
    <w:basedOn w:val="25"/>
    <w:uiPriority w:val="0"/>
    <w:rPr>
      <w:rFonts w:ascii="Arial" w:hAnsi="Arial" w:eastAsia="黑体"/>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28.jpeg"/><Relationship Id="rId41" Type="http://schemas.openxmlformats.org/officeDocument/2006/relationships/image" Target="media/image27.jpeg"/><Relationship Id="rId40" Type="http://schemas.openxmlformats.org/officeDocument/2006/relationships/image" Target="media/image26.jpeg"/><Relationship Id="rId4" Type="http://schemas.openxmlformats.org/officeDocument/2006/relationships/header" Target="header2.xml"/><Relationship Id="rId39" Type="http://schemas.openxmlformats.org/officeDocument/2006/relationships/image" Target="media/image25.jpeg"/><Relationship Id="rId38" Type="http://schemas.openxmlformats.org/officeDocument/2006/relationships/image" Target="media/image24.jpeg"/><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header" Target="header1.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80"/>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81"/>
    <customShpInfo spid="_x0000_s1062"/>
    <customShpInfo spid="_x0000_s1061"/>
    <customShpInfo spid="_x0000_s1063"/>
    <customShpInfo spid="_x0000_s1064"/>
    <customShpInfo spid="_x0000_s106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101</Pages>
  <Words>5953</Words>
  <Characters>33934</Characters>
  <Lines>282</Lines>
  <Paragraphs>79</Paragraphs>
  <ScaleCrop>false</ScaleCrop>
  <LinksUpToDate>false</LinksUpToDate>
  <CharactersWithSpaces>39808</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2016-10-17T07:37:00Z</dcterms:created>
  <dc:creator>AutoBVT</dc:creator>
  <cp:lastModifiedBy>Administrator</cp:lastModifiedBy>
  <cp:lastPrinted>2016-10-30T03:59:53Z</cp:lastPrinted>
  <dcterms:modified xsi:type="dcterms:W3CDTF">2016-10-30T04:00:01Z</dcterms:modified>
  <dc:title>第一章 总论</dc:title>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