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6DFBC">
      <w:pPr>
        <w:spacing w:before="78" w:line="219" w:lineRule="auto"/>
        <w:rPr>
          <w:rFonts w:ascii="宋体" w:hAnsi="宋体" w:eastAsia="宋体" w:cs="宋体"/>
          <w:sz w:val="24"/>
          <w:szCs w:val="24"/>
          <w:highlight w:val="none"/>
        </w:rPr>
      </w:pPr>
      <w:r>
        <w:rPr>
          <w:rFonts w:ascii="宋体" w:hAnsi="宋体" w:eastAsia="宋体" w:cs="宋体"/>
          <w:spacing w:val="-4"/>
          <w:sz w:val="24"/>
          <w:szCs w:val="24"/>
          <w:highlight w:val="none"/>
        </w:rPr>
        <w:t>附件</w:t>
      </w:r>
      <w:r>
        <w:rPr>
          <w:rFonts w:ascii="宋体" w:hAnsi="宋体" w:eastAsia="宋体" w:cs="宋体"/>
          <w:spacing w:val="-22"/>
          <w:sz w:val="24"/>
          <w:szCs w:val="24"/>
          <w:highlight w:val="none"/>
        </w:rPr>
        <w:t xml:space="preserve"> </w:t>
      </w:r>
      <w:r>
        <w:rPr>
          <w:rFonts w:ascii="宋体" w:hAnsi="宋体" w:eastAsia="宋体" w:cs="宋体"/>
          <w:spacing w:val="-4"/>
          <w:sz w:val="24"/>
          <w:szCs w:val="24"/>
          <w:highlight w:val="none"/>
        </w:rPr>
        <w:t>1：标段划分及主要工程项目情况</w:t>
      </w:r>
    </w:p>
    <w:p w14:paraId="28911264">
      <w:pPr>
        <w:spacing w:before="159" w:line="225" w:lineRule="auto"/>
        <w:ind w:left="2571"/>
        <w:rPr>
          <w:rFonts w:ascii="宋体" w:hAnsi="宋体" w:eastAsia="宋体" w:cs="宋体"/>
          <w:b/>
          <w:bCs/>
          <w:spacing w:val="6"/>
          <w:sz w:val="31"/>
          <w:szCs w:val="31"/>
          <w:highlight w:val="none"/>
        </w:rPr>
      </w:pPr>
    </w:p>
    <w:p w14:paraId="6AAADE85">
      <w:pPr>
        <w:spacing w:before="159" w:line="225" w:lineRule="auto"/>
        <w:ind w:left="2571"/>
        <w:rPr>
          <w:rFonts w:ascii="宋体" w:hAnsi="宋体" w:eastAsia="宋体" w:cs="宋体"/>
          <w:sz w:val="31"/>
          <w:szCs w:val="31"/>
          <w:highlight w:val="none"/>
        </w:rPr>
      </w:pPr>
      <w:r>
        <w:rPr>
          <w:rFonts w:ascii="宋体" w:hAnsi="宋体" w:eastAsia="宋体" w:cs="宋体"/>
          <w:b/>
          <w:bCs/>
          <w:spacing w:val="6"/>
          <w:sz w:val="31"/>
          <w:szCs w:val="31"/>
          <w:highlight w:val="none"/>
        </w:rPr>
        <w:t>标段划分及主要工程项目情况</w:t>
      </w:r>
    </w:p>
    <w:p w14:paraId="329ECF19">
      <w:pPr>
        <w:spacing w:before="262" w:line="219" w:lineRule="auto"/>
        <w:ind w:left="602"/>
        <w:rPr>
          <w:rFonts w:ascii="宋体" w:hAnsi="宋体" w:eastAsia="宋体" w:cs="宋体"/>
          <w:sz w:val="24"/>
          <w:szCs w:val="24"/>
          <w:highlight w:val="none"/>
        </w:rPr>
      </w:pPr>
      <w:r>
        <w:rPr>
          <w:rFonts w:ascii="宋体" w:hAnsi="宋体" w:eastAsia="宋体" w:cs="宋体"/>
          <w:spacing w:val="-2"/>
          <w:sz w:val="24"/>
          <w:szCs w:val="24"/>
          <w:highlight w:val="none"/>
        </w:rPr>
        <w:t>本次招标共分</w:t>
      </w:r>
      <w:r>
        <w:rPr>
          <w:rFonts w:ascii="宋体" w:hAnsi="宋体" w:eastAsia="宋体" w:cs="宋体"/>
          <w:spacing w:val="-2"/>
          <w:sz w:val="24"/>
          <w:szCs w:val="24"/>
          <w:highlight w:val="none"/>
          <w:u w:val="single" w:color="auto"/>
        </w:rPr>
        <w:t xml:space="preserve">  </w:t>
      </w:r>
      <w:r>
        <w:rPr>
          <w:rFonts w:hint="eastAsia" w:ascii="宋体" w:hAnsi="宋体" w:eastAsia="宋体" w:cs="宋体"/>
          <w:spacing w:val="-2"/>
          <w:sz w:val="24"/>
          <w:szCs w:val="24"/>
          <w:highlight w:val="none"/>
          <w:u w:val="single" w:color="auto"/>
          <w:lang w:val="en-US" w:eastAsia="zh-CN"/>
        </w:rPr>
        <w:t>1</w:t>
      </w:r>
      <w:r>
        <w:rPr>
          <w:rFonts w:ascii="宋体" w:hAnsi="宋体" w:eastAsia="宋体" w:cs="宋体"/>
          <w:spacing w:val="-2"/>
          <w:sz w:val="24"/>
          <w:szCs w:val="24"/>
          <w:highlight w:val="none"/>
          <w:u w:val="single" w:color="auto"/>
        </w:rPr>
        <w:t xml:space="preserve"> </w:t>
      </w:r>
      <w:r>
        <w:rPr>
          <w:rFonts w:ascii="宋体" w:hAnsi="宋体" w:eastAsia="宋体" w:cs="宋体"/>
          <w:spacing w:val="-103"/>
          <w:sz w:val="24"/>
          <w:szCs w:val="24"/>
          <w:highlight w:val="none"/>
        </w:rPr>
        <w:t xml:space="preserve"> </w:t>
      </w:r>
      <w:r>
        <w:rPr>
          <w:rFonts w:ascii="宋体" w:hAnsi="宋体" w:eastAsia="宋体" w:cs="宋体"/>
          <w:spacing w:val="-2"/>
          <w:sz w:val="24"/>
          <w:szCs w:val="24"/>
          <w:highlight w:val="none"/>
        </w:rPr>
        <w:t>个标类</w:t>
      </w:r>
      <w:r>
        <w:rPr>
          <w:rFonts w:ascii="宋体" w:hAnsi="宋体" w:eastAsia="宋体" w:cs="宋体"/>
          <w:spacing w:val="-2"/>
          <w:sz w:val="24"/>
          <w:szCs w:val="24"/>
          <w:highlight w:val="none"/>
          <w:u w:val="single" w:color="auto"/>
        </w:rPr>
        <w:t xml:space="preserve">  </w:t>
      </w:r>
      <w:r>
        <w:rPr>
          <w:rFonts w:hint="eastAsia" w:ascii="宋体" w:hAnsi="宋体" w:eastAsia="宋体" w:cs="宋体"/>
          <w:spacing w:val="-2"/>
          <w:sz w:val="24"/>
          <w:szCs w:val="24"/>
          <w:highlight w:val="none"/>
          <w:u w:val="single" w:color="auto"/>
          <w:lang w:val="en-US" w:eastAsia="zh-CN"/>
        </w:rPr>
        <w:t>1</w:t>
      </w:r>
      <w:r>
        <w:rPr>
          <w:rFonts w:ascii="宋体" w:hAnsi="宋体" w:eastAsia="宋体" w:cs="宋体"/>
          <w:spacing w:val="-2"/>
          <w:sz w:val="24"/>
          <w:szCs w:val="24"/>
          <w:highlight w:val="none"/>
          <w:u w:val="single" w:color="auto"/>
        </w:rPr>
        <w:t xml:space="preserve"> </w:t>
      </w:r>
      <w:r>
        <w:rPr>
          <w:rFonts w:ascii="宋体" w:hAnsi="宋体" w:eastAsia="宋体" w:cs="宋体"/>
          <w:spacing w:val="-111"/>
          <w:sz w:val="24"/>
          <w:szCs w:val="24"/>
          <w:highlight w:val="none"/>
        </w:rPr>
        <w:t xml:space="preserve"> </w:t>
      </w:r>
      <w:r>
        <w:rPr>
          <w:rFonts w:ascii="宋体" w:hAnsi="宋体" w:eastAsia="宋体" w:cs="宋体"/>
          <w:spacing w:val="-2"/>
          <w:sz w:val="24"/>
          <w:szCs w:val="24"/>
          <w:highlight w:val="none"/>
        </w:rPr>
        <w:t>个标段。</w:t>
      </w:r>
    </w:p>
    <w:p w14:paraId="0B2B5B71">
      <w:pPr>
        <w:spacing w:line="147" w:lineRule="exact"/>
        <w:rPr>
          <w:highlight w:val="none"/>
        </w:rPr>
      </w:pPr>
    </w:p>
    <w:tbl>
      <w:tblPr>
        <w:tblStyle w:val="6"/>
        <w:tblW w:w="915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7"/>
        <w:gridCol w:w="1436"/>
        <w:gridCol w:w="1652"/>
        <w:gridCol w:w="2016"/>
        <w:gridCol w:w="2312"/>
      </w:tblGrid>
      <w:tr w14:paraId="2A653A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7" w:type="dxa"/>
            <w:vAlign w:val="top"/>
          </w:tcPr>
          <w:p w14:paraId="6D53157F">
            <w:pPr>
              <w:pStyle w:val="5"/>
              <w:spacing w:before="126" w:line="228" w:lineRule="auto"/>
              <w:ind w:left="571"/>
              <w:rPr>
                <w:highlight w:val="none"/>
              </w:rPr>
            </w:pPr>
            <w:r>
              <w:rPr>
                <w:spacing w:val="4"/>
                <w:highlight w:val="none"/>
              </w:rPr>
              <w:t>标段类别</w:t>
            </w:r>
          </w:p>
        </w:tc>
        <w:tc>
          <w:tcPr>
            <w:tcW w:w="1436" w:type="dxa"/>
            <w:vAlign w:val="top"/>
          </w:tcPr>
          <w:p w14:paraId="7C62ABDE">
            <w:pPr>
              <w:pStyle w:val="5"/>
              <w:spacing w:before="127" w:line="228" w:lineRule="auto"/>
              <w:ind w:left="404"/>
              <w:rPr>
                <w:highlight w:val="none"/>
              </w:rPr>
            </w:pPr>
            <w:r>
              <w:rPr>
                <w:spacing w:val="4"/>
                <w:highlight w:val="none"/>
              </w:rPr>
              <w:t>标段</w:t>
            </w:r>
          </w:p>
        </w:tc>
        <w:tc>
          <w:tcPr>
            <w:tcW w:w="1652" w:type="dxa"/>
            <w:vAlign w:val="top"/>
          </w:tcPr>
          <w:p w14:paraId="6B16376C">
            <w:pPr>
              <w:pStyle w:val="5"/>
              <w:spacing w:before="127" w:line="228" w:lineRule="auto"/>
              <w:ind w:left="202"/>
              <w:rPr>
                <w:highlight w:val="none"/>
              </w:rPr>
            </w:pPr>
            <w:r>
              <w:rPr>
                <w:spacing w:val="7"/>
                <w:highlight w:val="none"/>
              </w:rPr>
              <w:t>主要工程项目</w:t>
            </w:r>
          </w:p>
        </w:tc>
        <w:tc>
          <w:tcPr>
            <w:tcW w:w="2016" w:type="dxa"/>
            <w:vAlign w:val="top"/>
          </w:tcPr>
          <w:p w14:paraId="76EB8F7A">
            <w:pPr>
              <w:pStyle w:val="5"/>
              <w:spacing w:before="127" w:line="228" w:lineRule="auto"/>
              <w:jc w:val="center"/>
              <w:rPr>
                <w:highlight w:val="none"/>
              </w:rPr>
            </w:pPr>
            <w:bookmarkStart w:id="0" w:name="_GoBack"/>
            <w:bookmarkEnd w:id="0"/>
            <w:r>
              <w:rPr>
                <w:spacing w:val="5"/>
                <w:highlight w:val="none"/>
              </w:rPr>
              <w:t>对投标人资质要求</w:t>
            </w:r>
          </w:p>
        </w:tc>
        <w:tc>
          <w:tcPr>
            <w:tcW w:w="2312" w:type="dxa"/>
            <w:vAlign w:val="top"/>
          </w:tcPr>
          <w:p w14:paraId="40A8A4B8">
            <w:pPr>
              <w:pStyle w:val="5"/>
              <w:spacing w:before="127" w:line="229" w:lineRule="auto"/>
              <w:ind w:left="719"/>
              <w:rPr>
                <w:highlight w:val="none"/>
              </w:rPr>
            </w:pPr>
            <w:r>
              <w:rPr>
                <w:spacing w:val="-1"/>
                <w:highlight w:val="none"/>
              </w:rPr>
              <w:t>备</w:t>
            </w:r>
            <w:r>
              <w:rPr>
                <w:spacing w:val="2"/>
                <w:highlight w:val="none"/>
              </w:rPr>
              <w:t xml:space="preserve">    </w:t>
            </w:r>
            <w:r>
              <w:rPr>
                <w:spacing w:val="-1"/>
                <w:highlight w:val="none"/>
              </w:rPr>
              <w:t>注</w:t>
            </w:r>
          </w:p>
        </w:tc>
      </w:tr>
      <w:tr w14:paraId="6447C8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737" w:type="dxa"/>
            <w:vAlign w:val="top"/>
          </w:tcPr>
          <w:p w14:paraId="2BB43758">
            <w:pPr>
              <w:spacing w:line="297" w:lineRule="auto"/>
              <w:rPr>
                <w:rFonts w:ascii="Arial"/>
                <w:sz w:val="21"/>
                <w:highlight w:val="none"/>
              </w:rPr>
            </w:pPr>
          </w:p>
          <w:p w14:paraId="00C6BE97">
            <w:pPr>
              <w:pStyle w:val="5"/>
              <w:spacing w:before="65" w:line="228" w:lineRule="auto"/>
              <w:ind w:left="180"/>
              <w:rPr>
                <w:highlight w:val="none"/>
              </w:rPr>
            </w:pPr>
            <w:r>
              <w:rPr>
                <w:spacing w:val="4"/>
                <w:highlight w:val="none"/>
              </w:rPr>
              <w:t>A</w:t>
            </w:r>
            <w:r>
              <w:rPr>
                <w:spacing w:val="-48"/>
                <w:highlight w:val="none"/>
              </w:rPr>
              <w:t xml:space="preserve"> </w:t>
            </w:r>
            <w:r>
              <w:rPr>
                <w:spacing w:val="4"/>
                <w:highlight w:val="none"/>
              </w:rPr>
              <w:t>类（港口工程）</w:t>
            </w:r>
          </w:p>
        </w:tc>
        <w:tc>
          <w:tcPr>
            <w:tcW w:w="3088" w:type="dxa"/>
            <w:gridSpan w:val="2"/>
            <w:vAlign w:val="top"/>
          </w:tcPr>
          <w:p w14:paraId="115011CC">
            <w:pPr>
              <w:rPr>
                <w:rFonts w:hint="eastAsia" w:ascii="宋体" w:hAnsi="宋体" w:eastAsia="宋体" w:cs="宋体"/>
                <w:sz w:val="20"/>
                <w:szCs w:val="20"/>
                <w:highlight w:val="none"/>
              </w:rPr>
            </w:pPr>
            <w:r>
              <w:rPr>
                <w:rFonts w:hint="eastAsia" w:ascii="宋体" w:hAnsi="宋体" w:eastAsia="宋体" w:cs="宋体"/>
                <w:sz w:val="20"/>
                <w:szCs w:val="20"/>
                <w:highlight w:val="none"/>
              </w:rPr>
              <w:t>建设地点：汕头市潮阳区海门镇西南门深水区内的汕头港海门港区通用散货作业区。</w:t>
            </w:r>
          </w:p>
          <w:p w14:paraId="75757023">
            <w:pPr>
              <w:rPr>
                <w:rFonts w:hint="eastAsia" w:ascii="宋体" w:hAnsi="宋体" w:eastAsia="宋体" w:cs="宋体"/>
                <w:sz w:val="20"/>
                <w:szCs w:val="20"/>
                <w:highlight w:val="none"/>
              </w:rPr>
            </w:pPr>
            <w:r>
              <w:rPr>
                <w:rFonts w:hint="eastAsia" w:ascii="宋体" w:hAnsi="宋体" w:eastAsia="宋体" w:cs="宋体"/>
                <w:sz w:val="20"/>
                <w:szCs w:val="20"/>
                <w:highlight w:val="none"/>
              </w:rPr>
              <w:t>建设规模：本项目新建1个7万吨级煤码头泊位（兼靠2艘5000吨级散货船），长度304米。对受影响的已建2个工作船泊位（长度92米）进行优化布置，保持原泊位，在两端分别增设防撞设施。使用港口岸线388米，码头设计年通过能力煤炭458万吨，粉煤灰28万吨，共486万吨。</w:t>
            </w:r>
          </w:p>
          <w:p w14:paraId="018AE1FA">
            <w:pPr>
              <w:rPr>
                <w:rFonts w:ascii="Arial"/>
                <w:sz w:val="21"/>
                <w:highlight w:val="none"/>
              </w:rPr>
            </w:pPr>
            <w:r>
              <w:rPr>
                <w:rFonts w:hint="eastAsia" w:ascii="宋体" w:hAnsi="宋体" w:eastAsia="宋体" w:cs="宋体"/>
                <w:sz w:val="20"/>
                <w:szCs w:val="20"/>
                <w:highlight w:val="none"/>
              </w:rPr>
              <w:t>招标范围：华电汕头电厂2×1000MW燃煤发电扩建项目配套码头工程施工，主要包括7万吨级煤码头泊位（兼靠2艘5000吨级散货船）、工作船泊位（优化布置）、港池与航道、生产与辅助建筑物、堆场道路以及供电照明、建筑电气、给排水、暖通、消防、环保等配套设施的施工，包括为实施以上工程所必须的临时工程的施工及保修期的缺陷修复。详见技术规范书。</w:t>
            </w:r>
          </w:p>
        </w:tc>
        <w:tc>
          <w:tcPr>
            <w:tcW w:w="2016" w:type="dxa"/>
            <w:vAlign w:val="top"/>
          </w:tcPr>
          <w:p w14:paraId="4683DB95">
            <w:pPr>
              <w:spacing w:line="297" w:lineRule="auto"/>
              <w:rPr>
                <w:rFonts w:ascii="Arial"/>
                <w:sz w:val="21"/>
                <w:highlight w:val="none"/>
              </w:rPr>
            </w:pPr>
          </w:p>
          <w:p w14:paraId="429DE8B9">
            <w:pPr>
              <w:pStyle w:val="5"/>
              <w:spacing w:before="65" w:line="227" w:lineRule="auto"/>
              <w:jc w:val="center"/>
              <w:rPr>
                <w:highlight w:val="none"/>
              </w:rPr>
            </w:pPr>
            <w:r>
              <w:rPr>
                <w:spacing w:val="6"/>
                <w:highlight w:val="none"/>
              </w:rPr>
              <w:t>资格审查条件附录</w:t>
            </w:r>
            <w:r>
              <w:rPr>
                <w:spacing w:val="-41"/>
                <w:highlight w:val="none"/>
              </w:rPr>
              <w:t xml:space="preserve"> </w:t>
            </w:r>
            <w:r>
              <w:rPr>
                <w:spacing w:val="-75"/>
                <w:highlight w:val="none"/>
                <w:u w:val="single" w:color="auto"/>
              </w:rPr>
              <w:t xml:space="preserve"> </w:t>
            </w:r>
            <w:r>
              <w:rPr>
                <w:spacing w:val="6"/>
                <w:highlight w:val="none"/>
                <w:u w:val="single" w:color="auto"/>
              </w:rPr>
              <w:t>1</w:t>
            </w:r>
          </w:p>
        </w:tc>
        <w:tc>
          <w:tcPr>
            <w:tcW w:w="2312" w:type="dxa"/>
            <w:vAlign w:val="top"/>
          </w:tcPr>
          <w:p w14:paraId="4320BF64">
            <w:pPr>
              <w:pStyle w:val="5"/>
              <w:spacing w:before="93" w:line="227" w:lineRule="auto"/>
              <w:ind w:left="214"/>
              <w:rPr>
                <w:highlight w:val="none"/>
              </w:rPr>
            </w:pPr>
            <w:r>
              <w:rPr>
                <w:spacing w:val="6"/>
                <w:highlight w:val="none"/>
              </w:rPr>
              <w:t>资格审查条件附录</w:t>
            </w:r>
            <w:r>
              <w:rPr>
                <w:spacing w:val="-40"/>
                <w:highlight w:val="none"/>
              </w:rPr>
              <w:t xml:space="preserve"> </w:t>
            </w:r>
            <w:r>
              <w:rPr>
                <w:spacing w:val="-76"/>
                <w:highlight w:val="none"/>
                <w:u w:val="single" w:color="auto"/>
              </w:rPr>
              <w:t xml:space="preserve"> </w:t>
            </w:r>
            <w:r>
              <w:rPr>
                <w:spacing w:val="6"/>
                <w:highlight w:val="none"/>
                <w:u w:val="single" w:color="auto"/>
              </w:rPr>
              <w:t>1</w:t>
            </w:r>
          </w:p>
          <w:p w14:paraId="4032FE10">
            <w:pPr>
              <w:pStyle w:val="5"/>
              <w:spacing w:before="25" w:line="227" w:lineRule="auto"/>
              <w:ind w:left="180"/>
              <w:rPr>
                <w:highlight w:val="none"/>
              </w:rPr>
            </w:pPr>
            <w:r>
              <w:rPr>
                <w:spacing w:val="5"/>
                <w:highlight w:val="none"/>
              </w:rPr>
              <w:t>至附录</w:t>
            </w:r>
            <w:r>
              <w:rPr>
                <w:spacing w:val="-32"/>
                <w:highlight w:val="none"/>
              </w:rPr>
              <w:t xml:space="preserve"> </w:t>
            </w:r>
            <w:r>
              <w:rPr>
                <w:spacing w:val="5"/>
                <w:highlight w:val="none"/>
                <w:u w:val="single" w:color="auto"/>
              </w:rPr>
              <w:t>7</w:t>
            </w:r>
            <w:r>
              <w:rPr>
                <w:spacing w:val="-35"/>
                <w:highlight w:val="none"/>
                <w:u w:val="single" w:color="auto"/>
              </w:rPr>
              <w:t xml:space="preserve"> </w:t>
            </w:r>
            <w:r>
              <w:rPr>
                <w:spacing w:val="5"/>
                <w:highlight w:val="none"/>
              </w:rPr>
              <w:t>详见投标人</w:t>
            </w:r>
          </w:p>
          <w:p w14:paraId="25898B46">
            <w:pPr>
              <w:pStyle w:val="5"/>
              <w:spacing w:before="27" w:line="227" w:lineRule="auto"/>
              <w:ind w:left="708"/>
              <w:rPr>
                <w:highlight w:val="none"/>
              </w:rPr>
            </w:pPr>
            <w:r>
              <w:rPr>
                <w:spacing w:val="6"/>
                <w:highlight w:val="none"/>
              </w:rPr>
              <w:t>须知附录</w:t>
            </w:r>
          </w:p>
        </w:tc>
      </w:tr>
    </w:tbl>
    <w:p w14:paraId="4BEB4C28">
      <w:pPr>
        <w:spacing w:before="32" w:line="228" w:lineRule="auto"/>
        <w:ind w:left="119"/>
        <w:rPr>
          <w:rFonts w:ascii="宋体" w:hAnsi="宋体" w:eastAsia="宋体" w:cs="宋体"/>
          <w:sz w:val="20"/>
          <w:szCs w:val="20"/>
          <w:highlight w:val="none"/>
        </w:rPr>
      </w:pPr>
      <w:r>
        <w:rPr>
          <w:rFonts w:ascii="宋体" w:hAnsi="宋体" w:eastAsia="宋体" w:cs="宋体"/>
          <w:spacing w:val="9"/>
          <w:sz w:val="20"/>
          <w:szCs w:val="20"/>
          <w:highlight w:val="none"/>
        </w:rPr>
        <w:t>注：具体工程数量以招标文件工程量清单为准。</w:t>
      </w:r>
    </w:p>
    <w:p w14:paraId="057B80D6">
      <w:pPr>
        <w:spacing w:line="245" w:lineRule="auto"/>
        <w:rPr>
          <w:rFonts w:ascii="Arial"/>
          <w:sz w:val="21"/>
          <w:highlight w:val="none"/>
        </w:rPr>
      </w:pPr>
    </w:p>
    <w:p w14:paraId="556B1534">
      <w:pPr>
        <w:spacing w:line="245" w:lineRule="auto"/>
        <w:rPr>
          <w:rFonts w:ascii="Arial"/>
          <w:sz w:val="21"/>
          <w:highlight w:val="none"/>
        </w:rPr>
      </w:pPr>
    </w:p>
    <w:p w14:paraId="74D92528">
      <w:pPr>
        <w:spacing w:line="245" w:lineRule="auto"/>
        <w:rPr>
          <w:rFonts w:ascii="Arial"/>
          <w:sz w:val="21"/>
          <w:highlight w:val="none"/>
        </w:rPr>
      </w:pPr>
    </w:p>
    <w:p w14:paraId="0154E3A7">
      <w:pPr>
        <w:spacing w:line="245" w:lineRule="auto"/>
        <w:rPr>
          <w:rFonts w:ascii="Arial"/>
          <w:sz w:val="21"/>
          <w:highlight w:val="none"/>
        </w:rPr>
      </w:pPr>
    </w:p>
    <w:p w14:paraId="31CB57E9">
      <w:pPr>
        <w:spacing w:line="245" w:lineRule="auto"/>
        <w:rPr>
          <w:rFonts w:ascii="Arial"/>
          <w:sz w:val="21"/>
          <w:highlight w:val="none"/>
        </w:rPr>
      </w:pPr>
    </w:p>
    <w:p w14:paraId="2080011C">
      <w:pPr>
        <w:spacing w:line="245" w:lineRule="auto"/>
        <w:rPr>
          <w:rFonts w:ascii="Arial"/>
          <w:sz w:val="21"/>
          <w:highlight w:val="none"/>
        </w:rPr>
      </w:pPr>
    </w:p>
    <w:p w14:paraId="5F3599B9">
      <w:pPr>
        <w:spacing w:line="245" w:lineRule="auto"/>
        <w:rPr>
          <w:rFonts w:ascii="Arial"/>
          <w:sz w:val="21"/>
          <w:highlight w:val="none"/>
        </w:rPr>
      </w:pPr>
    </w:p>
    <w:p w14:paraId="1BE7C6B2">
      <w:pPr>
        <w:spacing w:line="245" w:lineRule="auto"/>
        <w:rPr>
          <w:rFonts w:ascii="Arial"/>
          <w:sz w:val="21"/>
          <w:highlight w:val="none"/>
        </w:rPr>
      </w:pPr>
    </w:p>
    <w:p w14:paraId="5E5FCE24">
      <w:pPr>
        <w:spacing w:line="245" w:lineRule="auto"/>
        <w:rPr>
          <w:rFonts w:ascii="Arial"/>
          <w:sz w:val="21"/>
          <w:highlight w:val="none"/>
        </w:rPr>
      </w:pPr>
    </w:p>
    <w:p w14:paraId="448B4076">
      <w:pPr>
        <w:spacing w:line="245" w:lineRule="auto"/>
        <w:rPr>
          <w:rFonts w:ascii="Arial"/>
          <w:sz w:val="21"/>
          <w:highlight w:val="none"/>
        </w:rPr>
      </w:pPr>
    </w:p>
    <w:p w14:paraId="2ACB1493">
      <w:pPr>
        <w:spacing w:line="245" w:lineRule="auto"/>
        <w:rPr>
          <w:rFonts w:ascii="Arial"/>
          <w:sz w:val="21"/>
          <w:highlight w:val="none"/>
        </w:rPr>
      </w:pPr>
    </w:p>
    <w:p w14:paraId="3B21D5C3">
      <w:pPr>
        <w:spacing w:line="245" w:lineRule="auto"/>
        <w:rPr>
          <w:rFonts w:ascii="Arial"/>
          <w:sz w:val="21"/>
          <w:highlight w:val="none"/>
        </w:rPr>
      </w:pPr>
    </w:p>
    <w:p w14:paraId="4E7FB0A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27CB"/>
    <w:rsid w:val="1D862F93"/>
    <w:rsid w:val="6CF8178C"/>
    <w:rsid w:val="6E963C85"/>
    <w:rsid w:val="6F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Table Text"/>
    <w:basedOn w:val="1"/>
    <w:semiHidden/>
    <w:qFormat/>
    <w:uiPriority w:val="0"/>
    <w:rPr>
      <w:rFonts w:ascii="宋体" w:hAnsi="宋体" w:eastAsia="宋体" w:cs="宋体"/>
      <w:sz w:val="20"/>
      <w:szCs w:val="20"/>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2026-02-02T07:06:22Z</dcterms:created>
  <dc:creator>Lenovo</dc:creator>
  <cp:lastModifiedBy>王小森森</cp:lastModifiedBy>
  <dcterms:modified xsi:type="dcterms:W3CDTF">2026-02-02T07:12:19Z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eyJoZGlkIjoiYjM3Njc2NGI1NmRlZjRiMDFkOTkxODVkYjRmMTdlMzkiLCJ1c2VySWQiOiIyMTcwMDgyMjQifQ==</vt:lpwstr>
  </property>
  <property fmtid="{D5CDD505-2E9C-101B-9397-08002B2CF9AE}" pid="4" name="ICV">
    <vt:lpwstr>71D6F32D1C7C4170A75F05F29B51B03E_12</vt:lpwstr>
  </property>
</Properties>
</file>