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BE235">
      <w:pPr>
        <w:keepNext w:val="0"/>
        <w:keepLines w:val="0"/>
        <w:pageBreakBefore w:val="0"/>
        <w:widowControl w:val="0"/>
        <w:numPr>
          <w:numId w:val="0"/>
        </w:numPr>
        <w:shd w:val="clear" w:color="auto" w:fill="auto"/>
        <w:kinsoku/>
        <w:wordWrap/>
        <w:overflowPunct/>
        <w:topLinePunct w:val="0"/>
        <w:autoSpaceDE/>
        <w:autoSpaceDN/>
        <w:bidi w:val="0"/>
        <w:adjustRightInd w:val="0"/>
        <w:snapToGrid/>
        <w:spacing w:line="360" w:lineRule="auto"/>
        <w:jc w:val="center"/>
        <w:textAlignment w:val="baseline"/>
        <w:rPr>
          <w:rFonts w:hint="eastAsia" w:ascii="宋体" w:hAnsi="宋体"/>
          <w:b/>
          <w:bCs/>
          <w:color w:val="000000"/>
          <w:sz w:val="32"/>
          <w:szCs w:val="32"/>
          <w:highlight w:val="none"/>
        </w:rPr>
      </w:pPr>
      <w:bookmarkStart w:id="4" w:name="_GoBack"/>
      <w:bookmarkEnd w:id="4"/>
      <w:bookmarkStart w:id="0" w:name="_Toc390934589"/>
      <w:bookmarkStart w:id="1" w:name="_Toc472665686"/>
      <w:bookmarkStart w:id="2" w:name="_Toc423529240"/>
      <w:bookmarkStart w:id="3" w:name="_Toc10111"/>
      <w:r>
        <w:rPr>
          <w:rFonts w:hint="eastAsia" w:ascii="宋体" w:hAnsi="宋体"/>
          <w:b/>
          <w:bCs/>
          <w:color w:val="000000"/>
          <w:sz w:val="32"/>
          <w:szCs w:val="32"/>
          <w:highlight w:val="none"/>
        </w:rPr>
        <w:t>评标办法</w:t>
      </w:r>
    </w:p>
    <w:p w14:paraId="4A2F93F7">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jc w:val="center"/>
        <w:textAlignment w:val="baseline"/>
        <w:rPr>
          <w:rFonts w:hint="eastAsia" w:ascii="宋体" w:hAnsi="宋体"/>
          <w:b/>
          <w:bCs/>
          <w:color w:val="000000"/>
          <w:sz w:val="32"/>
          <w:szCs w:val="32"/>
          <w:highlight w:val="none"/>
        </w:rPr>
      </w:pPr>
      <w:r>
        <w:rPr>
          <w:rFonts w:hint="eastAsia" w:ascii="宋体" w:hAnsi="宋体"/>
          <w:b/>
          <w:bCs/>
          <w:color w:val="000000"/>
          <w:sz w:val="32"/>
          <w:szCs w:val="32"/>
          <w:highlight w:val="none"/>
          <w:lang w:val="en-US" w:eastAsia="zh-CN"/>
        </w:rPr>
        <w:t>（双信封的技术评分最低标价法）</w:t>
      </w:r>
    </w:p>
    <w:p w14:paraId="44A963C7">
      <w:pPr>
        <w:keepNext w:val="0"/>
        <w:keepLines w:val="0"/>
        <w:pageBreakBefore w:val="0"/>
        <w:widowControl w:val="0"/>
        <w:shd w:val="clear" w:color="auto" w:fill="auto"/>
        <w:kinsoku/>
        <w:wordWrap/>
        <w:overflowPunct/>
        <w:topLinePunct w:val="0"/>
        <w:autoSpaceDE/>
        <w:autoSpaceDN/>
        <w:bidi w:val="0"/>
        <w:adjustRightInd w:val="0"/>
        <w:snapToGrid/>
        <w:spacing w:line="360" w:lineRule="auto"/>
        <w:jc w:val="center"/>
        <w:textAlignment w:val="baseline"/>
        <w:outlineLvl w:val="2"/>
        <w:rPr>
          <w:rFonts w:hint="eastAsia" w:ascii="宋体" w:hAnsi="宋体"/>
          <w:b/>
          <w:bCs/>
          <w:color w:val="000000"/>
          <w:sz w:val="32"/>
          <w:szCs w:val="32"/>
          <w:highlight w:val="none"/>
        </w:rPr>
      </w:pPr>
      <w:r>
        <w:rPr>
          <w:rFonts w:hint="eastAsia" w:ascii="宋体" w:hAnsi="宋体"/>
          <w:b/>
          <w:bCs/>
          <w:color w:val="000000"/>
          <w:sz w:val="32"/>
          <w:szCs w:val="32"/>
          <w:highlight w:val="none"/>
        </w:rPr>
        <w:t>评标办法前附表</w:t>
      </w: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7"/>
        <w:gridCol w:w="1264"/>
        <w:gridCol w:w="7051"/>
      </w:tblGrid>
      <w:tr w14:paraId="7CDD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021" w:type="dxa"/>
            <w:gridSpan w:val="2"/>
            <w:noWrap w:val="0"/>
            <w:vAlign w:val="center"/>
          </w:tcPr>
          <w:p w14:paraId="123D3290">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0" w:leftChars="0" w:right="0" w:firstLine="0" w:firstLineChars="0"/>
              <w:jc w:val="center"/>
              <w:textAlignment w:val="baseline"/>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条款号</w:t>
            </w:r>
          </w:p>
        </w:tc>
        <w:tc>
          <w:tcPr>
            <w:tcW w:w="7051" w:type="dxa"/>
            <w:noWrap w:val="0"/>
            <w:vAlign w:val="center"/>
          </w:tcPr>
          <w:p w14:paraId="529A6B8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0" w:leftChars="0" w:right="0" w:firstLine="0" w:firstLineChars="0"/>
              <w:jc w:val="center"/>
              <w:textAlignment w:val="baseline"/>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评审因素与标准</w:t>
            </w:r>
          </w:p>
          <w:p w14:paraId="75490B8B">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0" w:leftChars="0" w:right="0" w:firstLine="0" w:firstLineChars="0"/>
              <w:jc w:val="center"/>
              <w:textAlignment w:val="baseline"/>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评审标准</w:t>
            </w:r>
          </w:p>
        </w:tc>
      </w:tr>
      <w:tr w14:paraId="34B36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57" w:type="dxa"/>
            <w:noWrap w:val="0"/>
            <w:vAlign w:val="center"/>
          </w:tcPr>
          <w:p w14:paraId="114CE973">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jc w:val="center"/>
              <w:textAlignment w:val="baseline"/>
              <w:rPr>
                <w:rFonts w:hint="eastAsia" w:ascii="宋体" w:hAnsi="宋体" w:eastAsia="宋体" w:cs="宋体"/>
                <w:b/>
                <w:color w:val="000000"/>
                <w:sz w:val="21"/>
                <w:szCs w:val="21"/>
                <w:highlight w:val="none"/>
              </w:rPr>
            </w:pPr>
            <w:r>
              <w:rPr>
                <w:rFonts w:hint="eastAsia" w:ascii="宋体" w:hAnsi="宋体" w:eastAsia="宋体" w:cs="宋体"/>
                <w:bCs/>
                <w:color w:val="000000"/>
                <w:sz w:val="21"/>
                <w:szCs w:val="21"/>
                <w:highlight w:val="none"/>
              </w:rPr>
              <w:t>1</w:t>
            </w:r>
          </w:p>
        </w:tc>
        <w:tc>
          <w:tcPr>
            <w:tcW w:w="1264" w:type="dxa"/>
            <w:noWrap w:val="0"/>
            <w:vAlign w:val="center"/>
          </w:tcPr>
          <w:p w14:paraId="41D3CDFA">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jc w:val="center"/>
              <w:textAlignment w:val="baseline"/>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评标办法</w:t>
            </w:r>
          </w:p>
        </w:tc>
        <w:tc>
          <w:tcPr>
            <w:tcW w:w="7051" w:type="dxa"/>
            <w:noWrap w:val="0"/>
            <w:vAlign w:val="center"/>
          </w:tcPr>
          <w:p w14:paraId="3920B890">
            <w:pPr>
              <w:keepNext w:val="0"/>
              <w:keepLines w:val="0"/>
              <w:pageBreakBefore w:val="0"/>
              <w:widowControl/>
              <w:shd w:val="clear" w:color="auto" w:fill="auto"/>
              <w:kinsoku/>
              <w:wordWrap/>
              <w:overflowPunct/>
              <w:topLinePunct w:val="0"/>
              <w:autoSpaceDE/>
              <w:autoSpaceDN/>
              <w:bidi w:val="0"/>
              <w:adjustRightInd w:val="0"/>
              <w:spacing w:line="276" w:lineRule="auto"/>
              <w:ind w:left="105" w:leftChars="50" w:firstLine="420" w:firstLineChars="200"/>
              <w:jc w:val="left"/>
              <w:textAlignment w:val="baseline"/>
              <w:rPr>
                <w:rFonts w:hint="eastAsia" w:ascii="宋体" w:hAnsi="宋体"/>
                <w:color w:val="000000"/>
                <w:highlight w:val="none"/>
              </w:rPr>
            </w:pPr>
            <w:r>
              <w:rPr>
                <w:rFonts w:hint="eastAsia" w:ascii="宋体" w:hAnsi="宋体"/>
                <w:color w:val="000000"/>
                <w:highlight w:val="none"/>
              </w:rPr>
              <w:t>评标价相等时，评标委员会依次按照以下优先顺序推荐</w:t>
            </w:r>
            <w:r>
              <w:rPr>
                <w:rFonts w:hint="eastAsia" w:ascii="宋体" w:hAnsi="宋体"/>
                <w:color w:val="000000"/>
                <w:highlight w:val="none"/>
                <w:lang w:eastAsia="zh-CN"/>
              </w:rPr>
              <w:t>中标候选人</w:t>
            </w:r>
            <w:r>
              <w:rPr>
                <w:rFonts w:hint="eastAsia" w:ascii="宋体" w:hAnsi="宋体"/>
                <w:color w:val="000000"/>
                <w:highlight w:val="none"/>
              </w:rPr>
              <w:t>或确定中标人：                                                          (1)按招标文件规定被认定为最新年度广东省公路工程从业单位信用评价等 级较高的投标人优先；</w:t>
            </w:r>
          </w:p>
          <w:p w14:paraId="7A7E6643">
            <w:pPr>
              <w:keepNext w:val="0"/>
              <w:keepLines w:val="0"/>
              <w:pageBreakBefore w:val="0"/>
              <w:widowControl/>
              <w:shd w:val="clear" w:color="auto" w:fill="auto"/>
              <w:kinsoku/>
              <w:wordWrap/>
              <w:overflowPunct/>
              <w:topLinePunct w:val="0"/>
              <w:autoSpaceDE/>
              <w:autoSpaceDN/>
              <w:bidi w:val="0"/>
              <w:adjustRightInd w:val="0"/>
              <w:spacing w:line="276" w:lineRule="auto"/>
              <w:ind w:left="105" w:leftChars="50"/>
              <w:textAlignment w:val="baseline"/>
              <w:rPr>
                <w:rFonts w:hint="eastAsia" w:ascii="宋体" w:hAnsi="宋体"/>
                <w:color w:val="000000"/>
                <w:highlight w:val="none"/>
              </w:rPr>
            </w:pPr>
            <w:r>
              <w:rPr>
                <w:rFonts w:hint="eastAsia" w:ascii="宋体" w:hAnsi="宋体"/>
                <w:color w:val="000000"/>
                <w:highlight w:val="none"/>
              </w:rPr>
              <w:t>【采用如下的优先顺序：承诺使用的AA级投标人、不承诺使用的AA级投标人、承诺使用的A级投标人</w:t>
            </w:r>
            <w:r>
              <w:rPr>
                <w:rFonts w:hint="eastAsia" w:ascii="宋体" w:hAnsi="宋体"/>
                <w:color w:val="000000"/>
                <w:highlight w:val="none"/>
                <w:lang w:eastAsia="zh-CN"/>
              </w:rPr>
              <w:t>、</w:t>
            </w:r>
            <w:r>
              <w:rPr>
                <w:rFonts w:hint="eastAsia" w:ascii="宋体" w:hAnsi="宋体"/>
                <w:color w:val="000000"/>
                <w:highlight w:val="none"/>
              </w:rPr>
              <w:t>不承诺使用的A级投标人、B 级投标人、未参评且被确定为B级投标人】</w:t>
            </w:r>
          </w:p>
          <w:p w14:paraId="41B2C197">
            <w:pPr>
              <w:keepNext w:val="0"/>
              <w:keepLines w:val="0"/>
              <w:pageBreakBefore w:val="0"/>
              <w:widowControl/>
              <w:shd w:val="clear" w:color="auto" w:fill="auto"/>
              <w:kinsoku/>
              <w:wordWrap/>
              <w:overflowPunct/>
              <w:topLinePunct w:val="0"/>
              <w:autoSpaceDE/>
              <w:autoSpaceDN/>
              <w:bidi w:val="0"/>
              <w:adjustRightInd w:val="0"/>
              <w:spacing w:line="276" w:lineRule="auto"/>
              <w:ind w:left="105" w:leftChars="50"/>
              <w:textAlignment w:val="baseline"/>
              <w:rPr>
                <w:rFonts w:hint="eastAsia" w:ascii="宋体" w:hAnsi="宋体"/>
                <w:color w:val="000000"/>
                <w:highlight w:val="none"/>
              </w:rPr>
            </w:pPr>
            <w:r>
              <w:rPr>
                <w:rFonts w:hint="eastAsia" w:ascii="宋体" w:hAnsi="宋体"/>
                <w:color w:val="000000"/>
                <w:highlight w:val="none"/>
              </w:rPr>
              <w:t>(2) 以投标人企业最新年度净资产较高的优先；</w:t>
            </w:r>
          </w:p>
          <w:p w14:paraId="7784F686">
            <w:pPr>
              <w:keepNext w:val="0"/>
              <w:keepLines w:val="0"/>
              <w:pageBreakBefore w:val="0"/>
              <w:widowControl/>
              <w:shd w:val="clear" w:color="auto" w:fill="auto"/>
              <w:kinsoku/>
              <w:wordWrap/>
              <w:overflowPunct/>
              <w:topLinePunct w:val="0"/>
              <w:autoSpaceDE/>
              <w:autoSpaceDN/>
              <w:bidi w:val="0"/>
              <w:adjustRightInd w:val="0"/>
              <w:spacing w:line="276" w:lineRule="auto"/>
              <w:ind w:left="105" w:leftChars="50"/>
              <w:textAlignment w:val="baseline"/>
              <w:rPr>
                <w:rFonts w:hint="eastAsia" w:ascii="宋体" w:hAnsi="宋体" w:eastAsia="宋体" w:cs="宋体"/>
                <w:b/>
                <w:color w:val="000000"/>
                <w:sz w:val="21"/>
                <w:szCs w:val="21"/>
                <w:highlight w:val="none"/>
              </w:rPr>
            </w:pPr>
            <w:r>
              <w:rPr>
                <w:rFonts w:hint="eastAsia" w:ascii="宋体" w:hAnsi="宋体"/>
                <w:color w:val="000000"/>
                <w:highlight w:val="none"/>
              </w:rPr>
              <w:t>(3) 评标委员会视投标人情况综合比较，投票确定其名次。</w:t>
            </w:r>
          </w:p>
        </w:tc>
      </w:tr>
      <w:tr w14:paraId="0C61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57" w:type="dxa"/>
            <w:noWrap w:val="0"/>
            <w:vAlign w:val="center"/>
          </w:tcPr>
          <w:p w14:paraId="6D04605D">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jc w:val="center"/>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2.1.1</w:t>
            </w:r>
          </w:p>
          <w:p w14:paraId="6B217C4F">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jc w:val="center"/>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2.1.3</w:t>
            </w:r>
          </w:p>
        </w:tc>
        <w:tc>
          <w:tcPr>
            <w:tcW w:w="1264" w:type="dxa"/>
            <w:noWrap w:val="0"/>
            <w:vAlign w:val="center"/>
          </w:tcPr>
          <w:p w14:paraId="3F55D41F">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contextualSpacing/>
              <w:jc w:val="center"/>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形式评审与响应性评审标准</w:t>
            </w:r>
          </w:p>
        </w:tc>
        <w:tc>
          <w:tcPr>
            <w:tcW w:w="7051" w:type="dxa"/>
            <w:noWrap w:val="0"/>
            <w:vAlign w:val="center"/>
          </w:tcPr>
          <w:p w14:paraId="6B6E04C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第一个信封 (商务及技术文件) 评审标准：</w:t>
            </w:r>
          </w:p>
          <w:p w14:paraId="40B67A0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 投标文件按照招标文件规定的格式、内容填写，字迹清晰可辨：</w:t>
            </w:r>
          </w:p>
          <w:p w14:paraId="1C54362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a.投标函按招标文件规定填报了项目名称、标段号(如有)、补遗书编号(如有)、工期、工程质量要求及安全目标；</w:t>
            </w:r>
          </w:p>
          <w:p w14:paraId="3937CA3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b.投标函附录的所有数据均符合招标文件规定；</w:t>
            </w:r>
          </w:p>
          <w:p w14:paraId="27280CE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c.投标文件组成齐全完整，内容均按规定填写。</w:t>
            </w:r>
          </w:p>
          <w:p w14:paraId="0E8F0B8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 投标文件上法定代表人或其委托代理人的签字、投标人的单位章盖章齐 全，符合招标文件规定。</w:t>
            </w:r>
          </w:p>
          <w:p w14:paraId="797A885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 投标人按照招标文件的规定提供了投标保证金：</w:t>
            </w:r>
          </w:p>
          <w:p w14:paraId="55C8450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a.投标保证金金额符合招标文件规定的金额，且投标保证金有效期不少于投标有效期；</w:t>
            </w:r>
          </w:p>
          <w:p w14:paraId="530D4C6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b.若投标保证金采用现金或支票形式提交，投标人应在投标人须知 3.4.1 款规定的时间，将投标保证金由投标人的基本账户转入招标人指定账户；</w:t>
            </w:r>
          </w:p>
          <w:p w14:paraId="0FB0352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c.若投标保证金采用银行保函或投标人须知前附表 3.4.1 项规定的其他形式提交，应满足招标文件要求。</w:t>
            </w:r>
          </w:p>
          <w:p w14:paraId="1666DE0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 投标人法定代表人授权委托代理人签署投标文件的，需提交授权委托 书，且授权人和被授权人均在授权委托书上签名，未使用印章、签名章或其他电子制版签名代替。</w:t>
            </w:r>
          </w:p>
          <w:p w14:paraId="18CCA7A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 投标人法定代表人亲自签署投标文件的，提供了法定代表人身份证明，且法定代表人在法定代表人身份证明上签名，未使用印章、签名章或其他电子制版签名代替。</w:t>
            </w:r>
          </w:p>
          <w:p w14:paraId="6714015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投标人未以联合体形式投标。</w:t>
            </w:r>
          </w:p>
          <w:p w14:paraId="3411C89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  同一投标人未提交两个以上不同的投标文件，但招标文件要求提交备选投标的除外。</w:t>
            </w:r>
          </w:p>
          <w:p w14:paraId="4AF94BF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 投标文件中未出现有关投标报价的内容。</w:t>
            </w:r>
          </w:p>
          <w:p w14:paraId="45F418E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9</w:t>
            </w:r>
            <w:r>
              <w:rPr>
                <w:rFonts w:hint="eastAsia" w:ascii="宋体" w:hAnsi="宋体" w:eastAsia="宋体" w:cs="宋体"/>
                <w:color w:val="000000"/>
                <w:sz w:val="21"/>
                <w:szCs w:val="21"/>
                <w:highlight w:val="none"/>
              </w:rPr>
              <w:t>) 投标文件载明的招标项目完成期限未超过招标文件规定的时限。</w:t>
            </w:r>
          </w:p>
          <w:p w14:paraId="7F9B4A4B">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val="en-US" w:eastAsia="zh-CN"/>
              </w:rPr>
              <w:t>0</w:t>
            </w:r>
            <w:r>
              <w:rPr>
                <w:rFonts w:hint="eastAsia" w:ascii="宋体" w:hAnsi="宋体" w:eastAsia="宋体" w:cs="宋体"/>
                <w:color w:val="000000"/>
                <w:sz w:val="21"/>
                <w:szCs w:val="21"/>
                <w:highlight w:val="none"/>
              </w:rPr>
              <w:t>) 投标文件对招标文件的实质性要求和条件作出响应。</w:t>
            </w:r>
          </w:p>
          <w:p w14:paraId="086C7FF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 权利义务符合招标文件规定：</w:t>
            </w:r>
          </w:p>
          <w:p w14:paraId="473B7CC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a.投标人应接受招标文件规定的风险划分原则，未提出新的风险划分办法；</w:t>
            </w:r>
          </w:p>
          <w:p w14:paraId="7A1875D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b.投标人未增加发包人的责任范围，或减少投标人义务； </w:t>
            </w:r>
          </w:p>
          <w:p w14:paraId="7CC39347">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c.投标人未提出不同的工程验收、计量、支付办法；</w:t>
            </w:r>
          </w:p>
          <w:p w14:paraId="3D752F3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d.投标人对合同纠纷、事故处理办法未提出异议；</w:t>
            </w:r>
          </w:p>
          <w:p w14:paraId="4E42AFD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e.投标人在投标活动中无欺诈行为；</w:t>
            </w:r>
          </w:p>
          <w:p w14:paraId="4DCF22A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f.投标人未对合同条款有重要保留。</w:t>
            </w:r>
          </w:p>
          <w:p w14:paraId="1C2E3A7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 投标文件正、副本份数符合招标文件第二章“投标人须知 第 3.7.4 项规定。</w:t>
            </w:r>
          </w:p>
          <w:p w14:paraId="48B9C534">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 投标文件未附有招标人不能接受的条件。</w:t>
            </w:r>
          </w:p>
          <w:p w14:paraId="42E35E4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第二个信封 (报价文件) 评审标准：</w:t>
            </w:r>
          </w:p>
          <w:p w14:paraId="4C12FD3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 投标文件按照招标文件规定的格式、内容填写，字迹清晰可辩：</w:t>
            </w:r>
          </w:p>
          <w:p w14:paraId="280A8CB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a.投标函按招标文件规定填报了项目名称、标段号(如有)、补遗书编号(如有)、投标总报价(包括大写金额和小写金额)；</w:t>
            </w:r>
          </w:p>
          <w:p w14:paraId="3B22584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b.已标价工程量清单说明文字与招标文件规定一致，未进行实质性修改和删减；</w:t>
            </w:r>
          </w:p>
          <w:p w14:paraId="78844B04">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c.投标文件组成齐全完整，内容均按规定填写。</w:t>
            </w:r>
          </w:p>
          <w:p w14:paraId="1731012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 投标文件上法定代表人或其委托代理人的签字、投标人的单位章盖章齐全，符合招标文件规定。</w:t>
            </w:r>
          </w:p>
          <w:p w14:paraId="2261FA0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 投标总报价或调价函中的报价未超过招标文件设定的最高投标限价(如有)及最高评标限价 (如有) 。</w:t>
            </w:r>
          </w:p>
          <w:p w14:paraId="6BBBE077">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 投标总报价或调价函中报价的大写金额能够确定具体数值。</w:t>
            </w:r>
          </w:p>
          <w:p w14:paraId="54F80C1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 同一投标人未提交两个以上不同的投标报价，但招标文件要求提交备选投标的除外。</w:t>
            </w:r>
          </w:p>
          <w:p w14:paraId="2DBC42B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 投标人若提交调价函，调价函符合招标文件第二章“投标人须知”第 3.2.6 项要求。</w:t>
            </w:r>
          </w:p>
          <w:p w14:paraId="3B87B7F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 投标人若填写工程量固化清单，填写完毕的工程量固化清单未对工程量固化清单电子文件中的数据、格式和运算定义进行修改；工程量固化清单中的投标总报价和投标函大写金额报价一致。</w:t>
            </w:r>
          </w:p>
          <w:p w14:paraId="29907F9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highlight w:val="none"/>
              </w:rPr>
            </w:pPr>
            <w:r>
              <w:rPr>
                <w:rFonts w:hint="eastAsia" w:ascii="宋体" w:hAnsi="宋体" w:eastAsia="宋体" w:cs="宋体"/>
                <w:color w:val="000000"/>
                <w:sz w:val="21"/>
                <w:szCs w:val="21"/>
                <w:highlight w:val="none"/>
              </w:rPr>
              <w:t>(8) 投标文件正、副本份数符合招标文件第二章“投标人须知”第 3.7.4 项规定。</w:t>
            </w:r>
          </w:p>
        </w:tc>
      </w:tr>
      <w:tr w14:paraId="165F8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57" w:type="dxa"/>
            <w:noWrap w:val="0"/>
            <w:vAlign w:val="center"/>
          </w:tcPr>
          <w:p w14:paraId="1D0C175C">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jc w:val="center"/>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2.1.2</w:t>
            </w:r>
          </w:p>
        </w:tc>
        <w:tc>
          <w:tcPr>
            <w:tcW w:w="1264" w:type="dxa"/>
            <w:noWrap w:val="0"/>
            <w:vAlign w:val="center"/>
          </w:tcPr>
          <w:p w14:paraId="5E02595C">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contextualSpacing/>
              <w:jc w:val="center"/>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资格评审标准</w:t>
            </w:r>
          </w:p>
        </w:tc>
        <w:tc>
          <w:tcPr>
            <w:tcW w:w="7051" w:type="dxa"/>
            <w:noWrap w:val="0"/>
            <w:vAlign w:val="center"/>
          </w:tcPr>
          <w:p w14:paraId="0B4C9D2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投标人具备有效的营业执照、资质证书、安全生产许可证和基本账户开户许可证（如企业所在地已取消企业银行账户许可而无法提供开户许可证的，则需附上开户银行出具的“基本存款账户信息”或“人民银行账户管理系统查询的基本账户信息截图”）。</w:t>
            </w:r>
          </w:p>
          <w:p w14:paraId="7F64B3E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（2）投标人的资质等级符合招标文件规定。</w:t>
            </w:r>
          </w:p>
          <w:p w14:paraId="0F428343">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（3）投标人的财务状况符合招标文件规定。</w:t>
            </w:r>
          </w:p>
          <w:p w14:paraId="496CD71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（4）投标人的类似项目业绩符合招标文件规定。</w:t>
            </w:r>
          </w:p>
          <w:p w14:paraId="55ED24B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（5）投标人的信誉符合招标文件规定。</w:t>
            </w:r>
          </w:p>
          <w:p w14:paraId="6D7BFA14">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（6）投标人的项目经理和项目总工资格、在岗情况符合招标文件规定，并按规定在投标文件中签字确认。</w:t>
            </w:r>
          </w:p>
          <w:p w14:paraId="1BFF98C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（7）投标人的其他要求符合招标文件规定。</w:t>
            </w:r>
          </w:p>
          <w:p w14:paraId="1A80D9A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（8）投标人不存在第二章“投标人须知”第 1.4.3 项或第 1.4.4 项规定的任何一种情形。</w:t>
            </w:r>
          </w:p>
          <w:p w14:paraId="3CA1543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（9）投标人符合第二章“投标人须知”第 1.4.5 项规定。</w:t>
            </w:r>
          </w:p>
        </w:tc>
      </w:tr>
    </w:tbl>
    <w:p w14:paraId="6CC2D104">
      <w:pPr>
        <w:keepNext w:val="0"/>
        <w:keepLines w:val="0"/>
        <w:pageBreakBefore w:val="0"/>
        <w:widowControl w:val="0"/>
        <w:shd w:val="clear" w:color="auto" w:fill="auto"/>
        <w:kinsoku/>
        <w:wordWrap/>
        <w:overflowPunct/>
        <w:topLinePunct w:val="0"/>
        <w:autoSpaceDE/>
        <w:autoSpaceDN/>
        <w:bidi w:val="0"/>
        <w:adjustRightInd w:val="0"/>
        <w:snapToGrid/>
        <w:spacing w:line="360" w:lineRule="auto"/>
        <w:jc w:val="both"/>
        <w:textAlignment w:val="baseline"/>
        <w:outlineLvl w:val="9"/>
        <w:rPr>
          <w:rFonts w:hint="eastAsia" w:ascii="宋体" w:hAnsi="宋体"/>
          <w:b/>
          <w:bCs/>
          <w:color w:val="000000"/>
          <w:sz w:val="32"/>
          <w:szCs w:val="32"/>
          <w:highlight w:val="none"/>
        </w:rPr>
      </w:pPr>
    </w:p>
    <w:p w14:paraId="1C4B5364">
      <w:pPr>
        <w:keepNext w:val="0"/>
        <w:keepLines w:val="0"/>
        <w:pageBreakBefore w:val="0"/>
        <w:widowControl w:val="0"/>
        <w:shd w:val="clear" w:color="auto" w:fill="auto"/>
        <w:kinsoku/>
        <w:wordWrap/>
        <w:overflowPunct/>
        <w:topLinePunct w:val="0"/>
        <w:autoSpaceDE/>
        <w:autoSpaceDN/>
        <w:bidi w:val="0"/>
        <w:adjustRightInd w:val="0"/>
        <w:snapToGrid/>
        <w:spacing w:line="360" w:lineRule="auto"/>
        <w:jc w:val="both"/>
        <w:textAlignment w:val="baseline"/>
        <w:outlineLvl w:val="9"/>
        <w:rPr>
          <w:rFonts w:hint="eastAsia" w:ascii="宋体" w:hAnsi="宋体"/>
          <w:b/>
          <w:bCs/>
          <w:color w:val="000000"/>
          <w:sz w:val="32"/>
          <w:szCs w:val="32"/>
          <w:highlight w:val="none"/>
        </w:rPr>
      </w:pPr>
    </w:p>
    <w:p w14:paraId="33E496F1">
      <w:pPr>
        <w:pStyle w:val="5"/>
        <w:keepNext w:val="0"/>
        <w:keepLines w:val="0"/>
        <w:pageBreakBefore w:val="0"/>
        <w:widowControl w:val="0"/>
        <w:shd w:val="clear" w:color="auto" w:fill="auto"/>
        <w:kinsoku/>
        <w:wordWrap/>
        <w:overflowPunct/>
        <w:topLinePunct w:val="0"/>
        <w:bidi w:val="0"/>
        <w:adjustRightInd w:val="0"/>
        <w:snapToGrid/>
        <w:spacing w:line="360" w:lineRule="auto"/>
        <w:jc w:val="both"/>
        <w:outlineLvl w:val="9"/>
        <w:rPr>
          <w:rFonts w:hint="eastAsia" w:ascii="宋体" w:hAnsi="宋体"/>
          <w:b/>
          <w:bCs/>
          <w:color w:val="000000"/>
          <w:sz w:val="32"/>
          <w:szCs w:val="32"/>
          <w:highlight w:val="none"/>
        </w:rPr>
      </w:pPr>
    </w:p>
    <w:p w14:paraId="6ED3FB4F">
      <w:pPr>
        <w:pStyle w:val="9"/>
        <w:shd w:val="clear" w:color="auto" w:fill="auto"/>
        <w:rPr>
          <w:rFonts w:hint="eastAsia"/>
          <w:color w:val="000000"/>
          <w:highlight w:val="none"/>
        </w:rPr>
      </w:pPr>
    </w:p>
    <w:p w14:paraId="5F6A33D9">
      <w:pPr>
        <w:pStyle w:val="9"/>
        <w:keepNext w:val="0"/>
        <w:keepLines w:val="0"/>
        <w:pageBreakBefore w:val="0"/>
        <w:widowControl w:val="0"/>
        <w:shd w:val="clear" w:color="auto" w:fill="auto"/>
        <w:kinsoku/>
        <w:wordWrap/>
        <w:overflowPunct/>
        <w:topLinePunct w:val="0"/>
        <w:bidi w:val="0"/>
        <w:adjustRightInd w:val="0"/>
        <w:snapToGrid/>
        <w:spacing w:line="360" w:lineRule="auto"/>
        <w:jc w:val="both"/>
        <w:outlineLvl w:val="9"/>
        <w:rPr>
          <w:rFonts w:hint="eastAsia" w:ascii="宋体" w:hAnsi="宋体"/>
          <w:b/>
          <w:bCs/>
          <w:color w:val="000000"/>
          <w:sz w:val="32"/>
          <w:szCs w:val="32"/>
          <w:highlight w:val="none"/>
        </w:rPr>
      </w:pPr>
    </w:p>
    <w:p w14:paraId="37BA8636">
      <w:pPr>
        <w:pStyle w:val="9"/>
        <w:keepNext w:val="0"/>
        <w:keepLines w:val="0"/>
        <w:pageBreakBefore w:val="0"/>
        <w:widowControl w:val="0"/>
        <w:shd w:val="clear" w:color="auto" w:fill="auto"/>
        <w:kinsoku/>
        <w:wordWrap/>
        <w:overflowPunct/>
        <w:topLinePunct w:val="0"/>
        <w:bidi w:val="0"/>
        <w:adjustRightInd w:val="0"/>
        <w:snapToGrid/>
        <w:spacing w:line="360" w:lineRule="auto"/>
        <w:jc w:val="both"/>
        <w:outlineLvl w:val="9"/>
        <w:rPr>
          <w:rFonts w:hint="eastAsia" w:ascii="宋体" w:hAnsi="宋体"/>
          <w:b/>
          <w:bCs/>
          <w:color w:val="000000"/>
          <w:sz w:val="32"/>
          <w:szCs w:val="32"/>
          <w:highlight w:val="none"/>
        </w:rPr>
      </w:pPr>
    </w:p>
    <w:p w14:paraId="45BD8AB0">
      <w:pPr>
        <w:pStyle w:val="9"/>
        <w:keepNext w:val="0"/>
        <w:keepLines w:val="0"/>
        <w:pageBreakBefore w:val="0"/>
        <w:widowControl w:val="0"/>
        <w:shd w:val="clear" w:color="auto" w:fill="auto"/>
        <w:kinsoku/>
        <w:wordWrap/>
        <w:overflowPunct/>
        <w:topLinePunct w:val="0"/>
        <w:bidi w:val="0"/>
        <w:adjustRightInd w:val="0"/>
        <w:snapToGrid/>
        <w:spacing w:line="360" w:lineRule="auto"/>
        <w:jc w:val="both"/>
        <w:outlineLvl w:val="9"/>
        <w:rPr>
          <w:rFonts w:hint="eastAsia" w:ascii="宋体" w:hAnsi="宋体"/>
          <w:b/>
          <w:bCs/>
          <w:color w:val="000000"/>
          <w:sz w:val="32"/>
          <w:szCs w:val="32"/>
          <w:highlight w:val="none"/>
        </w:rPr>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16"/>
        <w:gridCol w:w="1956"/>
        <w:gridCol w:w="5300"/>
      </w:tblGrid>
      <w:tr w14:paraId="7A73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16" w:type="dxa"/>
            <w:noWrap w:val="0"/>
            <w:vAlign w:val="center"/>
          </w:tcPr>
          <w:p w14:paraId="7DA6CEA8">
            <w:pPr>
              <w:pStyle w:val="9"/>
              <w:keepNext w:val="0"/>
              <w:keepLines w:val="0"/>
              <w:pageBreakBefore w:val="0"/>
              <w:widowControl w:val="0"/>
              <w:shd w:val="clear" w:color="auto" w:fill="auto"/>
              <w:kinsoku/>
              <w:wordWrap/>
              <w:overflowPunct/>
              <w:topLinePunct w:val="0"/>
              <w:bidi w:val="0"/>
              <w:adjustRightInd w:val="0"/>
              <w:snapToGrid/>
              <w:spacing w:line="360" w:lineRule="auto"/>
              <w:ind w:left="105" w:leftChars="50"/>
              <w:jc w:val="center"/>
              <w:outlineLvl w:val="9"/>
              <w:rPr>
                <w:rFonts w:ascii="宋体" w:hAnsi="宋体" w:cs="宋体"/>
                <w:color w:val="000000"/>
                <w:szCs w:val="21"/>
                <w:highlight w:val="none"/>
              </w:rPr>
            </w:pPr>
            <w:r>
              <w:rPr>
                <w:rFonts w:hint="eastAsia" w:ascii="宋体" w:hAnsi="宋体"/>
                <w:b/>
                <w:bCs/>
                <w:color w:val="000000"/>
                <w:sz w:val="32"/>
                <w:szCs w:val="32"/>
                <w:highlight w:val="none"/>
              </w:rPr>
              <w:br w:type="page"/>
            </w:r>
            <w:r>
              <w:rPr>
                <w:rFonts w:hint="eastAsia" w:ascii="宋体" w:hAnsi="宋体" w:cs="宋体"/>
                <w:b/>
                <w:color w:val="000000"/>
                <w:szCs w:val="21"/>
                <w:highlight w:val="none"/>
              </w:rPr>
              <w:t>条款号</w:t>
            </w:r>
          </w:p>
        </w:tc>
        <w:tc>
          <w:tcPr>
            <w:tcW w:w="1956" w:type="dxa"/>
            <w:noWrap w:val="0"/>
            <w:vAlign w:val="center"/>
          </w:tcPr>
          <w:p w14:paraId="18EC19A8">
            <w:pPr>
              <w:keepNext w:val="0"/>
              <w:keepLines w:val="0"/>
              <w:pageBreakBefore w:val="0"/>
              <w:widowControl w:val="0"/>
              <w:shd w:val="clear" w:color="auto" w:fill="auto"/>
              <w:kinsoku/>
              <w:wordWrap/>
              <w:overflowPunct/>
              <w:topLinePunct w:val="0"/>
              <w:bidi w:val="0"/>
              <w:snapToGrid/>
              <w:spacing w:line="360" w:lineRule="auto"/>
              <w:ind w:left="105" w:leftChars="50"/>
              <w:jc w:val="center"/>
              <w:rPr>
                <w:rFonts w:ascii="宋体" w:hAnsi="宋体" w:cs="宋体"/>
                <w:b/>
                <w:bCs/>
                <w:color w:val="000000"/>
                <w:szCs w:val="21"/>
                <w:highlight w:val="none"/>
              </w:rPr>
            </w:pPr>
            <w:r>
              <w:rPr>
                <w:rFonts w:hint="eastAsia" w:ascii="宋体" w:hAnsi="宋体" w:cs="宋体"/>
                <w:b/>
                <w:bCs/>
                <w:color w:val="000000"/>
                <w:szCs w:val="21"/>
                <w:highlight w:val="none"/>
              </w:rPr>
              <w:t>条款内容</w:t>
            </w:r>
          </w:p>
        </w:tc>
        <w:tc>
          <w:tcPr>
            <w:tcW w:w="5300" w:type="dxa"/>
            <w:noWrap w:val="0"/>
            <w:vAlign w:val="center"/>
          </w:tcPr>
          <w:p w14:paraId="7EFBD245">
            <w:pPr>
              <w:keepNext w:val="0"/>
              <w:keepLines w:val="0"/>
              <w:pageBreakBefore w:val="0"/>
              <w:widowControl w:val="0"/>
              <w:shd w:val="clear" w:color="auto" w:fill="auto"/>
              <w:kinsoku/>
              <w:wordWrap/>
              <w:overflowPunct/>
              <w:topLinePunct w:val="0"/>
              <w:bidi w:val="0"/>
              <w:snapToGrid/>
              <w:spacing w:line="360" w:lineRule="auto"/>
              <w:ind w:left="105" w:leftChars="50"/>
              <w:jc w:val="center"/>
              <w:rPr>
                <w:rFonts w:ascii="宋体" w:hAnsi="宋体" w:cs="宋体"/>
                <w:b/>
                <w:bCs/>
                <w:color w:val="000000"/>
                <w:szCs w:val="21"/>
                <w:highlight w:val="none"/>
              </w:rPr>
            </w:pPr>
            <w:r>
              <w:rPr>
                <w:rFonts w:hint="eastAsia" w:ascii="宋体" w:hAnsi="宋体" w:cs="宋体"/>
                <w:b/>
                <w:bCs/>
                <w:color w:val="000000"/>
                <w:szCs w:val="21"/>
                <w:highlight w:val="none"/>
              </w:rPr>
              <w:t>编列内容</w:t>
            </w:r>
          </w:p>
        </w:tc>
      </w:tr>
      <w:tr w14:paraId="1878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16" w:type="dxa"/>
            <w:noWrap w:val="0"/>
            <w:vAlign w:val="center"/>
          </w:tcPr>
          <w:p w14:paraId="6221B897">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000000"/>
                <w:szCs w:val="21"/>
                <w:highlight w:val="none"/>
              </w:rPr>
            </w:pPr>
            <w:r>
              <w:rPr>
                <w:rFonts w:hint="eastAsia" w:ascii="宋体" w:hAnsi="宋体" w:cs="宋体"/>
                <w:color w:val="000000"/>
                <w:szCs w:val="21"/>
                <w:highlight w:val="none"/>
              </w:rPr>
              <w:t>2.2.1</w:t>
            </w:r>
          </w:p>
        </w:tc>
        <w:tc>
          <w:tcPr>
            <w:tcW w:w="1956" w:type="dxa"/>
            <w:noWrap w:val="0"/>
            <w:vAlign w:val="center"/>
          </w:tcPr>
          <w:p w14:paraId="41BB2932">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hint="eastAsia" w:ascii="宋体" w:hAnsi="宋体" w:cs="宋体"/>
                <w:color w:val="000000"/>
                <w:szCs w:val="21"/>
                <w:highlight w:val="none"/>
              </w:rPr>
            </w:pPr>
            <w:r>
              <w:rPr>
                <w:rFonts w:hint="eastAsia" w:ascii="宋体" w:hAnsi="宋体" w:cs="宋体"/>
                <w:color w:val="000000"/>
                <w:szCs w:val="21"/>
                <w:highlight w:val="none"/>
              </w:rPr>
              <w:t>第一个信封评分分</w:t>
            </w:r>
          </w:p>
          <w:p w14:paraId="53C6200E">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000000"/>
                <w:szCs w:val="21"/>
                <w:highlight w:val="none"/>
              </w:rPr>
            </w:pPr>
            <w:r>
              <w:rPr>
                <w:rFonts w:hint="eastAsia" w:ascii="宋体" w:hAnsi="宋体" w:cs="宋体"/>
                <w:color w:val="000000"/>
                <w:szCs w:val="21"/>
                <w:highlight w:val="none"/>
              </w:rPr>
              <w:t>值构成</w:t>
            </w:r>
          </w:p>
          <w:p w14:paraId="063BA6E6">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000000"/>
                <w:szCs w:val="21"/>
                <w:highlight w:val="none"/>
              </w:rPr>
            </w:pPr>
            <w:r>
              <w:rPr>
                <w:rFonts w:hint="eastAsia" w:ascii="宋体" w:hAnsi="宋体" w:cs="宋体"/>
                <w:color w:val="000000"/>
                <w:szCs w:val="21"/>
                <w:highlight w:val="none"/>
              </w:rPr>
              <w:t>（总分100分）</w:t>
            </w:r>
          </w:p>
        </w:tc>
        <w:tc>
          <w:tcPr>
            <w:tcW w:w="5300" w:type="dxa"/>
            <w:noWrap w:val="0"/>
            <w:vAlign w:val="center"/>
          </w:tcPr>
          <w:p w14:paraId="6DF3E53C">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both"/>
              <w:rPr>
                <w:rFonts w:ascii="宋体" w:hAnsi="宋体" w:cs="宋体"/>
                <w:color w:val="000000"/>
                <w:szCs w:val="21"/>
                <w:highlight w:val="none"/>
              </w:rPr>
            </w:pPr>
            <w:r>
              <w:rPr>
                <w:rFonts w:hint="eastAsia" w:ascii="宋体" w:hAnsi="宋体" w:cs="宋体"/>
                <w:color w:val="000000"/>
                <w:szCs w:val="21"/>
                <w:highlight w:val="none"/>
              </w:rPr>
              <w:t>施工组织设计（A）：</w:t>
            </w:r>
            <w:r>
              <w:rPr>
                <w:rFonts w:hint="eastAsia" w:ascii="宋体" w:hAnsi="宋体" w:cs="宋体"/>
                <w:color w:val="000000"/>
                <w:szCs w:val="21"/>
                <w:highlight w:val="none"/>
                <w:u w:val="single"/>
                <w:lang w:val="en-US" w:eastAsia="zh-CN"/>
              </w:rPr>
              <w:t>40</w:t>
            </w:r>
            <w:r>
              <w:rPr>
                <w:rFonts w:hint="eastAsia" w:ascii="宋体" w:hAnsi="宋体" w:cs="宋体"/>
                <w:color w:val="000000"/>
                <w:szCs w:val="21"/>
                <w:highlight w:val="none"/>
              </w:rPr>
              <w:t>分</w:t>
            </w:r>
          </w:p>
          <w:p w14:paraId="5BEDE289">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both"/>
              <w:rPr>
                <w:rFonts w:ascii="宋体" w:hAnsi="宋体" w:cs="宋体"/>
                <w:color w:val="000000"/>
                <w:szCs w:val="21"/>
                <w:highlight w:val="none"/>
              </w:rPr>
            </w:pPr>
            <w:r>
              <w:rPr>
                <w:rFonts w:hint="eastAsia" w:ascii="宋体" w:hAnsi="宋体" w:cs="宋体"/>
                <w:color w:val="000000"/>
                <w:szCs w:val="21"/>
                <w:highlight w:val="none"/>
              </w:rPr>
              <w:t>主要人员(B)：</w:t>
            </w:r>
            <w:r>
              <w:rPr>
                <w:rFonts w:hint="eastAsia" w:ascii="宋体" w:hAnsi="宋体" w:cs="宋体"/>
                <w:color w:val="000000"/>
                <w:szCs w:val="21"/>
                <w:highlight w:val="none"/>
                <w:u w:val="single"/>
                <w:lang w:val="en-US" w:eastAsia="zh-CN"/>
              </w:rPr>
              <w:t>35</w:t>
            </w:r>
            <w:r>
              <w:rPr>
                <w:rFonts w:hint="eastAsia" w:ascii="宋体" w:hAnsi="宋体" w:cs="宋体"/>
                <w:color w:val="000000"/>
                <w:szCs w:val="21"/>
                <w:highlight w:val="none"/>
              </w:rPr>
              <w:t>分</w:t>
            </w:r>
          </w:p>
          <w:p w14:paraId="78B1A126">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both"/>
              <w:rPr>
                <w:rFonts w:ascii="宋体" w:hAnsi="宋体" w:cs="宋体"/>
                <w:color w:val="000000"/>
                <w:szCs w:val="21"/>
                <w:highlight w:val="none"/>
              </w:rPr>
            </w:pPr>
            <w:r>
              <w:rPr>
                <w:rFonts w:hint="eastAsia" w:ascii="宋体" w:hAnsi="宋体" w:cs="宋体"/>
                <w:color w:val="000000"/>
                <w:szCs w:val="21"/>
                <w:highlight w:val="none"/>
              </w:rPr>
              <w:t>其他因素 (C)</w:t>
            </w:r>
          </w:p>
          <w:p w14:paraId="574E18BC">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both"/>
              <w:rPr>
                <w:rFonts w:ascii="宋体" w:hAnsi="宋体" w:cs="宋体"/>
                <w:color w:val="000000"/>
                <w:szCs w:val="21"/>
                <w:highlight w:val="none"/>
              </w:rPr>
            </w:pPr>
            <w:r>
              <w:rPr>
                <w:rFonts w:hint="eastAsia" w:ascii="宋体" w:hAnsi="宋体" w:cs="宋体"/>
                <w:color w:val="000000"/>
                <w:szCs w:val="21"/>
                <w:highlight w:val="none"/>
              </w:rPr>
              <w:t>技术能力：</w:t>
            </w:r>
            <w:r>
              <w:rPr>
                <w:rFonts w:hint="eastAsia" w:ascii="宋体" w:hAnsi="宋体" w:cs="宋体"/>
                <w:color w:val="000000"/>
                <w:szCs w:val="21"/>
                <w:highlight w:val="none"/>
                <w:u w:val="single"/>
                <w:lang w:val="en-US" w:eastAsia="zh-CN"/>
              </w:rPr>
              <w:t>10</w:t>
            </w:r>
            <w:r>
              <w:rPr>
                <w:rFonts w:hint="eastAsia" w:ascii="宋体" w:hAnsi="宋体" w:cs="宋体"/>
                <w:color w:val="000000"/>
                <w:szCs w:val="21"/>
                <w:highlight w:val="none"/>
              </w:rPr>
              <w:t>分</w:t>
            </w:r>
          </w:p>
          <w:p w14:paraId="29DC2DDE">
            <w:pPr>
              <w:pStyle w:val="6"/>
              <w:keepNext w:val="0"/>
              <w:keepLines w:val="0"/>
              <w:pageBreakBefore w:val="0"/>
              <w:widowControl w:val="0"/>
              <w:shd w:val="clear" w:color="auto" w:fill="auto"/>
              <w:kinsoku/>
              <w:wordWrap/>
              <w:overflowPunct/>
              <w:topLinePunct w:val="0"/>
              <w:autoSpaceDE/>
              <w:autoSpaceDN/>
              <w:bidi w:val="0"/>
              <w:snapToGrid/>
              <w:spacing w:after="0" w:line="440" w:lineRule="exact"/>
              <w:ind w:left="105" w:leftChars="50" w:right="0" w:firstLine="0" w:firstLineChars="0"/>
              <w:jc w:val="both"/>
              <w:rPr>
                <w:rFonts w:ascii="宋体" w:hAnsi="宋体" w:cs="宋体"/>
                <w:color w:val="000000"/>
                <w:sz w:val="21"/>
                <w:szCs w:val="21"/>
                <w:highlight w:val="none"/>
              </w:rPr>
            </w:pPr>
            <w:r>
              <w:rPr>
                <w:rFonts w:hint="eastAsia" w:ascii="宋体" w:hAnsi="宋体" w:cs="宋体"/>
                <w:color w:val="000000"/>
                <w:kern w:val="2"/>
                <w:sz w:val="21"/>
                <w:szCs w:val="21"/>
                <w:highlight w:val="none"/>
              </w:rPr>
              <w:t>履约信誉：</w:t>
            </w:r>
            <w:r>
              <w:rPr>
                <w:rFonts w:hint="eastAsia" w:ascii="宋体" w:hAnsi="宋体" w:cs="宋体"/>
                <w:color w:val="000000"/>
                <w:kern w:val="2"/>
                <w:sz w:val="21"/>
                <w:szCs w:val="21"/>
                <w:highlight w:val="none"/>
                <w:u w:val="single"/>
                <w:lang w:val="en-US" w:eastAsia="zh-CN"/>
              </w:rPr>
              <w:t>15</w:t>
            </w:r>
            <w:r>
              <w:rPr>
                <w:rFonts w:hint="eastAsia" w:ascii="宋体" w:hAnsi="宋体" w:cs="宋体"/>
                <w:color w:val="000000"/>
                <w:kern w:val="2"/>
                <w:sz w:val="21"/>
                <w:szCs w:val="21"/>
                <w:highlight w:val="none"/>
              </w:rPr>
              <w:t>分</w:t>
            </w:r>
          </w:p>
        </w:tc>
      </w:tr>
      <w:tr w14:paraId="2A1C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16" w:type="dxa"/>
            <w:noWrap w:val="0"/>
            <w:vAlign w:val="center"/>
          </w:tcPr>
          <w:p w14:paraId="0C4F5FDF">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000000"/>
                <w:szCs w:val="21"/>
                <w:highlight w:val="none"/>
              </w:rPr>
            </w:pPr>
            <w:r>
              <w:rPr>
                <w:rFonts w:hint="eastAsia" w:ascii="宋体" w:hAnsi="宋体" w:cs="宋体"/>
                <w:color w:val="000000"/>
                <w:szCs w:val="21"/>
                <w:highlight w:val="none"/>
              </w:rPr>
              <w:t>2.2.3</w:t>
            </w:r>
          </w:p>
        </w:tc>
        <w:tc>
          <w:tcPr>
            <w:tcW w:w="1956" w:type="dxa"/>
            <w:noWrap w:val="0"/>
            <w:vAlign w:val="center"/>
          </w:tcPr>
          <w:p w14:paraId="42D0DA76">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000000"/>
                <w:szCs w:val="21"/>
                <w:highlight w:val="none"/>
              </w:rPr>
            </w:pPr>
            <w:r>
              <w:rPr>
                <w:rFonts w:hint="eastAsia" w:ascii="宋体" w:hAnsi="宋体" w:cs="宋体"/>
                <w:color w:val="000000"/>
                <w:szCs w:val="21"/>
                <w:highlight w:val="none"/>
              </w:rPr>
              <w:t>第二个信封详细评审标准</w:t>
            </w:r>
          </w:p>
        </w:tc>
        <w:tc>
          <w:tcPr>
            <w:tcW w:w="5300" w:type="dxa"/>
            <w:noWrap w:val="0"/>
            <w:vAlign w:val="center"/>
          </w:tcPr>
          <w:p w14:paraId="102DFBAE">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both"/>
              <w:rPr>
                <w:rFonts w:ascii="宋体" w:hAnsi="宋体" w:cs="宋体"/>
                <w:color w:val="000000"/>
                <w:szCs w:val="21"/>
                <w:highlight w:val="none"/>
              </w:rPr>
            </w:pPr>
            <w:r>
              <w:rPr>
                <w:rFonts w:hint="eastAsia" w:ascii="宋体" w:hAnsi="宋体" w:cs="宋体"/>
                <w:color w:val="000000"/>
                <w:szCs w:val="21"/>
                <w:highlight w:val="none"/>
              </w:rPr>
              <w:t>评标价的评审：</w:t>
            </w:r>
          </w:p>
          <w:p w14:paraId="2431597C">
            <w:pPr>
              <w:pStyle w:val="6"/>
              <w:keepNext w:val="0"/>
              <w:keepLines w:val="0"/>
              <w:pageBreakBefore w:val="0"/>
              <w:widowControl w:val="0"/>
              <w:shd w:val="clear" w:color="auto" w:fill="auto"/>
              <w:kinsoku/>
              <w:wordWrap/>
              <w:overflowPunct/>
              <w:topLinePunct w:val="0"/>
              <w:autoSpaceDE/>
              <w:autoSpaceDN/>
              <w:bidi w:val="0"/>
              <w:snapToGrid/>
              <w:spacing w:after="0" w:line="440" w:lineRule="exact"/>
              <w:ind w:left="105" w:leftChars="50" w:right="0" w:firstLine="0" w:firstLineChars="0"/>
              <w:jc w:val="both"/>
              <w:rPr>
                <w:rFonts w:ascii="宋体" w:hAnsi="宋体" w:cs="宋体"/>
                <w:color w:val="000000"/>
                <w:sz w:val="21"/>
                <w:szCs w:val="21"/>
                <w:highlight w:val="none"/>
              </w:rPr>
            </w:pPr>
            <w:r>
              <w:rPr>
                <w:rFonts w:hint="eastAsia" w:ascii="宋体" w:hAnsi="宋体" w:cs="宋体"/>
                <w:color w:val="000000"/>
                <w:sz w:val="21"/>
                <w:szCs w:val="21"/>
                <w:highlight w:val="none"/>
              </w:rPr>
              <w:t>（1）评标价计算公式：</w:t>
            </w:r>
          </w:p>
          <w:p w14:paraId="072F8194">
            <w:pPr>
              <w:pStyle w:val="6"/>
              <w:keepNext w:val="0"/>
              <w:keepLines w:val="0"/>
              <w:pageBreakBefore w:val="0"/>
              <w:widowControl w:val="0"/>
              <w:shd w:val="clear" w:color="auto" w:fill="auto"/>
              <w:kinsoku/>
              <w:wordWrap/>
              <w:overflowPunct/>
              <w:topLinePunct w:val="0"/>
              <w:autoSpaceDE/>
              <w:autoSpaceDN/>
              <w:bidi w:val="0"/>
              <w:snapToGrid/>
              <w:spacing w:after="0" w:line="440" w:lineRule="exact"/>
              <w:ind w:left="105" w:leftChars="50" w:right="0" w:firstLine="0" w:firstLineChars="0"/>
              <w:jc w:val="both"/>
              <w:rPr>
                <w:rFonts w:hint="eastAsia" w:ascii="宋体" w:hAnsi="宋体" w:cs="宋体"/>
                <w:color w:val="000000"/>
                <w:sz w:val="21"/>
                <w:szCs w:val="21"/>
                <w:highlight w:val="none"/>
              </w:rPr>
            </w:pPr>
            <w:r>
              <w:rPr>
                <w:rFonts w:hint="eastAsia" w:ascii="宋体" w:hAnsi="宋体" w:cs="宋体"/>
                <w:color w:val="000000"/>
                <w:sz w:val="21"/>
                <w:szCs w:val="21"/>
                <w:highlight w:val="none"/>
              </w:rPr>
              <w:t>评标价=修正后的投标报价一暂估价一暂列金额（不含计日工总额）</w:t>
            </w:r>
          </w:p>
          <w:p w14:paraId="1D983ABA">
            <w:pPr>
              <w:pStyle w:val="6"/>
              <w:keepNext w:val="0"/>
              <w:keepLines w:val="0"/>
              <w:pageBreakBefore w:val="0"/>
              <w:widowControl w:val="0"/>
              <w:shd w:val="clear" w:color="auto" w:fill="auto"/>
              <w:kinsoku/>
              <w:wordWrap/>
              <w:overflowPunct/>
              <w:topLinePunct w:val="0"/>
              <w:autoSpaceDE/>
              <w:autoSpaceDN/>
              <w:bidi w:val="0"/>
              <w:snapToGrid/>
              <w:spacing w:after="0" w:line="440" w:lineRule="exact"/>
              <w:ind w:left="105" w:leftChars="50" w:right="0" w:firstLine="420" w:firstLineChars="200"/>
              <w:jc w:val="both"/>
              <w:rPr>
                <w:rFonts w:ascii="宋体" w:hAnsi="宋体" w:cs="宋体"/>
                <w:color w:val="000000"/>
                <w:sz w:val="21"/>
                <w:szCs w:val="21"/>
                <w:highlight w:val="none"/>
              </w:rPr>
            </w:pPr>
            <w:r>
              <w:rPr>
                <w:rFonts w:hint="eastAsia" w:ascii="宋体" w:hAnsi="宋体" w:cs="宋体"/>
                <w:color w:val="000000"/>
                <w:sz w:val="21"/>
                <w:szCs w:val="21"/>
                <w:highlight w:val="none"/>
              </w:rPr>
              <w:t>若投标人的评标价小于最高投标限价85％的，启动澄清程序，要求投标人作出书面说明并提供相关证明材料。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可以否决全部投标。未否决全部投标的，评标委员会应当在评标报告中阐明理由并推荐</w:t>
            </w:r>
            <w:r>
              <w:rPr>
                <w:rFonts w:hint="eastAsia" w:ascii="宋体" w:hAnsi="宋体" w:cs="宋体"/>
                <w:color w:val="000000"/>
                <w:sz w:val="21"/>
                <w:szCs w:val="21"/>
                <w:highlight w:val="none"/>
                <w:lang w:eastAsia="zh-CN"/>
              </w:rPr>
              <w:t>中标候选人</w:t>
            </w:r>
            <w:r>
              <w:rPr>
                <w:rFonts w:hint="eastAsia" w:ascii="宋体" w:hAnsi="宋体" w:cs="宋体"/>
                <w:color w:val="000000"/>
                <w:sz w:val="21"/>
                <w:szCs w:val="21"/>
                <w:highlight w:val="none"/>
              </w:rPr>
              <w:t>。</w:t>
            </w:r>
          </w:p>
        </w:tc>
      </w:tr>
      <w:tr w14:paraId="708E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816" w:type="dxa"/>
            <w:noWrap w:val="0"/>
            <w:vAlign w:val="center"/>
          </w:tcPr>
          <w:p w14:paraId="3F949917">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000000"/>
                <w:szCs w:val="21"/>
                <w:highlight w:val="none"/>
              </w:rPr>
            </w:pPr>
            <w:r>
              <w:rPr>
                <w:rFonts w:hint="eastAsia" w:ascii="宋体" w:hAnsi="宋体" w:cs="宋体"/>
                <w:color w:val="000000"/>
                <w:szCs w:val="21"/>
                <w:highlight w:val="none"/>
              </w:rPr>
              <w:t>3.2.4</w:t>
            </w:r>
          </w:p>
        </w:tc>
        <w:tc>
          <w:tcPr>
            <w:tcW w:w="1956" w:type="dxa"/>
            <w:noWrap w:val="0"/>
            <w:vAlign w:val="center"/>
          </w:tcPr>
          <w:p w14:paraId="4F6A7453">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left="105" w:leftChars="50" w:right="20"/>
              <w:jc w:val="center"/>
              <w:textAlignment w:val="baseline"/>
              <w:rPr>
                <w:rFonts w:ascii="宋体" w:hAnsi="宋体" w:cs="宋体"/>
                <w:color w:val="000000"/>
                <w:szCs w:val="21"/>
                <w:highlight w:val="none"/>
              </w:rPr>
            </w:pPr>
            <w:r>
              <w:rPr>
                <w:rFonts w:hint="eastAsia" w:ascii="宋体" w:hAnsi="宋体" w:cs="宋体"/>
                <w:color w:val="000000"/>
                <w:szCs w:val="21"/>
                <w:highlight w:val="none"/>
              </w:rPr>
              <w:t>通过第一个信封详细评审的投标人数量</w:t>
            </w:r>
          </w:p>
        </w:tc>
        <w:tc>
          <w:tcPr>
            <w:tcW w:w="5300" w:type="dxa"/>
            <w:noWrap w:val="0"/>
            <w:vAlign w:val="center"/>
          </w:tcPr>
          <w:p w14:paraId="5C615019">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both"/>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按照投标人的商务和技术得分由高到低排序，选择前5名</w:t>
            </w:r>
            <w:r>
              <w:rPr>
                <w:rFonts w:hint="eastAsia" w:ascii="宋体" w:hAnsi="宋体" w:cs="宋体"/>
                <w:color w:val="000000"/>
                <w:szCs w:val="21"/>
                <w:highlight w:val="none"/>
                <w:u w:val="single"/>
                <w:lang w:eastAsia="zh-CN"/>
              </w:rPr>
              <w:t>（</w:t>
            </w:r>
            <w:r>
              <w:rPr>
                <w:rFonts w:hint="eastAsia" w:ascii="宋体" w:hAnsi="宋体" w:cs="宋体"/>
                <w:color w:val="000000"/>
                <w:szCs w:val="21"/>
                <w:highlight w:val="none"/>
                <w:u w:val="single"/>
              </w:rPr>
              <w:t>不少于3名但不足5名时，按全部实际数量）</w:t>
            </w:r>
            <w:r>
              <w:rPr>
                <w:rFonts w:hint="eastAsia" w:ascii="宋体" w:hAnsi="宋体" w:cs="宋体"/>
                <w:color w:val="000000"/>
                <w:szCs w:val="21"/>
                <w:highlight w:val="none"/>
              </w:rPr>
              <w:t>通过详细评审</w:t>
            </w:r>
            <w:r>
              <w:rPr>
                <w:rFonts w:hint="eastAsia" w:ascii="宋体" w:hAnsi="宋体" w:cs="宋体"/>
                <w:color w:val="000000"/>
                <w:szCs w:val="21"/>
                <w:highlight w:val="none"/>
                <w:lang w:eastAsia="zh-CN"/>
              </w:rPr>
              <w:t>。</w:t>
            </w:r>
          </w:p>
        </w:tc>
      </w:tr>
    </w:tbl>
    <w:p w14:paraId="17E38AF9">
      <w:pPr>
        <w:keepNext w:val="0"/>
        <w:keepLines w:val="0"/>
        <w:pageBreakBefore w:val="0"/>
        <w:widowControl w:val="0"/>
        <w:shd w:val="clear" w:color="auto" w:fill="auto"/>
        <w:kinsoku/>
        <w:wordWrap/>
        <w:overflowPunct/>
        <w:topLinePunct w:val="0"/>
        <w:autoSpaceDE/>
        <w:autoSpaceDN/>
        <w:bidi w:val="0"/>
        <w:adjustRightInd w:val="0"/>
        <w:snapToGrid/>
        <w:spacing w:line="360" w:lineRule="auto"/>
        <w:jc w:val="both"/>
        <w:textAlignment w:val="baseline"/>
        <w:outlineLvl w:val="9"/>
        <w:rPr>
          <w:rFonts w:hint="eastAsia" w:ascii="宋体" w:hAnsi="宋体"/>
          <w:b/>
          <w:bCs/>
          <w:color w:val="000000"/>
          <w:sz w:val="32"/>
          <w:szCs w:val="32"/>
          <w:highlight w:val="none"/>
        </w:rPr>
      </w:pPr>
    </w:p>
    <w:p w14:paraId="02D79C7D">
      <w:pPr>
        <w:pStyle w:val="5"/>
        <w:keepNext w:val="0"/>
        <w:keepLines w:val="0"/>
        <w:pageBreakBefore w:val="0"/>
        <w:widowControl w:val="0"/>
        <w:shd w:val="clear" w:color="auto" w:fill="auto"/>
        <w:kinsoku/>
        <w:wordWrap/>
        <w:overflowPunct/>
        <w:topLinePunct w:val="0"/>
        <w:bidi w:val="0"/>
        <w:adjustRightInd w:val="0"/>
        <w:snapToGrid/>
        <w:spacing w:line="360" w:lineRule="auto"/>
        <w:jc w:val="both"/>
        <w:outlineLvl w:val="9"/>
        <w:rPr>
          <w:rFonts w:hint="eastAsia" w:ascii="宋体" w:hAnsi="宋体"/>
          <w:b/>
          <w:bCs/>
          <w:color w:val="000000"/>
          <w:sz w:val="32"/>
          <w:szCs w:val="32"/>
          <w:highlight w:val="none"/>
        </w:rPr>
      </w:pPr>
    </w:p>
    <w:p w14:paraId="26DAC659">
      <w:pPr>
        <w:pStyle w:val="9"/>
        <w:keepNext w:val="0"/>
        <w:keepLines w:val="0"/>
        <w:pageBreakBefore w:val="0"/>
        <w:widowControl w:val="0"/>
        <w:shd w:val="clear" w:color="auto" w:fill="auto"/>
        <w:kinsoku/>
        <w:wordWrap/>
        <w:overflowPunct/>
        <w:topLinePunct w:val="0"/>
        <w:bidi w:val="0"/>
        <w:adjustRightInd w:val="0"/>
        <w:snapToGrid/>
        <w:spacing w:line="360" w:lineRule="auto"/>
        <w:jc w:val="both"/>
        <w:outlineLvl w:val="9"/>
        <w:rPr>
          <w:rFonts w:hint="eastAsia" w:ascii="宋体" w:hAnsi="宋体"/>
          <w:b/>
          <w:bCs/>
          <w:color w:val="000000"/>
          <w:sz w:val="32"/>
          <w:szCs w:val="32"/>
          <w:highlight w:val="none"/>
        </w:rPr>
      </w:pPr>
    </w:p>
    <w:p w14:paraId="79B1C563">
      <w:pPr>
        <w:pStyle w:val="9"/>
        <w:keepNext w:val="0"/>
        <w:keepLines w:val="0"/>
        <w:pageBreakBefore w:val="0"/>
        <w:widowControl w:val="0"/>
        <w:shd w:val="clear" w:color="auto" w:fill="auto"/>
        <w:kinsoku/>
        <w:wordWrap/>
        <w:overflowPunct/>
        <w:topLinePunct w:val="0"/>
        <w:bidi w:val="0"/>
        <w:adjustRightInd w:val="0"/>
        <w:snapToGrid/>
        <w:spacing w:line="360" w:lineRule="auto"/>
        <w:jc w:val="both"/>
        <w:outlineLvl w:val="9"/>
        <w:rPr>
          <w:rFonts w:hint="eastAsia" w:ascii="宋体" w:hAnsi="宋体"/>
          <w:b/>
          <w:bCs/>
          <w:color w:val="000000"/>
          <w:sz w:val="32"/>
          <w:szCs w:val="32"/>
          <w:highlight w:val="none"/>
        </w:rPr>
      </w:pPr>
    </w:p>
    <w:p w14:paraId="35267EFD">
      <w:pPr>
        <w:pStyle w:val="9"/>
        <w:keepNext w:val="0"/>
        <w:keepLines w:val="0"/>
        <w:pageBreakBefore w:val="0"/>
        <w:widowControl w:val="0"/>
        <w:shd w:val="clear" w:color="auto" w:fill="auto"/>
        <w:kinsoku/>
        <w:wordWrap/>
        <w:overflowPunct/>
        <w:topLinePunct w:val="0"/>
        <w:bidi w:val="0"/>
        <w:adjustRightInd w:val="0"/>
        <w:snapToGrid/>
        <w:spacing w:line="360" w:lineRule="auto"/>
        <w:jc w:val="both"/>
        <w:outlineLvl w:val="9"/>
        <w:rPr>
          <w:rFonts w:hint="eastAsia" w:ascii="宋体" w:hAnsi="宋体"/>
          <w:b/>
          <w:bCs/>
          <w:color w:val="000000"/>
          <w:sz w:val="32"/>
          <w:szCs w:val="32"/>
          <w:highlight w:val="none"/>
        </w:rPr>
      </w:pPr>
    </w:p>
    <w:p w14:paraId="1CC3D5D9">
      <w:pPr>
        <w:pStyle w:val="9"/>
        <w:keepNext w:val="0"/>
        <w:keepLines w:val="0"/>
        <w:pageBreakBefore w:val="0"/>
        <w:widowControl w:val="0"/>
        <w:shd w:val="clear" w:color="auto" w:fill="auto"/>
        <w:kinsoku/>
        <w:wordWrap/>
        <w:overflowPunct/>
        <w:topLinePunct w:val="0"/>
        <w:bidi w:val="0"/>
        <w:adjustRightInd w:val="0"/>
        <w:snapToGrid/>
        <w:spacing w:line="360" w:lineRule="auto"/>
        <w:jc w:val="both"/>
        <w:outlineLvl w:val="9"/>
        <w:rPr>
          <w:rFonts w:hint="eastAsia" w:ascii="宋体" w:hAnsi="宋体"/>
          <w:b/>
          <w:bCs/>
          <w:color w:val="000000"/>
          <w:sz w:val="32"/>
          <w:szCs w:val="32"/>
          <w:highlight w:val="none"/>
        </w:rPr>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7"/>
        <w:gridCol w:w="568"/>
        <w:gridCol w:w="634"/>
        <w:gridCol w:w="946"/>
        <w:gridCol w:w="676"/>
        <w:gridCol w:w="5521"/>
      </w:tblGrid>
      <w:tr w14:paraId="5C9F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3551" w:type="dxa"/>
            <w:gridSpan w:val="5"/>
            <w:noWrap w:val="0"/>
            <w:vAlign w:val="center"/>
          </w:tcPr>
          <w:p w14:paraId="645AB65D">
            <w:pPr>
              <w:pStyle w:val="6"/>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firstLine="0" w:firstLineChars="0"/>
              <w:jc w:val="center"/>
              <w:rPr>
                <w:rFonts w:ascii="宋体" w:hAnsi="宋体" w:cs="宋体"/>
                <w:b/>
                <w:bCs/>
                <w:color w:val="000000"/>
                <w:szCs w:val="21"/>
                <w:highlight w:val="none"/>
              </w:rPr>
            </w:pPr>
            <w:r>
              <w:rPr>
                <w:rFonts w:hint="eastAsia" w:ascii="宋体" w:hAnsi="宋体" w:cs="宋体"/>
                <w:b/>
                <w:bCs/>
                <w:color w:val="000000"/>
                <w:szCs w:val="21"/>
                <w:highlight w:val="none"/>
              </w:rPr>
              <w:t>评分因素与权重分值</w:t>
            </w:r>
          </w:p>
        </w:tc>
        <w:tc>
          <w:tcPr>
            <w:tcW w:w="5521" w:type="dxa"/>
            <w:vMerge w:val="restart"/>
            <w:noWrap w:val="0"/>
            <w:vAlign w:val="center"/>
          </w:tcPr>
          <w:p w14:paraId="164BADF2">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center"/>
              <w:rPr>
                <w:rFonts w:ascii="宋体" w:hAnsi="宋体" w:cs="宋体"/>
                <w:color w:val="000000"/>
                <w:szCs w:val="21"/>
                <w:highlight w:val="none"/>
              </w:rPr>
            </w:pPr>
            <w:r>
              <w:rPr>
                <w:rFonts w:hint="eastAsia" w:ascii="宋体" w:hAnsi="宋体" w:cs="宋体"/>
                <w:b/>
                <w:bCs/>
                <w:color w:val="000000"/>
                <w:szCs w:val="21"/>
                <w:highlight w:val="none"/>
              </w:rPr>
              <w:t>评分标准</w:t>
            </w:r>
          </w:p>
        </w:tc>
      </w:tr>
      <w:tr w14:paraId="2ED8B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27" w:type="dxa"/>
            <w:noWrap w:val="0"/>
            <w:vAlign w:val="center"/>
          </w:tcPr>
          <w:p w14:paraId="4CD1967A">
            <w:pPr>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0" w:leftChars="0" w:right="0"/>
              <w:jc w:val="center"/>
              <w:textAlignment w:val="baseline"/>
              <w:rPr>
                <w:rFonts w:ascii="宋体" w:hAnsi="宋体" w:cs="宋体"/>
                <w:b/>
                <w:bCs/>
                <w:color w:val="000000"/>
                <w:szCs w:val="21"/>
                <w:highlight w:val="none"/>
              </w:rPr>
            </w:pPr>
            <w:r>
              <w:rPr>
                <w:rFonts w:hint="eastAsia" w:ascii="宋体" w:hAnsi="宋体" w:cs="宋体"/>
                <w:b/>
                <w:bCs/>
                <w:color w:val="000000"/>
                <w:szCs w:val="21"/>
                <w:highlight w:val="none"/>
              </w:rPr>
              <w:t>条款号</w:t>
            </w:r>
          </w:p>
        </w:tc>
        <w:tc>
          <w:tcPr>
            <w:tcW w:w="568" w:type="dxa"/>
            <w:noWrap w:val="0"/>
            <w:vAlign w:val="center"/>
          </w:tcPr>
          <w:p w14:paraId="5FD87682">
            <w:pPr>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0" w:leftChars="0" w:right="0"/>
              <w:jc w:val="center"/>
              <w:textAlignment w:val="baseline"/>
              <w:rPr>
                <w:rFonts w:ascii="宋体" w:hAnsi="宋体" w:cs="宋体"/>
                <w:b/>
                <w:bCs/>
                <w:color w:val="000000"/>
                <w:szCs w:val="21"/>
                <w:highlight w:val="none"/>
              </w:rPr>
            </w:pPr>
            <w:r>
              <w:rPr>
                <w:rFonts w:hint="eastAsia" w:ascii="宋体" w:hAnsi="宋体" w:cs="宋体"/>
                <w:b/>
                <w:bCs/>
                <w:color w:val="000000"/>
                <w:szCs w:val="21"/>
                <w:highlight w:val="none"/>
              </w:rPr>
              <w:t>评分</w:t>
            </w:r>
          </w:p>
          <w:p w14:paraId="4FF36A37">
            <w:pPr>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0" w:leftChars="0" w:right="0"/>
              <w:jc w:val="center"/>
              <w:textAlignment w:val="baseline"/>
              <w:rPr>
                <w:rFonts w:ascii="宋体" w:hAnsi="宋体" w:cs="宋体"/>
                <w:b/>
                <w:bCs/>
                <w:color w:val="000000"/>
                <w:szCs w:val="21"/>
                <w:highlight w:val="none"/>
              </w:rPr>
            </w:pPr>
            <w:r>
              <w:rPr>
                <w:rFonts w:hint="eastAsia" w:ascii="宋体" w:hAnsi="宋体" w:cs="宋体"/>
                <w:b/>
                <w:bCs/>
                <w:color w:val="000000"/>
                <w:szCs w:val="21"/>
                <w:highlight w:val="none"/>
              </w:rPr>
              <w:t>因素</w:t>
            </w:r>
          </w:p>
        </w:tc>
        <w:tc>
          <w:tcPr>
            <w:tcW w:w="634" w:type="dxa"/>
            <w:noWrap w:val="0"/>
            <w:vAlign w:val="center"/>
          </w:tcPr>
          <w:p w14:paraId="6F6EC3F8">
            <w:pPr>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0" w:leftChars="0" w:right="0"/>
              <w:jc w:val="center"/>
              <w:textAlignment w:val="baseline"/>
              <w:rPr>
                <w:rFonts w:ascii="宋体" w:hAnsi="宋体" w:cs="宋体"/>
                <w:b/>
                <w:bCs/>
                <w:color w:val="000000"/>
                <w:szCs w:val="21"/>
                <w:highlight w:val="none"/>
              </w:rPr>
            </w:pPr>
            <w:r>
              <w:rPr>
                <w:rFonts w:hint="eastAsia" w:ascii="宋体" w:hAnsi="宋体" w:cs="宋体"/>
                <w:b/>
                <w:bCs/>
                <w:color w:val="000000"/>
                <w:szCs w:val="21"/>
                <w:highlight w:val="none"/>
              </w:rPr>
              <w:t>评分</w:t>
            </w:r>
          </w:p>
          <w:p w14:paraId="20AA1EAA">
            <w:pPr>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0" w:leftChars="0" w:right="0"/>
              <w:jc w:val="center"/>
              <w:textAlignment w:val="baseline"/>
              <w:rPr>
                <w:rFonts w:hint="default" w:ascii="宋体" w:hAnsi="宋体" w:eastAsia="宋体" w:cs="宋体"/>
                <w:b/>
                <w:bCs/>
                <w:color w:val="000000"/>
                <w:szCs w:val="21"/>
                <w:highlight w:val="none"/>
                <w:lang w:val="en-US" w:eastAsia="zh-CN"/>
              </w:rPr>
            </w:pPr>
            <w:r>
              <w:rPr>
                <w:rFonts w:hint="eastAsia" w:ascii="宋体" w:hAnsi="宋体" w:cs="宋体"/>
                <w:b/>
                <w:bCs/>
                <w:color w:val="000000"/>
                <w:szCs w:val="21"/>
                <w:highlight w:val="none"/>
              </w:rPr>
              <w:t>因素权重</w:t>
            </w:r>
            <w:r>
              <w:rPr>
                <w:rFonts w:hint="eastAsia" w:ascii="宋体" w:hAnsi="宋体" w:cs="宋体"/>
                <w:b/>
                <w:bCs/>
                <w:color w:val="000000"/>
                <w:szCs w:val="21"/>
                <w:highlight w:val="none"/>
                <w:lang w:val="en-US" w:eastAsia="zh-CN"/>
              </w:rPr>
              <w:t>分值</w:t>
            </w:r>
          </w:p>
        </w:tc>
        <w:tc>
          <w:tcPr>
            <w:tcW w:w="946" w:type="dxa"/>
            <w:noWrap w:val="0"/>
            <w:vAlign w:val="center"/>
          </w:tcPr>
          <w:p w14:paraId="1AC386EC">
            <w:pPr>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0" w:leftChars="0" w:right="0"/>
              <w:jc w:val="center"/>
              <w:textAlignment w:val="baseline"/>
              <w:rPr>
                <w:rFonts w:ascii="宋体" w:hAnsi="宋体" w:cs="宋体"/>
                <w:b/>
                <w:bCs/>
                <w:color w:val="000000"/>
                <w:szCs w:val="21"/>
                <w:highlight w:val="none"/>
              </w:rPr>
            </w:pPr>
            <w:r>
              <w:rPr>
                <w:rFonts w:hint="eastAsia" w:ascii="宋体" w:hAnsi="宋体" w:cs="宋体"/>
                <w:b/>
                <w:bCs/>
                <w:color w:val="000000"/>
                <w:szCs w:val="21"/>
                <w:highlight w:val="none"/>
              </w:rPr>
              <w:t>各评分因素细分项</w:t>
            </w:r>
          </w:p>
        </w:tc>
        <w:tc>
          <w:tcPr>
            <w:tcW w:w="676" w:type="dxa"/>
            <w:noWrap w:val="0"/>
            <w:vAlign w:val="center"/>
          </w:tcPr>
          <w:p w14:paraId="0E67D92C">
            <w:pPr>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0" w:leftChars="0" w:right="0"/>
              <w:jc w:val="center"/>
              <w:textAlignment w:val="baseline"/>
              <w:rPr>
                <w:rFonts w:ascii="宋体" w:hAnsi="宋体" w:cs="宋体"/>
                <w:b/>
                <w:bCs/>
                <w:color w:val="000000"/>
                <w:szCs w:val="21"/>
                <w:highlight w:val="none"/>
              </w:rPr>
            </w:pPr>
            <w:r>
              <w:rPr>
                <w:rFonts w:hint="eastAsia" w:ascii="宋体" w:hAnsi="宋体" w:cs="宋体"/>
                <w:b/>
                <w:bCs/>
                <w:color w:val="000000"/>
                <w:szCs w:val="21"/>
                <w:highlight w:val="none"/>
              </w:rPr>
              <w:t>分值</w:t>
            </w:r>
          </w:p>
        </w:tc>
        <w:tc>
          <w:tcPr>
            <w:tcW w:w="5521" w:type="dxa"/>
            <w:vMerge w:val="continue"/>
            <w:noWrap w:val="0"/>
            <w:vAlign w:val="center"/>
          </w:tcPr>
          <w:p w14:paraId="0894A7F0">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center"/>
              <w:rPr>
                <w:rFonts w:ascii="宋体" w:hAnsi="宋体" w:cs="宋体"/>
                <w:color w:val="000000"/>
                <w:szCs w:val="21"/>
                <w:highlight w:val="none"/>
              </w:rPr>
            </w:pPr>
          </w:p>
        </w:tc>
      </w:tr>
      <w:tr w14:paraId="2EF53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27" w:type="dxa"/>
            <w:vMerge w:val="restart"/>
            <w:noWrap w:val="0"/>
            <w:vAlign w:val="center"/>
          </w:tcPr>
          <w:p w14:paraId="2152CA16">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ascii="宋体" w:hAnsi="宋体" w:cs="宋体"/>
                <w:color w:val="000000"/>
                <w:szCs w:val="21"/>
                <w:highlight w:val="none"/>
              </w:rPr>
            </w:pPr>
            <w:r>
              <w:rPr>
                <w:rFonts w:hint="eastAsia" w:ascii="宋体" w:hAnsi="宋体" w:cs="宋体"/>
                <w:color w:val="000000"/>
                <w:szCs w:val="21"/>
                <w:highlight w:val="none"/>
              </w:rPr>
              <w:t>2.2.2</w:t>
            </w:r>
          </w:p>
          <w:p w14:paraId="514B1370">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568" w:type="dxa"/>
            <w:vMerge w:val="restart"/>
            <w:noWrap w:val="0"/>
            <w:vAlign w:val="center"/>
          </w:tcPr>
          <w:p w14:paraId="0AF69A9A">
            <w:pPr>
              <w:keepNext w:val="0"/>
              <w:keepLines w:val="0"/>
              <w:pageBreakBefore w:val="0"/>
              <w:widowControl w:val="0"/>
              <w:shd w:val="clear" w:color="auto" w:fill="auto"/>
              <w:kinsoku/>
              <w:wordWrap/>
              <w:overflowPunct/>
              <w:topLinePunct w:val="0"/>
              <w:autoSpaceDE w:val="0"/>
              <w:autoSpaceDN w:val="0"/>
              <w:bidi w:val="0"/>
              <w:adjustRightInd w:val="0"/>
              <w:snapToGrid w:val="0"/>
              <w:spacing w:line="240" w:lineRule="auto"/>
              <w:ind w:left="0" w:leftChars="0" w:right="0"/>
              <w:jc w:val="center"/>
              <w:textAlignment w:val="baseline"/>
              <w:rPr>
                <w:rFonts w:ascii="宋体" w:hAnsi="宋体" w:cs="宋体"/>
                <w:color w:val="000000"/>
                <w:szCs w:val="21"/>
                <w:highlight w:val="none"/>
              </w:rPr>
            </w:pPr>
            <w:r>
              <w:rPr>
                <w:rFonts w:hint="eastAsia" w:ascii="宋体" w:hAnsi="宋体" w:cs="宋体"/>
                <w:color w:val="000000"/>
                <w:szCs w:val="21"/>
                <w:highlight w:val="none"/>
              </w:rPr>
              <w:t>施工组织设计</w:t>
            </w:r>
          </w:p>
        </w:tc>
        <w:tc>
          <w:tcPr>
            <w:tcW w:w="634" w:type="dxa"/>
            <w:vMerge w:val="restart"/>
            <w:noWrap w:val="0"/>
            <w:vAlign w:val="center"/>
          </w:tcPr>
          <w:p w14:paraId="24C7DE3D">
            <w:pPr>
              <w:pStyle w:val="10"/>
              <w:keepNext w:val="0"/>
              <w:keepLines w:val="0"/>
              <w:pageBreakBefore w:val="0"/>
              <w:widowControl w:val="0"/>
              <w:shd w:val="clear" w:color="auto" w:fill="auto"/>
              <w:kinsoku/>
              <w:wordWrap/>
              <w:overflowPunct/>
              <w:topLinePunct w:val="0"/>
              <w:bidi w:val="0"/>
              <w:adjustRightInd w:val="0"/>
              <w:spacing w:before="0" w:line="240" w:lineRule="auto"/>
              <w:ind w:left="0" w:leftChars="0" w:right="0"/>
              <w:jc w:val="center"/>
              <w:textAlignment w:val="baseline"/>
              <w:rPr>
                <w:rFonts w:ascii="宋体" w:hAnsi="宋体" w:eastAsia="宋体" w:cs="宋体"/>
                <w:color w:val="000000"/>
                <w:sz w:val="21"/>
                <w:szCs w:val="21"/>
                <w:highlight w:val="none"/>
              </w:rPr>
            </w:pPr>
            <w:r>
              <w:rPr>
                <w:rFonts w:hint="eastAsia" w:ascii="宋体" w:hAnsi="宋体" w:eastAsia="宋体" w:cs="宋体"/>
                <w:color w:val="000000"/>
                <w:kern w:val="2"/>
                <w:sz w:val="21"/>
                <w:szCs w:val="21"/>
                <w:highlight w:val="none"/>
              </w:rPr>
              <w:t>40分</w:t>
            </w:r>
          </w:p>
        </w:tc>
        <w:tc>
          <w:tcPr>
            <w:tcW w:w="946" w:type="dxa"/>
            <w:noWrap w:val="0"/>
            <w:vAlign w:val="center"/>
          </w:tcPr>
          <w:p w14:paraId="7498E873">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jc w:val="center"/>
              <w:textAlignment w:val="baseline"/>
              <w:rPr>
                <w:rFonts w:ascii="宋体" w:hAnsi="宋体" w:cs="宋体"/>
                <w:color w:val="000000"/>
                <w:szCs w:val="21"/>
                <w:highlight w:val="none"/>
              </w:rPr>
            </w:pPr>
            <w:r>
              <w:rPr>
                <w:rFonts w:hint="eastAsia" w:ascii="宋体" w:hAnsi="宋体" w:cs="宋体"/>
                <w:color w:val="000000"/>
                <w:szCs w:val="21"/>
                <w:highlight w:val="none"/>
              </w:rPr>
              <w:t>总体施工组织布置及规划</w:t>
            </w:r>
          </w:p>
        </w:tc>
        <w:tc>
          <w:tcPr>
            <w:tcW w:w="676" w:type="dxa"/>
            <w:noWrap w:val="0"/>
            <w:vAlign w:val="center"/>
          </w:tcPr>
          <w:p w14:paraId="47EAAB7E">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left="105" w:leftChars="50" w:firstLine="0" w:firstLineChars="0"/>
              <w:jc w:val="center"/>
              <w:textAlignment w:val="baseline"/>
              <w:rPr>
                <w:rFonts w:ascii="宋体" w:hAnsi="宋体" w:cs="宋体"/>
                <w:color w:val="000000"/>
                <w:szCs w:val="21"/>
                <w:highlight w:val="none"/>
              </w:rPr>
            </w:pPr>
            <w:r>
              <w:rPr>
                <w:rFonts w:hint="eastAsia" w:ascii="宋体" w:hAnsi="宋体" w:cs="宋体"/>
                <w:color w:val="000000"/>
                <w:szCs w:val="21"/>
                <w:highlight w:val="none"/>
                <w:lang w:val="en-US" w:eastAsia="zh-CN"/>
              </w:rPr>
              <w:t>20</w:t>
            </w:r>
            <w:r>
              <w:rPr>
                <w:rFonts w:hint="eastAsia" w:ascii="宋体" w:hAnsi="宋体" w:cs="宋体"/>
                <w:color w:val="000000"/>
                <w:szCs w:val="21"/>
                <w:highlight w:val="none"/>
              </w:rPr>
              <w:t>分</w:t>
            </w:r>
          </w:p>
        </w:tc>
        <w:tc>
          <w:tcPr>
            <w:tcW w:w="5521" w:type="dxa"/>
            <w:noWrap w:val="0"/>
            <w:vAlign w:val="center"/>
          </w:tcPr>
          <w:p w14:paraId="032EC42A">
            <w:pPr>
              <w:keepNext w:val="0"/>
              <w:keepLines w:val="0"/>
              <w:pageBreakBefore w:val="0"/>
              <w:widowControl w:val="0"/>
              <w:shd w:val="clear" w:color="auto" w:fill="auto"/>
              <w:tabs>
                <w:tab w:val="left" w:pos="380"/>
                <w:tab w:val="left" w:pos="840"/>
                <w:tab w:val="left" w:pos="1260"/>
              </w:tabs>
              <w:kinsoku/>
              <w:wordWrap/>
              <w:overflowPunct/>
              <w:topLinePunct w:val="0"/>
              <w:autoSpaceDE/>
              <w:autoSpaceDN/>
              <w:bidi w:val="0"/>
              <w:adjustRightInd w:val="0"/>
              <w:snapToGrid w:val="0"/>
              <w:spacing w:line="440" w:lineRule="exact"/>
              <w:ind w:left="105" w:leftChars="50" w:right="105" w:rightChars="50" w:firstLine="0" w:firstLineChars="0"/>
              <w:jc w:val="both"/>
              <w:textAlignment w:val="baseline"/>
              <w:rPr>
                <w:rFonts w:hint="eastAsia" w:ascii="宋体" w:hAnsi="宋体" w:cs="宋体"/>
                <w:color w:val="000000"/>
                <w:szCs w:val="21"/>
                <w:highlight w:val="none"/>
              </w:rPr>
            </w:pPr>
            <w:r>
              <w:rPr>
                <w:rFonts w:hint="eastAsia" w:ascii="宋体" w:hAnsi="宋体" w:cs="宋体"/>
                <w:color w:val="000000"/>
                <w:szCs w:val="21"/>
                <w:highlight w:val="none"/>
              </w:rPr>
              <w:t>（1）对项目的基本情况了解全面、准确，施工总体布置规划、施工进度计划科学合理、可操作性强，按《广东省公路工程施工标准化指南》及《公路工程施工安全防护设施技术指南》执行，得</w:t>
            </w:r>
            <w:r>
              <w:rPr>
                <w:rFonts w:hint="eastAsia" w:ascii="宋体" w:hAnsi="宋体" w:cs="宋体"/>
                <w:color w:val="000000"/>
                <w:szCs w:val="21"/>
                <w:highlight w:val="none"/>
                <w:u w:val="single"/>
                <w:lang w:val="en-US" w:eastAsia="zh-CN"/>
              </w:rPr>
              <w:t>16～20</w:t>
            </w:r>
            <w:r>
              <w:rPr>
                <w:rFonts w:hint="eastAsia" w:ascii="宋体" w:hAnsi="宋体" w:cs="宋体"/>
                <w:color w:val="000000"/>
                <w:szCs w:val="21"/>
                <w:highlight w:val="none"/>
              </w:rPr>
              <w:t>分（满分分值的 80%～100%）；</w:t>
            </w:r>
          </w:p>
          <w:p w14:paraId="09890945">
            <w:pPr>
              <w:keepNext w:val="0"/>
              <w:keepLines w:val="0"/>
              <w:pageBreakBefore w:val="0"/>
              <w:widowControl w:val="0"/>
              <w:shd w:val="clear" w:color="auto" w:fill="auto"/>
              <w:tabs>
                <w:tab w:val="left" w:pos="380"/>
                <w:tab w:val="left" w:pos="840"/>
                <w:tab w:val="left" w:pos="1260"/>
              </w:tabs>
              <w:kinsoku/>
              <w:wordWrap/>
              <w:overflowPunct/>
              <w:topLinePunct w:val="0"/>
              <w:autoSpaceDE/>
              <w:autoSpaceDN/>
              <w:bidi w:val="0"/>
              <w:adjustRightInd w:val="0"/>
              <w:snapToGrid w:val="0"/>
              <w:spacing w:line="440" w:lineRule="exact"/>
              <w:ind w:left="105" w:leftChars="50" w:right="105" w:rightChars="50" w:firstLine="0" w:firstLineChars="0"/>
              <w:jc w:val="both"/>
              <w:textAlignment w:val="baseline"/>
              <w:rPr>
                <w:rFonts w:hint="eastAsia" w:ascii="宋体" w:hAnsi="宋体" w:cs="宋体"/>
                <w:color w:val="000000"/>
                <w:szCs w:val="21"/>
                <w:highlight w:val="none"/>
              </w:rPr>
            </w:pPr>
            <w:r>
              <w:rPr>
                <w:rFonts w:hint="eastAsia" w:ascii="宋体" w:hAnsi="宋体" w:cs="宋体"/>
                <w:color w:val="000000"/>
                <w:szCs w:val="21"/>
                <w:highlight w:val="none"/>
              </w:rPr>
              <w:t>（2）满足工程建设需要，施工总体布置规划、施工进度计划基本可行，得</w:t>
            </w:r>
            <w:r>
              <w:rPr>
                <w:rFonts w:hint="eastAsia" w:ascii="宋体" w:hAnsi="宋体" w:cs="宋体"/>
                <w:color w:val="000000"/>
                <w:szCs w:val="21"/>
                <w:highlight w:val="none"/>
                <w:u w:val="single"/>
                <w:lang w:val="en-US" w:eastAsia="zh-CN"/>
              </w:rPr>
              <w:t>12</w:t>
            </w:r>
            <w:r>
              <w:rPr>
                <w:rFonts w:hint="eastAsia" w:ascii="宋体" w:hAnsi="宋体" w:cs="宋体"/>
                <w:color w:val="000000"/>
                <w:szCs w:val="21"/>
                <w:highlight w:val="none"/>
                <w:u w:val="single"/>
              </w:rPr>
              <w:t>～</w:t>
            </w:r>
            <w:r>
              <w:rPr>
                <w:rFonts w:hint="eastAsia" w:ascii="宋体" w:hAnsi="宋体" w:cs="宋体"/>
                <w:color w:val="000000"/>
                <w:szCs w:val="21"/>
                <w:highlight w:val="none"/>
                <w:u w:val="single"/>
                <w:lang w:val="en-US" w:eastAsia="zh-CN"/>
              </w:rPr>
              <w:t>16</w:t>
            </w:r>
            <w:r>
              <w:rPr>
                <w:rFonts w:hint="eastAsia" w:ascii="宋体" w:hAnsi="宋体" w:cs="宋体"/>
                <w:color w:val="000000"/>
                <w:szCs w:val="21"/>
                <w:highlight w:val="none"/>
              </w:rPr>
              <w:t>分（满分分值的 60%～80%）；</w:t>
            </w:r>
          </w:p>
          <w:p w14:paraId="77B84F2B">
            <w:pPr>
              <w:keepNext w:val="0"/>
              <w:keepLines w:val="0"/>
              <w:pageBreakBefore w:val="0"/>
              <w:widowControl w:val="0"/>
              <w:shd w:val="clear" w:color="auto" w:fill="auto"/>
              <w:tabs>
                <w:tab w:val="left" w:pos="380"/>
                <w:tab w:val="left" w:pos="840"/>
                <w:tab w:val="left" w:pos="1260"/>
              </w:tabs>
              <w:kinsoku/>
              <w:wordWrap/>
              <w:overflowPunct/>
              <w:topLinePunct w:val="0"/>
              <w:autoSpaceDE/>
              <w:autoSpaceDN/>
              <w:bidi w:val="0"/>
              <w:adjustRightInd w:val="0"/>
              <w:snapToGrid w:val="0"/>
              <w:spacing w:line="440" w:lineRule="exact"/>
              <w:ind w:left="105" w:leftChars="50" w:right="105" w:rightChars="50" w:firstLine="0" w:firstLineChars="0"/>
              <w:jc w:val="both"/>
              <w:textAlignment w:val="baseline"/>
              <w:rPr>
                <w:rFonts w:ascii="宋体" w:hAnsi="宋体" w:cs="宋体"/>
                <w:color w:val="000000"/>
                <w:szCs w:val="21"/>
                <w:highlight w:val="none"/>
              </w:rPr>
            </w:pPr>
            <w:r>
              <w:rPr>
                <w:rFonts w:hint="eastAsia" w:ascii="宋体" w:hAnsi="宋体" w:cs="宋体"/>
                <w:color w:val="000000"/>
                <w:szCs w:val="21"/>
                <w:highlight w:val="none"/>
              </w:rPr>
              <w:t>（3）一般但不被评定为不响应的,得</w:t>
            </w:r>
            <w:r>
              <w:rPr>
                <w:rFonts w:hint="eastAsia" w:ascii="宋体" w:hAnsi="宋体" w:cs="宋体"/>
                <w:color w:val="000000"/>
                <w:szCs w:val="21"/>
                <w:highlight w:val="none"/>
                <w:u w:val="single"/>
                <w:lang w:val="en-US" w:eastAsia="zh-CN"/>
              </w:rPr>
              <w:t>12</w:t>
            </w:r>
            <w:r>
              <w:rPr>
                <w:rFonts w:hint="eastAsia" w:ascii="宋体" w:hAnsi="宋体" w:cs="宋体"/>
                <w:color w:val="000000"/>
                <w:szCs w:val="21"/>
                <w:highlight w:val="none"/>
              </w:rPr>
              <w:t>分（满分分值的60%）。</w:t>
            </w:r>
          </w:p>
        </w:tc>
      </w:tr>
      <w:tr w14:paraId="67EF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27" w:type="dxa"/>
            <w:vMerge w:val="continue"/>
            <w:noWrap w:val="0"/>
            <w:vAlign w:val="center"/>
          </w:tcPr>
          <w:p w14:paraId="4D8A4D04">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ascii="宋体" w:hAnsi="宋体" w:cs="宋体"/>
                <w:color w:val="000000"/>
                <w:szCs w:val="21"/>
                <w:highlight w:val="none"/>
              </w:rPr>
            </w:pPr>
          </w:p>
        </w:tc>
        <w:tc>
          <w:tcPr>
            <w:tcW w:w="568" w:type="dxa"/>
            <w:vMerge w:val="continue"/>
            <w:noWrap w:val="0"/>
            <w:vAlign w:val="center"/>
          </w:tcPr>
          <w:p w14:paraId="1211AF60">
            <w:pPr>
              <w:keepNext w:val="0"/>
              <w:keepLines w:val="0"/>
              <w:pageBreakBefore w:val="0"/>
              <w:widowControl w:val="0"/>
              <w:shd w:val="clear" w:color="auto" w:fill="auto"/>
              <w:kinsoku/>
              <w:wordWrap/>
              <w:overflowPunct/>
              <w:topLinePunct w:val="0"/>
              <w:bidi w:val="0"/>
              <w:ind w:left="105" w:leftChars="50"/>
              <w:jc w:val="center"/>
              <w:rPr>
                <w:rFonts w:ascii="宋体" w:hAnsi="宋体" w:cs="宋体"/>
                <w:color w:val="000000"/>
                <w:szCs w:val="21"/>
                <w:highlight w:val="none"/>
              </w:rPr>
            </w:pPr>
          </w:p>
        </w:tc>
        <w:tc>
          <w:tcPr>
            <w:tcW w:w="634" w:type="dxa"/>
            <w:vMerge w:val="continue"/>
            <w:noWrap w:val="0"/>
            <w:vAlign w:val="center"/>
          </w:tcPr>
          <w:p w14:paraId="4627A0C0">
            <w:pPr>
              <w:keepNext w:val="0"/>
              <w:keepLines w:val="0"/>
              <w:pageBreakBefore w:val="0"/>
              <w:widowControl w:val="0"/>
              <w:shd w:val="clear" w:color="auto" w:fill="auto"/>
              <w:kinsoku/>
              <w:wordWrap/>
              <w:overflowPunct/>
              <w:topLinePunct w:val="0"/>
              <w:bidi w:val="0"/>
              <w:spacing w:line="360" w:lineRule="auto"/>
              <w:ind w:left="105" w:leftChars="50"/>
              <w:jc w:val="center"/>
              <w:rPr>
                <w:rFonts w:ascii="宋体" w:hAnsi="宋体" w:cs="宋体"/>
                <w:color w:val="000000"/>
                <w:szCs w:val="21"/>
                <w:highlight w:val="none"/>
              </w:rPr>
            </w:pPr>
          </w:p>
        </w:tc>
        <w:tc>
          <w:tcPr>
            <w:tcW w:w="946" w:type="dxa"/>
            <w:noWrap w:val="0"/>
            <w:vAlign w:val="center"/>
          </w:tcPr>
          <w:p w14:paraId="75BEDA86">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jc w:val="center"/>
              <w:textAlignment w:val="baseline"/>
              <w:rPr>
                <w:rFonts w:ascii="宋体" w:hAnsi="宋体" w:cs="宋体"/>
                <w:color w:val="000000"/>
                <w:szCs w:val="21"/>
                <w:highlight w:val="none"/>
              </w:rPr>
            </w:pPr>
            <w:r>
              <w:rPr>
                <w:rFonts w:hint="eastAsia" w:ascii="宋体" w:hAnsi="宋体" w:cs="宋体"/>
                <w:color w:val="000000"/>
                <w:szCs w:val="21"/>
                <w:highlight w:val="none"/>
              </w:rPr>
              <w:t>重点、难点和关键工程的施工方案与技术措施</w:t>
            </w:r>
          </w:p>
        </w:tc>
        <w:tc>
          <w:tcPr>
            <w:tcW w:w="676" w:type="dxa"/>
            <w:noWrap w:val="0"/>
            <w:vAlign w:val="center"/>
          </w:tcPr>
          <w:p w14:paraId="1A032B8C">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left="105" w:leftChars="50" w:firstLine="0" w:firstLineChars="0"/>
              <w:jc w:val="center"/>
              <w:textAlignment w:val="baseline"/>
              <w:rPr>
                <w:rFonts w:ascii="宋体" w:hAnsi="宋体" w:cs="宋体"/>
                <w:color w:val="000000"/>
                <w:szCs w:val="21"/>
                <w:highlight w:val="none"/>
              </w:rPr>
            </w:pPr>
            <w:r>
              <w:rPr>
                <w:rFonts w:hint="eastAsia" w:ascii="宋体" w:hAnsi="宋体" w:cs="宋体"/>
                <w:color w:val="000000"/>
                <w:szCs w:val="21"/>
                <w:highlight w:val="none"/>
                <w:lang w:val="en-US" w:eastAsia="zh-CN"/>
              </w:rPr>
              <w:t>10</w:t>
            </w:r>
            <w:r>
              <w:rPr>
                <w:rFonts w:hint="eastAsia" w:ascii="宋体" w:hAnsi="宋体" w:cs="宋体"/>
                <w:color w:val="000000"/>
                <w:szCs w:val="21"/>
                <w:highlight w:val="none"/>
              </w:rPr>
              <w:t>分</w:t>
            </w:r>
          </w:p>
        </w:tc>
        <w:tc>
          <w:tcPr>
            <w:tcW w:w="5521" w:type="dxa"/>
            <w:noWrap w:val="0"/>
            <w:vAlign w:val="center"/>
          </w:tcPr>
          <w:p w14:paraId="2E1714C0">
            <w:pPr>
              <w:keepNext w:val="0"/>
              <w:keepLines w:val="0"/>
              <w:pageBreakBefore w:val="0"/>
              <w:widowControl w:val="0"/>
              <w:shd w:val="clear" w:color="auto" w:fill="auto"/>
              <w:kinsoku/>
              <w:wordWrap/>
              <w:overflowPunct/>
              <w:topLinePunct w:val="0"/>
              <w:autoSpaceDE/>
              <w:autoSpaceDN/>
              <w:bidi w:val="0"/>
              <w:adjustRightInd w:val="0"/>
              <w:spacing w:line="440" w:lineRule="exact"/>
              <w:ind w:left="105" w:leftChars="50" w:right="105" w:rightChars="50"/>
              <w:jc w:val="both"/>
              <w:textAlignment w:val="baseline"/>
              <w:rPr>
                <w:rFonts w:hint="eastAsia" w:ascii="宋体" w:hAnsi="宋体" w:cs="宋体"/>
                <w:color w:val="000000"/>
                <w:szCs w:val="21"/>
                <w:highlight w:val="none"/>
              </w:rPr>
            </w:pPr>
            <w:r>
              <w:rPr>
                <w:rFonts w:hint="eastAsia" w:ascii="宋体" w:hAnsi="宋体" w:cs="宋体"/>
                <w:color w:val="000000"/>
                <w:szCs w:val="21"/>
                <w:highlight w:val="none"/>
              </w:rPr>
              <w:t>（1）对项目重点、难点和关键工程认识分析透彻，能充分发挥自身优势，积极采用“四新”技术，制定的施工方案与技术措施针对性和可操作性强，重点突出的，按《广东省公路工程施工标准化指南》及《公路工程施工安全防护设施技术指南》执行，得</w:t>
            </w:r>
            <w:r>
              <w:rPr>
                <w:rFonts w:hint="eastAsia" w:ascii="宋体" w:hAnsi="宋体" w:cs="宋体"/>
                <w:color w:val="000000"/>
                <w:szCs w:val="21"/>
                <w:highlight w:val="none"/>
                <w:u w:val="single"/>
                <w:lang w:val="en-US" w:eastAsia="zh-CN"/>
              </w:rPr>
              <w:t>8～10</w:t>
            </w:r>
            <w:r>
              <w:rPr>
                <w:rFonts w:hint="eastAsia" w:ascii="宋体" w:hAnsi="宋体" w:cs="宋体"/>
                <w:color w:val="000000"/>
                <w:szCs w:val="21"/>
                <w:highlight w:val="none"/>
              </w:rPr>
              <w:t>分（满分分值的 80%～100%）；</w:t>
            </w:r>
          </w:p>
          <w:p w14:paraId="7C3185A0">
            <w:pPr>
              <w:keepNext w:val="0"/>
              <w:keepLines w:val="0"/>
              <w:pageBreakBefore w:val="0"/>
              <w:widowControl w:val="0"/>
              <w:shd w:val="clear" w:color="auto" w:fill="auto"/>
              <w:kinsoku/>
              <w:wordWrap/>
              <w:overflowPunct/>
              <w:topLinePunct w:val="0"/>
              <w:autoSpaceDE/>
              <w:autoSpaceDN/>
              <w:bidi w:val="0"/>
              <w:adjustRightInd w:val="0"/>
              <w:spacing w:line="440" w:lineRule="exact"/>
              <w:ind w:left="105" w:leftChars="50" w:right="105" w:rightChars="50"/>
              <w:jc w:val="both"/>
              <w:textAlignment w:val="baseline"/>
              <w:rPr>
                <w:rFonts w:hint="eastAsia" w:ascii="宋体" w:hAnsi="宋体" w:cs="宋体"/>
                <w:color w:val="000000"/>
                <w:szCs w:val="21"/>
                <w:highlight w:val="none"/>
              </w:rPr>
            </w:pPr>
            <w:r>
              <w:rPr>
                <w:rFonts w:hint="eastAsia" w:ascii="宋体" w:hAnsi="宋体" w:cs="宋体"/>
                <w:color w:val="000000"/>
                <w:szCs w:val="21"/>
                <w:highlight w:val="none"/>
              </w:rPr>
              <w:t>（2）对项目重点、难点和关键工程认识基本到位，施工方案与技术措施基本可行，重点较为突出的，得</w:t>
            </w:r>
            <w:r>
              <w:rPr>
                <w:rFonts w:hint="eastAsia" w:ascii="宋体" w:hAnsi="宋体" w:cs="宋体"/>
                <w:color w:val="000000"/>
                <w:szCs w:val="21"/>
                <w:highlight w:val="none"/>
                <w:u w:val="single"/>
                <w:lang w:val="en-US" w:eastAsia="zh-CN"/>
              </w:rPr>
              <w:t>6</w:t>
            </w:r>
            <w:r>
              <w:rPr>
                <w:rFonts w:hint="eastAsia" w:ascii="宋体" w:hAnsi="宋体" w:cs="宋体"/>
                <w:color w:val="000000"/>
                <w:szCs w:val="21"/>
                <w:highlight w:val="none"/>
                <w:u w:val="single"/>
              </w:rPr>
              <w:t>～</w:t>
            </w:r>
            <w:r>
              <w:rPr>
                <w:rFonts w:hint="eastAsia" w:ascii="宋体" w:hAnsi="宋体" w:cs="宋体"/>
                <w:color w:val="000000"/>
                <w:szCs w:val="21"/>
                <w:highlight w:val="none"/>
                <w:u w:val="single"/>
                <w:lang w:val="en-US" w:eastAsia="zh-CN"/>
              </w:rPr>
              <w:t>8</w:t>
            </w:r>
            <w:r>
              <w:rPr>
                <w:rFonts w:hint="eastAsia" w:ascii="宋体" w:hAnsi="宋体" w:cs="宋体"/>
                <w:color w:val="000000"/>
                <w:szCs w:val="21"/>
                <w:highlight w:val="none"/>
              </w:rPr>
              <w:t>分（满分分值的 60%～80%）；</w:t>
            </w:r>
          </w:p>
          <w:p w14:paraId="51A3FB27">
            <w:pPr>
              <w:keepNext w:val="0"/>
              <w:keepLines w:val="0"/>
              <w:pageBreakBefore w:val="0"/>
              <w:widowControl w:val="0"/>
              <w:shd w:val="clear" w:color="auto" w:fill="auto"/>
              <w:kinsoku/>
              <w:wordWrap/>
              <w:overflowPunct/>
              <w:topLinePunct w:val="0"/>
              <w:autoSpaceDE/>
              <w:autoSpaceDN/>
              <w:bidi w:val="0"/>
              <w:adjustRightInd w:val="0"/>
              <w:spacing w:line="440" w:lineRule="exact"/>
              <w:ind w:left="105" w:leftChars="50" w:right="105" w:rightChars="50"/>
              <w:jc w:val="both"/>
              <w:textAlignment w:val="baseline"/>
              <w:rPr>
                <w:rFonts w:ascii="宋体" w:hAnsi="宋体" w:cs="宋体"/>
                <w:color w:val="000000"/>
                <w:szCs w:val="21"/>
                <w:highlight w:val="none"/>
              </w:rPr>
            </w:pPr>
            <w:r>
              <w:rPr>
                <w:rFonts w:hint="eastAsia" w:ascii="宋体" w:hAnsi="宋体" w:cs="宋体"/>
                <w:color w:val="000000"/>
                <w:szCs w:val="21"/>
                <w:highlight w:val="none"/>
              </w:rPr>
              <w:t>（3）一般但不被评定为不响应的</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得</w:t>
            </w:r>
            <w:r>
              <w:rPr>
                <w:rFonts w:hint="eastAsia" w:ascii="宋体" w:hAnsi="宋体" w:cs="宋体"/>
                <w:color w:val="000000"/>
                <w:szCs w:val="21"/>
                <w:highlight w:val="none"/>
                <w:u w:val="single"/>
                <w:lang w:val="en-US" w:eastAsia="zh-CN"/>
              </w:rPr>
              <w:t>6</w:t>
            </w:r>
            <w:r>
              <w:rPr>
                <w:rFonts w:hint="eastAsia" w:ascii="宋体" w:hAnsi="宋体" w:cs="宋体"/>
                <w:color w:val="000000"/>
                <w:szCs w:val="21"/>
                <w:highlight w:val="none"/>
              </w:rPr>
              <w:t>分（满分分值的60%）。</w:t>
            </w:r>
          </w:p>
        </w:tc>
      </w:tr>
      <w:tr w14:paraId="5B383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27" w:type="dxa"/>
            <w:vMerge w:val="continue"/>
            <w:noWrap w:val="0"/>
            <w:vAlign w:val="center"/>
          </w:tcPr>
          <w:p w14:paraId="16CCD0FD">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ascii="宋体" w:hAnsi="宋体" w:cs="宋体"/>
                <w:color w:val="000000"/>
                <w:szCs w:val="21"/>
                <w:highlight w:val="none"/>
              </w:rPr>
            </w:pPr>
          </w:p>
        </w:tc>
        <w:tc>
          <w:tcPr>
            <w:tcW w:w="568" w:type="dxa"/>
            <w:vMerge w:val="continue"/>
            <w:noWrap w:val="0"/>
            <w:vAlign w:val="center"/>
          </w:tcPr>
          <w:p w14:paraId="2261F209">
            <w:pPr>
              <w:keepNext w:val="0"/>
              <w:keepLines w:val="0"/>
              <w:pageBreakBefore w:val="0"/>
              <w:widowControl w:val="0"/>
              <w:shd w:val="clear" w:color="auto" w:fill="auto"/>
              <w:kinsoku/>
              <w:wordWrap/>
              <w:overflowPunct/>
              <w:topLinePunct w:val="0"/>
              <w:bidi w:val="0"/>
              <w:ind w:left="105" w:leftChars="50"/>
              <w:jc w:val="center"/>
              <w:rPr>
                <w:rFonts w:ascii="宋体" w:hAnsi="宋体" w:cs="宋体"/>
                <w:color w:val="000000"/>
                <w:szCs w:val="21"/>
                <w:highlight w:val="none"/>
              </w:rPr>
            </w:pPr>
          </w:p>
        </w:tc>
        <w:tc>
          <w:tcPr>
            <w:tcW w:w="634" w:type="dxa"/>
            <w:vMerge w:val="continue"/>
            <w:noWrap w:val="0"/>
            <w:vAlign w:val="center"/>
          </w:tcPr>
          <w:p w14:paraId="37027727">
            <w:pPr>
              <w:keepNext w:val="0"/>
              <w:keepLines w:val="0"/>
              <w:pageBreakBefore w:val="0"/>
              <w:widowControl w:val="0"/>
              <w:shd w:val="clear" w:color="auto" w:fill="auto"/>
              <w:kinsoku/>
              <w:wordWrap/>
              <w:overflowPunct/>
              <w:topLinePunct w:val="0"/>
              <w:bidi w:val="0"/>
              <w:spacing w:line="360" w:lineRule="auto"/>
              <w:ind w:left="105" w:leftChars="50"/>
              <w:jc w:val="center"/>
              <w:rPr>
                <w:rFonts w:ascii="宋体" w:hAnsi="宋体" w:cs="宋体"/>
                <w:color w:val="000000"/>
                <w:szCs w:val="21"/>
                <w:highlight w:val="none"/>
              </w:rPr>
            </w:pPr>
          </w:p>
        </w:tc>
        <w:tc>
          <w:tcPr>
            <w:tcW w:w="946" w:type="dxa"/>
            <w:noWrap w:val="0"/>
            <w:vAlign w:val="center"/>
          </w:tcPr>
          <w:p w14:paraId="34E2279C">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jc w:val="center"/>
              <w:textAlignment w:val="baseline"/>
              <w:rPr>
                <w:rFonts w:ascii="宋体" w:hAnsi="宋体" w:cs="宋体"/>
                <w:color w:val="000000"/>
                <w:szCs w:val="21"/>
                <w:highlight w:val="none"/>
              </w:rPr>
            </w:pPr>
            <w:r>
              <w:rPr>
                <w:rFonts w:hint="eastAsia" w:ascii="宋体" w:hAnsi="宋体" w:cs="宋体"/>
                <w:color w:val="000000"/>
                <w:szCs w:val="21"/>
                <w:highlight w:val="none"/>
              </w:rPr>
              <w:t>工期、质量、安全、环保水保、文明施工保证措施</w:t>
            </w:r>
          </w:p>
        </w:tc>
        <w:tc>
          <w:tcPr>
            <w:tcW w:w="676" w:type="dxa"/>
            <w:noWrap w:val="0"/>
            <w:vAlign w:val="center"/>
          </w:tcPr>
          <w:p w14:paraId="5538CF81">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left="105" w:leftChars="50" w:firstLine="0" w:firstLineChars="0"/>
              <w:jc w:val="center"/>
              <w:textAlignment w:val="baseline"/>
              <w:rPr>
                <w:rFonts w:ascii="宋体" w:hAnsi="宋体" w:cs="宋体"/>
                <w:color w:val="000000"/>
                <w:szCs w:val="21"/>
                <w:highlight w:val="none"/>
              </w:rPr>
            </w:pPr>
            <w:r>
              <w:rPr>
                <w:rFonts w:hint="eastAsia" w:ascii="宋体" w:hAnsi="宋体" w:cs="宋体"/>
                <w:color w:val="000000"/>
                <w:szCs w:val="21"/>
                <w:highlight w:val="none"/>
                <w:lang w:val="en-US" w:eastAsia="zh-CN"/>
              </w:rPr>
              <w:t>10</w:t>
            </w:r>
            <w:r>
              <w:rPr>
                <w:rFonts w:hint="eastAsia" w:ascii="宋体" w:hAnsi="宋体" w:cs="宋体"/>
                <w:color w:val="000000"/>
                <w:szCs w:val="21"/>
                <w:highlight w:val="none"/>
              </w:rPr>
              <w:t>分</w:t>
            </w:r>
          </w:p>
        </w:tc>
        <w:tc>
          <w:tcPr>
            <w:tcW w:w="5521" w:type="dxa"/>
            <w:noWrap w:val="0"/>
            <w:vAlign w:val="center"/>
          </w:tcPr>
          <w:p w14:paraId="358A0FCF">
            <w:pPr>
              <w:keepNext w:val="0"/>
              <w:keepLines w:val="0"/>
              <w:pageBreakBefore w:val="0"/>
              <w:widowControl w:val="0"/>
              <w:shd w:val="clear" w:color="auto" w:fill="auto"/>
              <w:kinsoku/>
              <w:wordWrap/>
              <w:overflowPunct/>
              <w:topLinePunct w:val="0"/>
              <w:autoSpaceDE/>
              <w:autoSpaceDN/>
              <w:bidi w:val="0"/>
              <w:adjustRightInd w:val="0"/>
              <w:spacing w:line="440" w:lineRule="exact"/>
              <w:ind w:left="105" w:leftChars="50" w:right="105" w:rightChars="50"/>
              <w:jc w:val="both"/>
              <w:textAlignment w:val="baseline"/>
              <w:rPr>
                <w:rFonts w:hint="eastAsia" w:ascii="宋体" w:hAnsi="宋体" w:cs="宋体"/>
                <w:color w:val="000000"/>
                <w:szCs w:val="21"/>
                <w:highlight w:val="none"/>
              </w:rPr>
            </w:pPr>
            <w:r>
              <w:rPr>
                <w:rFonts w:hint="eastAsia" w:ascii="宋体" w:hAnsi="宋体" w:cs="宋体"/>
                <w:color w:val="000000"/>
                <w:szCs w:val="21"/>
                <w:highlight w:val="none"/>
              </w:rPr>
              <w:t>（1）能够准确预判分析工期、质量、安全、环保、水保、文明施工目标实现的主要影响因素，拟采取预防保证措施针对性强、科学有效，重点突出的，按《广东省公路工程施工标准化指南》及《公路工程施工安全防护设施技术指南》执行，得</w:t>
            </w:r>
            <w:r>
              <w:rPr>
                <w:rFonts w:hint="eastAsia" w:ascii="宋体" w:hAnsi="宋体" w:cs="宋体"/>
                <w:color w:val="000000"/>
                <w:szCs w:val="21"/>
                <w:highlight w:val="none"/>
                <w:u w:val="single"/>
                <w:lang w:val="en-US" w:eastAsia="zh-CN"/>
              </w:rPr>
              <w:t>8～10</w:t>
            </w:r>
            <w:r>
              <w:rPr>
                <w:rFonts w:hint="eastAsia" w:ascii="宋体" w:hAnsi="宋体" w:cs="宋体"/>
                <w:color w:val="000000"/>
                <w:szCs w:val="21"/>
                <w:highlight w:val="none"/>
              </w:rPr>
              <w:t>分（满分分值的 80%～100%）；</w:t>
            </w:r>
          </w:p>
          <w:p w14:paraId="24145D7F">
            <w:pPr>
              <w:keepNext w:val="0"/>
              <w:keepLines w:val="0"/>
              <w:pageBreakBefore w:val="0"/>
              <w:widowControl w:val="0"/>
              <w:shd w:val="clear" w:color="auto" w:fill="auto"/>
              <w:kinsoku/>
              <w:wordWrap/>
              <w:overflowPunct/>
              <w:topLinePunct w:val="0"/>
              <w:autoSpaceDE/>
              <w:autoSpaceDN/>
              <w:bidi w:val="0"/>
              <w:adjustRightInd w:val="0"/>
              <w:spacing w:line="440" w:lineRule="exact"/>
              <w:ind w:left="105" w:leftChars="50" w:right="105" w:rightChars="50"/>
              <w:jc w:val="both"/>
              <w:textAlignment w:val="baseline"/>
              <w:rPr>
                <w:rFonts w:hint="eastAsia" w:ascii="宋体" w:hAnsi="宋体" w:cs="宋体"/>
                <w:color w:val="000000"/>
                <w:szCs w:val="21"/>
                <w:highlight w:val="none"/>
              </w:rPr>
            </w:pPr>
            <w:r>
              <w:rPr>
                <w:rFonts w:hint="eastAsia" w:ascii="宋体" w:hAnsi="宋体" w:cs="宋体"/>
                <w:color w:val="000000"/>
                <w:szCs w:val="21"/>
                <w:highlight w:val="none"/>
              </w:rPr>
              <w:t>（2）对工期、质量、安全、环保、水保等风险有一定</w:t>
            </w:r>
          </w:p>
          <w:p w14:paraId="4E0ED17F">
            <w:pPr>
              <w:keepNext w:val="0"/>
              <w:keepLines w:val="0"/>
              <w:pageBreakBefore w:val="0"/>
              <w:widowControl w:val="0"/>
              <w:shd w:val="clear" w:color="auto" w:fill="auto"/>
              <w:kinsoku/>
              <w:wordWrap/>
              <w:overflowPunct/>
              <w:topLinePunct w:val="0"/>
              <w:autoSpaceDE/>
              <w:autoSpaceDN/>
              <w:bidi w:val="0"/>
              <w:adjustRightInd w:val="0"/>
              <w:spacing w:line="440" w:lineRule="exact"/>
              <w:ind w:left="105" w:leftChars="50" w:right="105" w:rightChars="50"/>
              <w:jc w:val="both"/>
              <w:textAlignment w:val="baseline"/>
              <w:rPr>
                <w:rFonts w:hint="eastAsia" w:ascii="宋体" w:hAnsi="宋体" w:cs="宋体"/>
                <w:color w:val="000000"/>
                <w:szCs w:val="21"/>
                <w:highlight w:val="none"/>
              </w:rPr>
            </w:pPr>
            <w:r>
              <w:rPr>
                <w:rFonts w:hint="eastAsia" w:ascii="宋体" w:hAnsi="宋体" w:cs="宋体"/>
                <w:color w:val="000000"/>
                <w:szCs w:val="21"/>
                <w:highlight w:val="none"/>
              </w:rPr>
              <w:t>认识，预防保证措施基本可行，重点较为突出的，得</w:t>
            </w:r>
            <w:r>
              <w:rPr>
                <w:rFonts w:hint="eastAsia" w:ascii="宋体" w:hAnsi="宋体" w:cs="宋体"/>
                <w:color w:val="000000"/>
                <w:szCs w:val="21"/>
                <w:highlight w:val="none"/>
                <w:u w:val="single"/>
                <w:lang w:val="en-US" w:eastAsia="zh-CN"/>
              </w:rPr>
              <w:t>6～8</w:t>
            </w:r>
            <w:r>
              <w:rPr>
                <w:rFonts w:hint="eastAsia" w:ascii="宋体" w:hAnsi="宋体" w:cs="宋体"/>
                <w:color w:val="000000"/>
                <w:szCs w:val="21"/>
                <w:highlight w:val="none"/>
              </w:rPr>
              <w:t>分（满分分值的 60%～80%）；</w:t>
            </w:r>
          </w:p>
          <w:p w14:paraId="794F22CE">
            <w:pPr>
              <w:keepNext w:val="0"/>
              <w:keepLines w:val="0"/>
              <w:pageBreakBefore w:val="0"/>
              <w:widowControl w:val="0"/>
              <w:shd w:val="clear" w:color="auto" w:fill="auto"/>
              <w:kinsoku/>
              <w:wordWrap/>
              <w:overflowPunct/>
              <w:topLinePunct w:val="0"/>
              <w:autoSpaceDE/>
              <w:autoSpaceDN/>
              <w:bidi w:val="0"/>
              <w:adjustRightInd w:val="0"/>
              <w:spacing w:line="440" w:lineRule="exact"/>
              <w:ind w:left="105" w:leftChars="50" w:right="105" w:rightChars="50"/>
              <w:jc w:val="both"/>
              <w:textAlignment w:val="baseline"/>
              <w:rPr>
                <w:rFonts w:ascii="宋体" w:hAnsi="宋体" w:cs="宋体"/>
                <w:color w:val="000000"/>
                <w:szCs w:val="21"/>
                <w:highlight w:val="none"/>
              </w:rPr>
            </w:pPr>
            <w:r>
              <w:rPr>
                <w:rFonts w:hint="eastAsia" w:ascii="宋体" w:hAnsi="宋体" w:cs="宋体"/>
                <w:color w:val="000000"/>
                <w:szCs w:val="21"/>
                <w:highlight w:val="none"/>
              </w:rPr>
              <w:t>（3）一般但不被评定为不响应的</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得</w:t>
            </w:r>
            <w:r>
              <w:rPr>
                <w:rFonts w:hint="eastAsia" w:ascii="宋体" w:hAnsi="宋体" w:cs="宋体"/>
                <w:color w:val="000000"/>
                <w:szCs w:val="21"/>
                <w:highlight w:val="none"/>
                <w:u w:val="single"/>
                <w:lang w:val="en-US" w:eastAsia="zh-CN"/>
              </w:rPr>
              <w:t>6</w:t>
            </w:r>
            <w:r>
              <w:rPr>
                <w:rFonts w:hint="eastAsia" w:ascii="宋体" w:hAnsi="宋体" w:cs="宋体"/>
                <w:color w:val="000000"/>
                <w:szCs w:val="21"/>
                <w:highlight w:val="none"/>
              </w:rPr>
              <w:t>分（满分分值的 60%）。</w:t>
            </w:r>
          </w:p>
        </w:tc>
      </w:tr>
      <w:tr w14:paraId="2F69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27" w:type="dxa"/>
            <w:vMerge w:val="restart"/>
            <w:noWrap w:val="0"/>
            <w:vAlign w:val="center"/>
          </w:tcPr>
          <w:p w14:paraId="0CD87E4E">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2.2.2</w:t>
            </w:r>
          </w:p>
          <w:p w14:paraId="1B58EB54">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568" w:type="dxa"/>
            <w:vMerge w:val="restart"/>
            <w:noWrap w:val="0"/>
            <w:vAlign w:val="center"/>
          </w:tcPr>
          <w:p w14:paraId="29FECBF4">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主要人员</w:t>
            </w:r>
          </w:p>
        </w:tc>
        <w:tc>
          <w:tcPr>
            <w:tcW w:w="634" w:type="dxa"/>
            <w:vMerge w:val="restart"/>
            <w:noWrap w:val="0"/>
            <w:vAlign w:val="center"/>
          </w:tcPr>
          <w:p w14:paraId="72349016">
            <w:pPr>
              <w:pStyle w:val="10"/>
              <w:keepNext w:val="0"/>
              <w:keepLines w:val="0"/>
              <w:pageBreakBefore w:val="0"/>
              <w:widowControl w:val="0"/>
              <w:shd w:val="clear" w:color="auto" w:fill="auto"/>
              <w:tabs>
                <w:tab w:val="left" w:leader="underscore" w:pos="319"/>
              </w:tabs>
              <w:kinsoku/>
              <w:wordWrap/>
              <w:overflowPunct/>
              <w:topLinePunct w:val="0"/>
              <w:bidi w:val="0"/>
              <w:spacing w:before="0" w:line="360" w:lineRule="auto"/>
              <w:ind w:left="105" w:leftChars="50"/>
              <w:jc w:val="center"/>
              <w:rPr>
                <w:rFonts w:hint="eastAsia" w:ascii="宋体" w:hAnsi="宋体" w:eastAsia="宋体" w:cs="宋体"/>
                <w:color w:val="000000"/>
                <w:sz w:val="21"/>
                <w:szCs w:val="21"/>
                <w:highlight w:val="none"/>
              </w:rPr>
            </w:pPr>
            <w:r>
              <w:rPr>
                <w:rFonts w:hint="eastAsia" w:ascii="宋体" w:hAnsi="宋体" w:eastAsia="宋体" w:cs="宋体"/>
                <w:color w:val="000000"/>
                <w:spacing w:val="0"/>
                <w:kern w:val="2"/>
                <w:sz w:val="21"/>
                <w:szCs w:val="21"/>
                <w:highlight w:val="none"/>
                <w:lang w:val="en-US" w:eastAsia="zh-CN" w:bidi="ar-SA"/>
              </w:rPr>
              <w:t>35分</w:t>
            </w:r>
          </w:p>
        </w:tc>
        <w:tc>
          <w:tcPr>
            <w:tcW w:w="946" w:type="dxa"/>
            <w:noWrap w:val="0"/>
            <w:vAlign w:val="center"/>
          </w:tcPr>
          <w:p w14:paraId="3214B55F">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jc w:val="center"/>
              <w:textAlignment w:val="baseline"/>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项目经理任职资格与业绩</w:t>
            </w:r>
          </w:p>
        </w:tc>
        <w:tc>
          <w:tcPr>
            <w:tcW w:w="676" w:type="dxa"/>
            <w:noWrap w:val="0"/>
            <w:vAlign w:val="center"/>
          </w:tcPr>
          <w:p w14:paraId="35E6637D">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left="105" w:leftChars="50" w:firstLine="0" w:firstLineChars="0"/>
              <w:jc w:val="center"/>
              <w:textAlignment w:val="baseline"/>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20</w:t>
            </w:r>
            <w:r>
              <w:rPr>
                <w:rFonts w:hint="eastAsia" w:ascii="宋体" w:hAnsi="宋体" w:eastAsia="宋体" w:cs="宋体"/>
                <w:color w:val="000000"/>
                <w:szCs w:val="21"/>
                <w:highlight w:val="none"/>
              </w:rPr>
              <w:t>分</w:t>
            </w:r>
          </w:p>
        </w:tc>
        <w:tc>
          <w:tcPr>
            <w:tcW w:w="5521" w:type="dxa"/>
            <w:noWrap w:val="0"/>
            <w:vAlign w:val="center"/>
          </w:tcPr>
          <w:p w14:paraId="7041FB49">
            <w:pPr>
              <w:shd w:val="clear" w:color="auto" w:fill="auto"/>
              <w:spacing w:line="440" w:lineRule="exact"/>
              <w:ind w:left="105" w:leftChars="50" w:right="105" w:rightChars="50"/>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1</w:t>
            </w:r>
            <w:r>
              <w:rPr>
                <w:rFonts w:hint="eastAsia" w:ascii="宋体" w:hAnsi="宋体" w:cs="宋体"/>
                <w:color w:val="000000"/>
                <w:szCs w:val="21"/>
                <w:highlight w:val="none"/>
                <w:lang w:eastAsia="zh-CN"/>
              </w:rPr>
              <w:t>）</w:t>
            </w:r>
            <w:r>
              <w:rPr>
                <w:rFonts w:hint="eastAsia" w:ascii="宋体" w:hAnsi="宋体" w:eastAsia="宋体" w:cs="宋体"/>
                <w:color w:val="000000"/>
                <w:szCs w:val="21"/>
                <w:highlight w:val="none"/>
              </w:rPr>
              <w:t>满足资格审查条件 (项目经理和项目总工最低要求) 时，得</w:t>
            </w:r>
            <w:r>
              <w:rPr>
                <w:rFonts w:hint="eastAsia" w:ascii="宋体" w:hAnsi="宋体" w:cs="宋体"/>
                <w:color w:val="000000"/>
                <w:szCs w:val="21"/>
                <w:highlight w:val="none"/>
                <w:u w:val="single"/>
                <w:lang w:val="en-US" w:eastAsia="zh-CN"/>
              </w:rPr>
              <w:t>12</w:t>
            </w:r>
            <w:r>
              <w:rPr>
                <w:rFonts w:hint="eastAsia" w:ascii="宋体" w:hAnsi="宋体" w:eastAsia="宋体" w:cs="宋体"/>
                <w:color w:val="000000"/>
                <w:szCs w:val="21"/>
                <w:highlight w:val="none"/>
              </w:rPr>
              <w:t>分</w:t>
            </w:r>
            <w:r>
              <w:rPr>
                <w:rFonts w:hint="eastAsia" w:ascii="宋体" w:hAnsi="宋体" w:cs="宋体"/>
                <w:color w:val="000000"/>
                <w:szCs w:val="21"/>
                <w:highlight w:val="none"/>
                <w:lang w:eastAsia="zh-CN"/>
              </w:rPr>
              <w:t>；</w:t>
            </w:r>
          </w:p>
          <w:p w14:paraId="4772C962">
            <w:pPr>
              <w:shd w:val="clear" w:color="auto" w:fill="auto"/>
              <w:spacing w:line="440" w:lineRule="exact"/>
              <w:ind w:left="105" w:leftChars="50" w:right="105" w:rightChars="50"/>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项目经理具有高级工程师资格的，</w:t>
            </w:r>
            <w:r>
              <w:rPr>
                <w:rFonts w:hint="eastAsia" w:ascii="宋体" w:hAnsi="宋体" w:eastAsia="宋体" w:cs="宋体"/>
                <w:color w:val="000000"/>
                <w:szCs w:val="21"/>
                <w:highlight w:val="none"/>
                <w:lang w:val="en-US" w:eastAsia="zh-CN"/>
              </w:rPr>
              <w:t>加</w:t>
            </w:r>
            <w:r>
              <w:rPr>
                <w:rFonts w:hint="eastAsia" w:ascii="宋体" w:hAnsi="宋体" w:cs="宋体"/>
                <w:color w:val="000000"/>
                <w:szCs w:val="21"/>
                <w:highlight w:val="none"/>
                <w:u w:val="single"/>
                <w:lang w:val="en-US" w:eastAsia="zh-CN"/>
              </w:rPr>
              <w:t>2</w:t>
            </w:r>
            <w:r>
              <w:rPr>
                <w:rFonts w:hint="eastAsia" w:ascii="宋体" w:hAnsi="宋体" w:eastAsia="宋体" w:cs="宋体"/>
                <w:color w:val="000000"/>
                <w:szCs w:val="21"/>
                <w:highlight w:val="none"/>
              </w:rPr>
              <w:t>分</w:t>
            </w:r>
            <w:r>
              <w:rPr>
                <w:rFonts w:hint="eastAsia" w:ascii="宋体" w:hAnsi="宋体" w:eastAsia="宋体" w:cs="宋体"/>
                <w:color w:val="000000"/>
                <w:szCs w:val="21"/>
                <w:highlight w:val="none"/>
                <w:lang w:eastAsia="zh-CN"/>
              </w:rPr>
              <w:t>。</w:t>
            </w:r>
          </w:p>
          <w:p w14:paraId="151AC203">
            <w:pPr>
              <w:shd w:val="clear" w:color="auto" w:fill="auto"/>
              <w:spacing w:line="440" w:lineRule="exact"/>
              <w:ind w:left="105" w:leftChars="50" w:right="105" w:rightChars="50"/>
              <w:rPr>
                <w:rFonts w:hint="eastAsia" w:eastAsia="宋体"/>
                <w:color w:val="000000"/>
                <w:highlight w:val="none"/>
                <w:lang w:eastAsia="zh-CN"/>
              </w:rPr>
            </w:pPr>
            <w:r>
              <w:rPr>
                <w:rFonts w:hint="eastAsia" w:ascii="宋体" w:hAnsi="宋体" w:eastAsia="宋体" w:cs="宋体"/>
                <w:color w:val="000000"/>
                <w:szCs w:val="21"/>
                <w:highlight w:val="none"/>
                <w:lang w:eastAsia="zh-CN"/>
              </w:rPr>
              <w:t>（</w:t>
            </w:r>
            <w:r>
              <w:rPr>
                <w:rFonts w:hint="eastAsia" w:ascii="宋体" w:hAnsi="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cs="宋体"/>
                <w:color w:val="000000"/>
                <w:szCs w:val="21"/>
                <w:highlight w:val="none"/>
                <w:lang w:eastAsia="zh-CN"/>
              </w:rPr>
              <w:t>在此基础上，</w:t>
            </w:r>
            <w:r>
              <w:rPr>
                <w:rFonts w:hint="eastAsia" w:ascii="宋体" w:hAnsi="宋体" w:eastAsia="宋体" w:cs="宋体"/>
                <w:color w:val="000000"/>
                <w:szCs w:val="21"/>
                <w:highlight w:val="none"/>
                <w:lang w:val="en-US" w:eastAsia="zh-CN"/>
              </w:rPr>
              <w:t>每</w:t>
            </w:r>
            <w:r>
              <w:rPr>
                <w:rFonts w:hint="eastAsia" w:ascii="宋体" w:hAnsi="宋体" w:cs="宋体"/>
                <w:color w:val="000000"/>
                <w:szCs w:val="21"/>
                <w:highlight w:val="none"/>
                <w:lang w:val="en-US" w:eastAsia="zh-CN"/>
              </w:rPr>
              <w:t>增加</w:t>
            </w:r>
            <w:r>
              <w:rPr>
                <w:rFonts w:hint="eastAsia" w:ascii="宋体" w:hAnsi="宋体" w:eastAsia="宋体" w:cs="宋体"/>
                <w:color w:val="000000"/>
                <w:szCs w:val="21"/>
                <w:highlight w:val="none"/>
                <w:lang w:val="en-US" w:eastAsia="zh-CN"/>
              </w:rPr>
              <w:t>1个类似工程项目经理岗位工作经验的</w:t>
            </w:r>
            <w:r>
              <w:rPr>
                <w:rFonts w:hint="eastAsia" w:ascii="宋体" w:hAnsi="宋体" w:cs="宋体"/>
                <w:color w:val="000000"/>
                <w:szCs w:val="21"/>
                <w:highlight w:val="none"/>
                <w:lang w:val="en-US" w:eastAsia="zh-CN"/>
              </w:rPr>
              <w:t>，</w:t>
            </w:r>
            <w:r>
              <w:rPr>
                <w:rFonts w:hint="eastAsia" w:ascii="宋体" w:hAnsi="宋体" w:eastAsia="宋体" w:cs="宋体"/>
                <w:color w:val="000000"/>
                <w:szCs w:val="21"/>
                <w:highlight w:val="none"/>
                <w:lang w:val="en-US" w:eastAsia="zh-CN"/>
              </w:rPr>
              <w:t>加</w:t>
            </w:r>
            <w:r>
              <w:rPr>
                <w:rFonts w:hint="eastAsia" w:ascii="宋体" w:hAnsi="宋体" w:cs="宋体"/>
                <w:color w:val="000000"/>
                <w:szCs w:val="21"/>
                <w:highlight w:val="none"/>
                <w:u w:val="single"/>
                <w:lang w:val="en-US" w:eastAsia="zh-CN"/>
              </w:rPr>
              <w:t>3</w:t>
            </w:r>
            <w:r>
              <w:rPr>
                <w:rFonts w:hint="eastAsia" w:ascii="宋体" w:hAnsi="宋体" w:eastAsia="宋体" w:cs="宋体"/>
                <w:color w:val="000000"/>
                <w:szCs w:val="21"/>
                <w:highlight w:val="none"/>
              </w:rPr>
              <w:t>分</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最多加</w:t>
            </w:r>
            <w:r>
              <w:rPr>
                <w:rFonts w:hint="eastAsia" w:ascii="宋体" w:hAnsi="宋体" w:cs="宋体"/>
                <w:color w:val="000000"/>
                <w:szCs w:val="21"/>
                <w:highlight w:val="none"/>
                <w:lang w:val="en-US" w:eastAsia="zh-CN"/>
              </w:rPr>
              <w:t>6</w:t>
            </w:r>
            <w:r>
              <w:rPr>
                <w:rFonts w:hint="eastAsia" w:ascii="宋体" w:hAnsi="宋体" w:eastAsia="宋体" w:cs="宋体"/>
                <w:color w:val="000000"/>
                <w:szCs w:val="21"/>
                <w:highlight w:val="none"/>
              </w:rPr>
              <w:t>分。</w:t>
            </w:r>
          </w:p>
        </w:tc>
      </w:tr>
      <w:tr w14:paraId="798BD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27" w:type="dxa"/>
            <w:vMerge w:val="continue"/>
            <w:noWrap w:val="0"/>
            <w:vAlign w:val="center"/>
          </w:tcPr>
          <w:p w14:paraId="1F3452BE">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ascii="宋体" w:hAnsi="宋体" w:cs="宋体"/>
                <w:color w:val="000000"/>
                <w:szCs w:val="21"/>
                <w:highlight w:val="none"/>
              </w:rPr>
            </w:pPr>
          </w:p>
        </w:tc>
        <w:tc>
          <w:tcPr>
            <w:tcW w:w="568" w:type="dxa"/>
            <w:vMerge w:val="continue"/>
            <w:noWrap w:val="0"/>
            <w:vAlign w:val="center"/>
          </w:tcPr>
          <w:p w14:paraId="07AD2CEE">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ascii="宋体" w:hAnsi="宋体" w:cs="宋体"/>
                <w:color w:val="000000"/>
                <w:szCs w:val="21"/>
                <w:highlight w:val="none"/>
              </w:rPr>
            </w:pPr>
          </w:p>
        </w:tc>
        <w:tc>
          <w:tcPr>
            <w:tcW w:w="634" w:type="dxa"/>
            <w:vMerge w:val="continue"/>
            <w:noWrap w:val="0"/>
            <w:vAlign w:val="center"/>
          </w:tcPr>
          <w:p w14:paraId="1BF9916C">
            <w:pPr>
              <w:pStyle w:val="10"/>
              <w:keepNext w:val="0"/>
              <w:keepLines w:val="0"/>
              <w:pageBreakBefore w:val="0"/>
              <w:widowControl w:val="0"/>
              <w:shd w:val="clear" w:color="auto" w:fill="auto"/>
              <w:tabs>
                <w:tab w:val="left" w:leader="underscore" w:pos="319"/>
              </w:tabs>
              <w:kinsoku/>
              <w:wordWrap/>
              <w:overflowPunct/>
              <w:topLinePunct w:val="0"/>
              <w:bidi w:val="0"/>
              <w:spacing w:before="0" w:line="360" w:lineRule="auto"/>
              <w:ind w:left="105" w:leftChars="50"/>
              <w:jc w:val="center"/>
              <w:rPr>
                <w:rFonts w:ascii="宋体" w:hAnsi="宋体" w:eastAsia="宋体" w:cs="宋体"/>
                <w:color w:val="000000"/>
                <w:sz w:val="21"/>
                <w:szCs w:val="21"/>
                <w:highlight w:val="none"/>
              </w:rPr>
            </w:pPr>
          </w:p>
        </w:tc>
        <w:tc>
          <w:tcPr>
            <w:tcW w:w="946" w:type="dxa"/>
            <w:noWrap w:val="0"/>
            <w:vAlign w:val="center"/>
          </w:tcPr>
          <w:p w14:paraId="739CA25E">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jc w:val="center"/>
              <w:textAlignment w:val="baseline"/>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项目总工任职资格与业绩</w:t>
            </w:r>
          </w:p>
        </w:tc>
        <w:tc>
          <w:tcPr>
            <w:tcW w:w="676" w:type="dxa"/>
            <w:noWrap w:val="0"/>
            <w:vAlign w:val="center"/>
          </w:tcPr>
          <w:p w14:paraId="4507DBAB">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ind w:left="105" w:leftChars="50" w:firstLine="0" w:firstLineChars="0"/>
              <w:jc w:val="center"/>
              <w:textAlignment w:val="baseline"/>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eastAsia="宋体" w:cs="宋体"/>
                <w:color w:val="000000"/>
                <w:szCs w:val="21"/>
                <w:highlight w:val="none"/>
              </w:rPr>
              <w:t>分</w:t>
            </w:r>
          </w:p>
        </w:tc>
        <w:tc>
          <w:tcPr>
            <w:tcW w:w="5521" w:type="dxa"/>
            <w:noWrap w:val="0"/>
            <w:vAlign w:val="center"/>
          </w:tcPr>
          <w:p w14:paraId="47090AE9">
            <w:pPr>
              <w:numPr>
                <w:ilvl w:val="0"/>
                <w:numId w:val="0"/>
              </w:numPr>
              <w:shd w:val="clear" w:color="auto" w:fill="auto"/>
              <w:spacing w:line="440" w:lineRule="exact"/>
              <w:ind w:left="105" w:leftChars="50" w:right="105" w:rightChars="50"/>
              <w:rPr>
                <w:rFonts w:hint="eastAsia" w:ascii="宋体" w:hAnsi="宋体" w:eastAsia="宋体" w:cs="宋体"/>
                <w:color w:val="000000"/>
                <w:szCs w:val="21"/>
                <w:highlight w:val="none"/>
              </w:rPr>
            </w:pP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1</w:t>
            </w:r>
            <w:r>
              <w:rPr>
                <w:rFonts w:hint="eastAsia" w:ascii="宋体" w:hAnsi="宋体" w:cs="宋体"/>
                <w:color w:val="000000"/>
                <w:szCs w:val="21"/>
                <w:highlight w:val="none"/>
                <w:lang w:eastAsia="zh-CN"/>
              </w:rPr>
              <w:t>）</w:t>
            </w:r>
            <w:r>
              <w:rPr>
                <w:rFonts w:hint="eastAsia" w:ascii="宋体" w:hAnsi="宋体" w:eastAsia="宋体" w:cs="宋体"/>
                <w:color w:val="000000"/>
                <w:szCs w:val="21"/>
                <w:highlight w:val="none"/>
              </w:rPr>
              <w:t>满足资格审查条件 (项目经理和项目总工最低要求) 时，得</w:t>
            </w:r>
            <w:r>
              <w:rPr>
                <w:rFonts w:hint="eastAsia" w:ascii="宋体" w:hAnsi="宋体" w:cs="宋体"/>
                <w:color w:val="000000"/>
                <w:szCs w:val="21"/>
                <w:highlight w:val="none"/>
                <w:u w:val="single"/>
                <w:lang w:val="en-US" w:eastAsia="zh-CN"/>
              </w:rPr>
              <w:t>9</w:t>
            </w:r>
            <w:r>
              <w:rPr>
                <w:rFonts w:hint="eastAsia" w:ascii="宋体" w:hAnsi="宋体" w:eastAsia="宋体" w:cs="宋体"/>
                <w:color w:val="000000"/>
                <w:szCs w:val="21"/>
                <w:highlight w:val="none"/>
              </w:rPr>
              <w:t>分</w:t>
            </w:r>
            <w:r>
              <w:rPr>
                <w:rFonts w:hint="eastAsia" w:ascii="宋体" w:hAnsi="宋体" w:cs="宋体"/>
                <w:color w:val="000000"/>
                <w:szCs w:val="21"/>
                <w:highlight w:val="none"/>
                <w:lang w:eastAsia="zh-CN"/>
              </w:rPr>
              <w:t>；</w:t>
            </w:r>
          </w:p>
          <w:p w14:paraId="276ACA88">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440" w:lineRule="exact"/>
              <w:ind w:left="105" w:leftChars="50" w:right="105" w:rightChars="50"/>
              <w:jc w:val="both"/>
              <w:textAlignment w:val="baseline"/>
              <w:rPr>
                <w:rFonts w:hint="eastAsia" w:ascii="宋体" w:hAnsi="宋体" w:eastAsia="宋体" w:cs="宋体"/>
                <w:color w:val="000000"/>
                <w:sz w:val="18"/>
                <w:szCs w:val="18"/>
                <w:highlight w:val="none"/>
              </w:rPr>
            </w:pP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lang w:eastAsia="zh-CN"/>
              </w:rPr>
              <w:t>）在此基础上，</w:t>
            </w:r>
            <w:r>
              <w:rPr>
                <w:rFonts w:hint="eastAsia" w:ascii="宋体" w:hAnsi="宋体" w:eastAsia="宋体" w:cs="宋体"/>
                <w:color w:val="000000"/>
                <w:szCs w:val="21"/>
                <w:highlight w:val="none"/>
                <w:lang w:val="en-US" w:eastAsia="zh-CN"/>
              </w:rPr>
              <w:t>每</w:t>
            </w:r>
            <w:r>
              <w:rPr>
                <w:rFonts w:hint="eastAsia" w:ascii="宋体" w:hAnsi="宋体" w:cs="宋体"/>
                <w:color w:val="000000"/>
                <w:szCs w:val="21"/>
                <w:highlight w:val="none"/>
                <w:lang w:val="en-US" w:eastAsia="zh-CN"/>
              </w:rPr>
              <w:t>增加</w:t>
            </w:r>
            <w:r>
              <w:rPr>
                <w:rFonts w:hint="eastAsia" w:ascii="宋体" w:hAnsi="宋体" w:eastAsia="宋体" w:cs="宋体"/>
                <w:color w:val="000000"/>
                <w:szCs w:val="21"/>
                <w:highlight w:val="none"/>
                <w:lang w:val="en-US" w:eastAsia="zh-CN"/>
              </w:rPr>
              <w:t>1个类似工程项目总工岗位工作经验的</w:t>
            </w:r>
            <w:r>
              <w:rPr>
                <w:rFonts w:hint="eastAsia" w:ascii="宋体" w:hAnsi="宋体" w:cs="宋体"/>
                <w:color w:val="000000"/>
                <w:szCs w:val="21"/>
                <w:highlight w:val="none"/>
                <w:lang w:val="en-US" w:eastAsia="zh-CN"/>
              </w:rPr>
              <w:t>，</w:t>
            </w:r>
            <w:r>
              <w:rPr>
                <w:rFonts w:hint="eastAsia" w:ascii="宋体" w:hAnsi="宋体" w:eastAsia="宋体" w:cs="宋体"/>
                <w:color w:val="000000"/>
                <w:szCs w:val="21"/>
                <w:highlight w:val="none"/>
                <w:lang w:val="en-US" w:eastAsia="zh-CN"/>
              </w:rPr>
              <w:t>加</w:t>
            </w:r>
            <w:r>
              <w:rPr>
                <w:rFonts w:hint="eastAsia" w:ascii="宋体" w:hAnsi="宋体" w:cs="宋体"/>
                <w:color w:val="000000"/>
                <w:szCs w:val="21"/>
                <w:highlight w:val="none"/>
                <w:u w:val="single"/>
                <w:lang w:val="en-US" w:eastAsia="zh-CN"/>
              </w:rPr>
              <w:t>3</w:t>
            </w:r>
            <w:r>
              <w:rPr>
                <w:rFonts w:hint="eastAsia" w:ascii="宋体" w:hAnsi="宋体" w:eastAsia="宋体" w:cs="宋体"/>
                <w:color w:val="000000"/>
                <w:szCs w:val="21"/>
                <w:highlight w:val="none"/>
              </w:rPr>
              <w:t>分</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最多加</w:t>
            </w:r>
            <w:r>
              <w:rPr>
                <w:rFonts w:hint="eastAsia" w:ascii="宋体" w:hAnsi="宋体" w:cs="宋体"/>
                <w:color w:val="000000"/>
                <w:szCs w:val="21"/>
                <w:highlight w:val="none"/>
                <w:u w:val="single"/>
                <w:lang w:val="en-US" w:eastAsia="zh-CN"/>
              </w:rPr>
              <w:t>6</w:t>
            </w:r>
            <w:r>
              <w:rPr>
                <w:rFonts w:hint="eastAsia" w:ascii="宋体" w:hAnsi="宋体" w:eastAsia="宋体" w:cs="宋体"/>
                <w:color w:val="000000"/>
                <w:szCs w:val="21"/>
                <w:highlight w:val="none"/>
              </w:rPr>
              <w:t>分。</w:t>
            </w:r>
          </w:p>
        </w:tc>
      </w:tr>
      <w:tr w14:paraId="65D6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27" w:type="dxa"/>
            <w:vMerge w:val="restart"/>
            <w:noWrap w:val="0"/>
            <w:vAlign w:val="center"/>
          </w:tcPr>
          <w:p w14:paraId="23BC715B">
            <w:pPr>
              <w:keepNext w:val="0"/>
              <w:keepLines w:val="0"/>
              <w:pageBreakBefore w:val="0"/>
              <w:widowControl w:val="0"/>
              <w:shd w:val="clear" w:color="auto" w:fill="auto"/>
              <w:kinsoku/>
              <w:wordWrap/>
              <w:overflowPunct/>
              <w:topLinePunct w:val="0"/>
              <w:bidi w:val="0"/>
              <w:spacing w:line="360" w:lineRule="auto"/>
              <w:ind w:left="105" w:leftChars="50" w:right="113"/>
              <w:jc w:val="center"/>
              <w:rPr>
                <w:rFonts w:ascii="宋体" w:hAnsi="宋体" w:cs="宋体"/>
                <w:color w:val="000000"/>
                <w:szCs w:val="21"/>
                <w:highlight w:val="none"/>
              </w:rPr>
            </w:pPr>
            <w:r>
              <w:rPr>
                <w:rFonts w:hint="eastAsia" w:ascii="宋体" w:hAnsi="宋体" w:cs="宋体"/>
                <w:color w:val="000000"/>
                <w:szCs w:val="21"/>
                <w:highlight w:val="none"/>
              </w:rPr>
              <w:t>2.2.2（3）</w:t>
            </w:r>
          </w:p>
        </w:tc>
        <w:tc>
          <w:tcPr>
            <w:tcW w:w="1202" w:type="dxa"/>
            <w:gridSpan w:val="2"/>
            <w:vMerge w:val="restart"/>
            <w:noWrap w:val="0"/>
            <w:vAlign w:val="center"/>
          </w:tcPr>
          <w:p w14:paraId="718ACA4D">
            <w:pPr>
              <w:pStyle w:val="10"/>
              <w:keepNext w:val="0"/>
              <w:keepLines w:val="0"/>
              <w:pageBreakBefore w:val="0"/>
              <w:widowControl w:val="0"/>
              <w:shd w:val="clear" w:color="auto" w:fill="auto"/>
              <w:kinsoku/>
              <w:wordWrap/>
              <w:overflowPunct/>
              <w:topLinePunct w:val="0"/>
              <w:bidi w:val="0"/>
              <w:spacing w:before="0" w:line="360" w:lineRule="auto"/>
              <w:ind w:left="105" w:leftChars="50"/>
              <w:jc w:val="center"/>
              <w:rPr>
                <w:rFonts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其他因素</w:t>
            </w:r>
          </w:p>
        </w:tc>
        <w:tc>
          <w:tcPr>
            <w:tcW w:w="946" w:type="dxa"/>
            <w:noWrap w:val="0"/>
            <w:vAlign w:val="center"/>
          </w:tcPr>
          <w:p w14:paraId="7D786B8C">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jc w:val="center"/>
              <w:textAlignment w:val="baseline"/>
              <w:rPr>
                <w:rFonts w:hint="eastAsia" w:ascii="宋体" w:hAnsi="宋体" w:cs="宋体"/>
                <w:color w:val="000000"/>
                <w:szCs w:val="21"/>
                <w:highlight w:val="none"/>
              </w:rPr>
            </w:pPr>
            <w:r>
              <w:rPr>
                <w:rFonts w:hint="eastAsia" w:ascii="宋体" w:hAnsi="宋体" w:cs="宋体"/>
                <w:color w:val="000000"/>
                <w:szCs w:val="21"/>
                <w:highlight w:val="none"/>
              </w:rPr>
              <w:t>技术</w:t>
            </w:r>
          </w:p>
          <w:p w14:paraId="57C088B8">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jc w:val="center"/>
              <w:textAlignment w:val="baseline"/>
              <w:rPr>
                <w:rFonts w:ascii="宋体" w:hAnsi="宋体" w:cs="宋体"/>
                <w:color w:val="000000"/>
                <w:szCs w:val="21"/>
                <w:highlight w:val="none"/>
              </w:rPr>
            </w:pPr>
            <w:r>
              <w:rPr>
                <w:rFonts w:hint="eastAsia" w:ascii="宋体" w:hAnsi="宋体" w:cs="宋体"/>
                <w:color w:val="000000"/>
                <w:szCs w:val="21"/>
                <w:highlight w:val="none"/>
              </w:rPr>
              <w:t>能力</w:t>
            </w:r>
          </w:p>
        </w:tc>
        <w:tc>
          <w:tcPr>
            <w:tcW w:w="676" w:type="dxa"/>
            <w:noWrap w:val="0"/>
            <w:vAlign w:val="center"/>
          </w:tcPr>
          <w:p w14:paraId="3062AC4E">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left="105" w:leftChars="50" w:firstLine="0" w:firstLineChars="0"/>
              <w:jc w:val="center"/>
              <w:textAlignment w:val="baseline"/>
              <w:rPr>
                <w:rFonts w:ascii="宋体" w:hAnsi="宋体" w:cs="宋体"/>
                <w:color w:val="000000"/>
                <w:szCs w:val="21"/>
                <w:highlight w:val="none"/>
              </w:rPr>
            </w:pPr>
            <w:r>
              <w:rPr>
                <w:rFonts w:hint="eastAsia" w:ascii="宋体" w:hAnsi="宋体" w:cs="宋体"/>
                <w:color w:val="000000"/>
                <w:szCs w:val="21"/>
                <w:highlight w:val="none"/>
                <w:u w:val="none"/>
                <w:lang w:val="en-US" w:eastAsia="zh-CN"/>
              </w:rPr>
              <w:t>10</w:t>
            </w:r>
            <w:r>
              <w:rPr>
                <w:rFonts w:hint="eastAsia" w:ascii="宋体" w:hAnsi="宋体" w:eastAsia="宋体" w:cs="宋体"/>
                <w:color w:val="000000"/>
                <w:szCs w:val="21"/>
                <w:highlight w:val="none"/>
                <w:u w:val="none"/>
              </w:rPr>
              <w:t>分</w:t>
            </w:r>
          </w:p>
        </w:tc>
        <w:tc>
          <w:tcPr>
            <w:tcW w:w="5521" w:type="dxa"/>
            <w:noWrap w:val="0"/>
            <w:vAlign w:val="center"/>
          </w:tcPr>
          <w:p w14:paraId="259516B6">
            <w:pPr>
              <w:widowControl/>
              <w:spacing w:line="440" w:lineRule="exact"/>
              <w:jc w:val="left"/>
              <w:rPr>
                <w:rFonts w:hint="eastAsia" w:ascii="宋体" w:hAnsi="宋体" w:cs="宋体"/>
                <w:color w:val="000000"/>
                <w:szCs w:val="21"/>
                <w:highlight w:val="none"/>
                <w:lang w:eastAsia="zh-CN"/>
              </w:rPr>
            </w:pPr>
            <w:r>
              <w:rPr>
                <w:rFonts w:hint="eastAsia" w:ascii="宋体" w:hAnsi="宋体" w:eastAsia="宋体" w:cs="宋体"/>
                <w:color w:val="000000"/>
                <w:szCs w:val="21"/>
                <w:highlight w:val="none"/>
                <w:lang w:eastAsia="zh-CN"/>
              </w:rPr>
              <w:t>（1）投标人获得与项目施工有关（</w:t>
            </w:r>
            <w:r>
              <w:rPr>
                <w:rFonts w:hint="eastAsia" w:ascii="宋体" w:hAnsi="宋体" w:eastAsia="宋体" w:cs="宋体"/>
                <w:color w:val="000000"/>
                <w:kern w:val="2"/>
                <w:sz w:val="21"/>
                <w:szCs w:val="21"/>
                <w:highlight w:val="none"/>
                <w:lang w:val="en-US" w:eastAsia="zh-CN" w:bidi="ar"/>
              </w:rPr>
              <w:t>指与项目标类相对应</w:t>
            </w:r>
            <w:r>
              <w:rPr>
                <w:rFonts w:hint="eastAsia" w:ascii="宋体" w:hAnsi="宋体" w:eastAsia="宋体" w:cs="宋体"/>
                <w:color w:val="000000"/>
                <w:szCs w:val="21"/>
                <w:highlight w:val="none"/>
                <w:lang w:eastAsia="zh-CN"/>
              </w:rPr>
              <w:t>）的</w:t>
            </w:r>
            <w:r>
              <w:rPr>
                <w:rFonts w:hint="eastAsia" w:ascii="宋体" w:hAnsi="宋体" w:cs="宋体"/>
                <w:color w:val="000000"/>
                <w:szCs w:val="21"/>
                <w:highlight w:val="none"/>
                <w:lang w:eastAsia="zh-CN"/>
              </w:rPr>
              <w:t>国家级工法、专利（发明专利或实用新型专利）、国家级科学技术进步奖、鲁班奖、詹天佑奖，主编或参编过国家标准，每项加</w:t>
            </w:r>
            <w:r>
              <w:rPr>
                <w:rFonts w:hint="eastAsia" w:ascii="宋体" w:hAnsi="宋体" w:cs="宋体"/>
                <w:color w:val="000000"/>
                <w:szCs w:val="21"/>
                <w:highlight w:val="none"/>
                <w:lang w:val="en-US" w:eastAsia="zh-CN"/>
              </w:rPr>
              <w:t>1</w:t>
            </w:r>
            <w:r>
              <w:rPr>
                <w:rFonts w:hint="eastAsia" w:ascii="宋体" w:hAnsi="宋体" w:cs="宋体"/>
                <w:color w:val="000000"/>
                <w:szCs w:val="21"/>
                <w:highlight w:val="none"/>
                <w:lang w:eastAsia="zh-CN"/>
              </w:rPr>
              <w:t xml:space="preserve">分； </w:t>
            </w:r>
          </w:p>
          <w:p w14:paraId="36897AFC">
            <w:pPr>
              <w:widowControl/>
              <w:spacing w:line="440" w:lineRule="exact"/>
              <w:rPr>
                <w:rFonts w:hint="eastAsia" w:ascii="宋体" w:hAnsi="宋体" w:cs="宋体"/>
                <w:color w:val="000000"/>
                <w:szCs w:val="21"/>
                <w:highlight w:val="none"/>
                <w:lang w:eastAsia="zh-CN"/>
              </w:rPr>
            </w:pPr>
            <w:r>
              <w:rPr>
                <w:rFonts w:hint="eastAsia" w:ascii="宋体" w:hAnsi="宋体" w:cs="宋体"/>
                <w:color w:val="000000"/>
                <w:szCs w:val="21"/>
                <w:highlight w:val="none"/>
                <w:lang w:eastAsia="zh-CN"/>
              </w:rPr>
              <w:t>（2）投标人获得省级科学技术进步奖，主编或参编过的行业或地方（指省级）标准，每项加</w:t>
            </w:r>
            <w:r>
              <w:rPr>
                <w:rFonts w:hint="eastAsia" w:ascii="宋体" w:hAnsi="宋体" w:cs="宋体"/>
                <w:color w:val="000000"/>
                <w:szCs w:val="21"/>
                <w:highlight w:val="none"/>
                <w:lang w:val="en-US" w:eastAsia="zh-CN"/>
              </w:rPr>
              <w:t>0.5</w:t>
            </w:r>
            <w:r>
              <w:rPr>
                <w:rFonts w:hint="eastAsia" w:ascii="宋体" w:hAnsi="宋体" w:cs="宋体"/>
                <w:color w:val="000000"/>
                <w:szCs w:val="21"/>
                <w:highlight w:val="none"/>
                <w:lang w:eastAsia="zh-CN"/>
              </w:rPr>
              <w:t>分；</w:t>
            </w:r>
          </w:p>
          <w:p w14:paraId="4B09B8BA">
            <w:pPr>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textAlignment w:val="baseline"/>
              <w:rPr>
                <w:rFonts w:hint="eastAsia" w:ascii="宋体" w:hAnsi="宋体" w:cs="宋体"/>
                <w:color w:val="000000"/>
                <w:szCs w:val="21"/>
                <w:highlight w:val="none"/>
              </w:rPr>
            </w:pPr>
            <w:r>
              <w:rPr>
                <w:rFonts w:hint="eastAsia" w:ascii="宋体" w:hAnsi="宋体" w:cs="宋体"/>
                <w:color w:val="000000"/>
                <w:szCs w:val="21"/>
                <w:highlight w:val="none"/>
                <w:lang w:val="en-US" w:eastAsia="zh-CN"/>
              </w:rPr>
              <w:t>注：</w:t>
            </w:r>
            <w:r>
              <w:rPr>
                <w:rFonts w:hint="eastAsia" w:ascii="宋体" w:hAnsi="宋体" w:cs="宋体"/>
                <w:color w:val="000000"/>
                <w:szCs w:val="21"/>
                <w:highlight w:val="none"/>
              </w:rPr>
              <w:t>技术能力加分最高</w:t>
            </w:r>
            <w:r>
              <w:rPr>
                <w:rFonts w:hint="eastAsia" w:ascii="宋体" w:hAnsi="宋体" w:cs="宋体"/>
                <w:color w:val="000000"/>
                <w:szCs w:val="21"/>
                <w:highlight w:val="none"/>
                <w:lang w:val="en-US" w:eastAsia="zh-CN"/>
              </w:rPr>
              <w:t>10</w:t>
            </w:r>
            <w:r>
              <w:rPr>
                <w:rFonts w:hint="eastAsia" w:ascii="宋体" w:hAnsi="宋体" w:cs="宋体"/>
                <w:color w:val="000000"/>
                <w:szCs w:val="21"/>
                <w:highlight w:val="none"/>
              </w:rPr>
              <w:t>分，同一事项按较高分只计一次。</w:t>
            </w:r>
          </w:p>
        </w:tc>
      </w:tr>
      <w:tr w14:paraId="7963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27" w:type="dxa"/>
            <w:vMerge w:val="continue"/>
            <w:noWrap w:val="0"/>
            <w:vAlign w:val="center"/>
          </w:tcPr>
          <w:p w14:paraId="24DB7AD1">
            <w:pPr>
              <w:keepNext w:val="0"/>
              <w:keepLines w:val="0"/>
              <w:pageBreakBefore w:val="0"/>
              <w:widowControl w:val="0"/>
              <w:shd w:val="clear" w:color="auto" w:fill="auto"/>
              <w:kinsoku/>
              <w:wordWrap/>
              <w:overflowPunct/>
              <w:topLinePunct w:val="0"/>
              <w:bidi w:val="0"/>
              <w:spacing w:line="360" w:lineRule="auto"/>
              <w:ind w:left="105" w:leftChars="50" w:right="113" w:firstLine="420" w:firstLineChars="200"/>
              <w:rPr>
                <w:rFonts w:ascii="宋体" w:hAnsi="宋体" w:cs="宋体"/>
                <w:color w:val="000000"/>
                <w:szCs w:val="21"/>
                <w:highlight w:val="none"/>
              </w:rPr>
            </w:pPr>
          </w:p>
        </w:tc>
        <w:tc>
          <w:tcPr>
            <w:tcW w:w="1202" w:type="dxa"/>
            <w:gridSpan w:val="2"/>
            <w:vMerge w:val="continue"/>
            <w:noWrap w:val="0"/>
            <w:vAlign w:val="bottom"/>
          </w:tcPr>
          <w:p w14:paraId="561372BC">
            <w:pPr>
              <w:pStyle w:val="10"/>
              <w:keepNext w:val="0"/>
              <w:keepLines w:val="0"/>
              <w:pageBreakBefore w:val="0"/>
              <w:widowControl w:val="0"/>
              <w:shd w:val="clear" w:color="auto" w:fill="auto"/>
              <w:kinsoku/>
              <w:wordWrap/>
              <w:overflowPunct/>
              <w:topLinePunct w:val="0"/>
              <w:bidi w:val="0"/>
              <w:spacing w:before="0" w:line="360" w:lineRule="auto"/>
              <w:ind w:left="105" w:leftChars="50"/>
              <w:jc w:val="left"/>
              <w:rPr>
                <w:rFonts w:ascii="宋体" w:hAnsi="宋体" w:eastAsia="宋体" w:cs="宋体"/>
                <w:color w:val="000000"/>
                <w:sz w:val="21"/>
                <w:szCs w:val="21"/>
                <w:highlight w:val="none"/>
              </w:rPr>
            </w:pPr>
          </w:p>
        </w:tc>
        <w:tc>
          <w:tcPr>
            <w:tcW w:w="946" w:type="dxa"/>
            <w:noWrap w:val="0"/>
            <w:vAlign w:val="center"/>
          </w:tcPr>
          <w:p w14:paraId="6AFF7CF7">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jc w:val="center"/>
              <w:textAlignment w:val="baseline"/>
              <w:rPr>
                <w:rFonts w:hint="eastAsia" w:ascii="宋体" w:hAnsi="宋体" w:cs="宋体"/>
                <w:color w:val="000000"/>
                <w:szCs w:val="21"/>
                <w:highlight w:val="none"/>
              </w:rPr>
            </w:pPr>
            <w:r>
              <w:rPr>
                <w:rFonts w:hint="eastAsia" w:ascii="宋体" w:hAnsi="宋体" w:cs="宋体"/>
                <w:color w:val="000000"/>
                <w:szCs w:val="21"/>
                <w:highlight w:val="none"/>
              </w:rPr>
              <w:t>履约</w:t>
            </w:r>
          </w:p>
          <w:p w14:paraId="5B25AF52">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jc w:val="center"/>
              <w:textAlignment w:val="baseline"/>
              <w:rPr>
                <w:rFonts w:ascii="宋体" w:hAnsi="宋体" w:cs="宋体"/>
                <w:color w:val="000000"/>
                <w:szCs w:val="21"/>
                <w:highlight w:val="none"/>
              </w:rPr>
            </w:pPr>
            <w:r>
              <w:rPr>
                <w:rFonts w:hint="eastAsia" w:ascii="宋体" w:hAnsi="宋体" w:cs="宋体"/>
                <w:color w:val="000000"/>
                <w:szCs w:val="21"/>
                <w:highlight w:val="none"/>
              </w:rPr>
              <w:t>信誉</w:t>
            </w:r>
          </w:p>
        </w:tc>
        <w:tc>
          <w:tcPr>
            <w:tcW w:w="676" w:type="dxa"/>
            <w:noWrap w:val="0"/>
            <w:vAlign w:val="center"/>
          </w:tcPr>
          <w:p w14:paraId="473F1B0C">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left="105" w:leftChars="50" w:firstLine="0" w:firstLineChars="0"/>
              <w:jc w:val="center"/>
              <w:textAlignment w:val="baseline"/>
              <w:rPr>
                <w:rFonts w:ascii="宋体" w:hAnsi="宋体" w:cs="宋体"/>
                <w:color w:val="000000"/>
                <w:szCs w:val="21"/>
                <w:highlight w:val="none"/>
              </w:rPr>
            </w:pPr>
            <w:r>
              <w:rPr>
                <w:rFonts w:hint="eastAsia" w:ascii="宋体" w:hAnsi="宋体" w:cs="宋体"/>
                <w:color w:val="000000"/>
                <w:szCs w:val="21"/>
                <w:highlight w:val="none"/>
                <w:u w:val="none"/>
                <w:lang w:val="en-US" w:eastAsia="zh-CN"/>
              </w:rPr>
              <w:t>15</w:t>
            </w:r>
            <w:r>
              <w:rPr>
                <w:rFonts w:hint="eastAsia" w:ascii="宋体" w:hAnsi="宋体" w:eastAsia="宋体" w:cs="宋体"/>
                <w:color w:val="000000"/>
                <w:szCs w:val="21"/>
                <w:highlight w:val="none"/>
                <w:u w:val="none"/>
              </w:rPr>
              <w:t>分</w:t>
            </w:r>
          </w:p>
        </w:tc>
        <w:tc>
          <w:tcPr>
            <w:tcW w:w="5521" w:type="dxa"/>
            <w:noWrap w:val="0"/>
            <w:vAlign w:val="top"/>
          </w:tcPr>
          <w:p w14:paraId="7DE8AE41">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0" w:firstLineChars="0"/>
              <w:textAlignment w:val="baseline"/>
              <w:rPr>
                <w:rFonts w:hint="eastAsia" w:ascii="宋体" w:hAnsi="宋体" w:cs="宋体"/>
                <w:color w:val="000000"/>
                <w:szCs w:val="21"/>
                <w:highlight w:val="none"/>
              </w:rPr>
            </w:pPr>
            <w:r>
              <w:rPr>
                <w:rFonts w:hint="eastAsia" w:hAnsi="宋体" w:cs="宋体"/>
                <w:color w:val="000000"/>
                <w:szCs w:val="21"/>
                <w:highlight w:val="none"/>
                <w:lang w:val="en-US" w:eastAsia="zh-CN"/>
              </w:rPr>
              <w:t>1.</w:t>
            </w:r>
            <w:r>
              <w:rPr>
                <w:rFonts w:hint="eastAsia" w:ascii="宋体" w:hAnsi="宋体" w:cs="宋体"/>
                <w:color w:val="000000"/>
                <w:szCs w:val="21"/>
                <w:highlight w:val="none"/>
              </w:rPr>
              <w:t>信用等级分值（10分）</w:t>
            </w:r>
          </w:p>
          <w:p w14:paraId="0D860C8B">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420" w:firstLineChars="200"/>
              <w:textAlignment w:val="baseline"/>
              <w:rPr>
                <w:rFonts w:hint="eastAsia" w:ascii="宋体" w:hAnsi="宋体" w:cs="宋体"/>
                <w:color w:val="000000"/>
                <w:szCs w:val="21"/>
                <w:highlight w:val="none"/>
              </w:rPr>
            </w:pPr>
            <w:r>
              <w:rPr>
                <w:rFonts w:hint="eastAsia" w:ascii="宋体" w:hAnsi="宋体" w:cs="宋体"/>
                <w:color w:val="000000"/>
                <w:szCs w:val="21"/>
                <w:highlight w:val="none"/>
              </w:rPr>
              <w:t>AA、A、B、C级单位的信用等级分得分分别为</w:t>
            </w:r>
            <w:r>
              <w:rPr>
                <w:rFonts w:hint="eastAsia" w:ascii="宋体" w:hAnsi="宋体" w:cs="宋体"/>
                <w:color w:val="000000"/>
                <w:szCs w:val="21"/>
                <w:highlight w:val="none"/>
                <w:u w:val="single"/>
              </w:rPr>
              <w:t>10、9.5、8.9、7.3</w:t>
            </w:r>
            <w:r>
              <w:rPr>
                <w:rFonts w:hint="eastAsia" w:ascii="宋体" w:hAnsi="宋体" w:cs="宋体"/>
                <w:color w:val="000000"/>
                <w:szCs w:val="21"/>
                <w:highlight w:val="none"/>
              </w:rPr>
              <w:t>分。</w:t>
            </w:r>
          </w:p>
          <w:p w14:paraId="73A11AC6">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0" w:firstLineChars="0"/>
              <w:textAlignment w:val="baseline"/>
              <w:rPr>
                <w:rFonts w:hint="eastAsia" w:ascii="宋体" w:hAnsi="宋体" w:cs="宋体"/>
                <w:color w:val="000000"/>
                <w:szCs w:val="21"/>
                <w:highlight w:val="none"/>
              </w:rPr>
            </w:pPr>
            <w:r>
              <w:rPr>
                <w:rFonts w:hint="eastAsia" w:ascii="宋体" w:hAnsi="宋体" w:cs="宋体"/>
                <w:color w:val="000000"/>
                <w:szCs w:val="21"/>
                <w:highlight w:val="none"/>
              </w:rPr>
              <w:t>注：信用等级的确定原则应遵循投标人须知前附表10.2款的规定。</w:t>
            </w:r>
          </w:p>
          <w:p w14:paraId="0AEB155B">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0" w:firstLineChars="0"/>
              <w:textAlignment w:val="baseline"/>
              <w:rPr>
                <w:rFonts w:hint="eastAsia" w:ascii="宋体" w:hAnsi="宋体" w:cs="宋体"/>
                <w:color w:val="000000"/>
                <w:szCs w:val="21"/>
                <w:highlight w:val="none"/>
              </w:rPr>
            </w:pPr>
            <w:r>
              <w:rPr>
                <w:rFonts w:hint="eastAsia" w:ascii="宋体" w:hAnsi="宋体" w:cs="宋体"/>
                <w:color w:val="000000"/>
                <w:szCs w:val="21"/>
                <w:highlight w:val="none"/>
              </w:rPr>
              <w:t>2.履约情况（</w:t>
            </w:r>
            <w:r>
              <w:rPr>
                <w:rFonts w:hint="eastAsia" w:hAnsi="宋体" w:cs="宋体"/>
                <w:color w:val="000000"/>
                <w:szCs w:val="21"/>
                <w:highlight w:val="none"/>
                <w:lang w:val="en-US" w:eastAsia="zh-CN"/>
              </w:rPr>
              <w:t>5</w:t>
            </w:r>
            <w:r>
              <w:rPr>
                <w:rFonts w:hint="eastAsia" w:ascii="宋体" w:hAnsi="宋体" w:cs="宋体"/>
                <w:color w:val="000000"/>
                <w:szCs w:val="21"/>
                <w:highlight w:val="none"/>
              </w:rPr>
              <w:t>分）</w:t>
            </w:r>
          </w:p>
          <w:p w14:paraId="24DE740D">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420" w:firstLineChars="200"/>
              <w:textAlignment w:val="baseline"/>
              <w:rPr>
                <w:rFonts w:hint="eastAsia" w:ascii="宋体" w:hAnsi="宋体" w:cs="宋体"/>
                <w:color w:val="000000"/>
                <w:szCs w:val="21"/>
                <w:highlight w:val="none"/>
              </w:rPr>
            </w:pPr>
            <w:r>
              <w:rPr>
                <w:rFonts w:hint="eastAsia" w:ascii="宋体" w:hAnsi="宋体" w:cs="宋体"/>
                <w:color w:val="000000"/>
                <w:szCs w:val="21"/>
                <w:highlight w:val="none"/>
              </w:rPr>
              <w:t>若没出现下述情形得满分；</w:t>
            </w:r>
          </w:p>
          <w:p w14:paraId="770C1DEB">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420" w:firstLineChars="200"/>
              <w:textAlignment w:val="baseline"/>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投标文件递交截止日前1年内，投标人因公路工程（含附属设施）质量、安全、履约或招标投标问题等原因被</w:t>
            </w:r>
            <w:r>
              <w:rPr>
                <w:rFonts w:hint="eastAsia" w:hAnsi="宋体" w:cs="宋体"/>
                <w:color w:val="000000"/>
                <w:szCs w:val="21"/>
                <w:highlight w:val="none"/>
                <w:lang w:eastAsia="zh-CN"/>
              </w:rPr>
              <w:t>：</w:t>
            </w:r>
          </w:p>
          <w:p w14:paraId="25667E90">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0" w:firstLineChars="0"/>
              <w:textAlignment w:val="baseline"/>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（1）交通运输部行政处罚的，扣5分/次</w:t>
            </w:r>
            <w:r>
              <w:rPr>
                <w:rFonts w:hint="eastAsia" w:hAnsi="宋体" w:cs="宋体"/>
                <w:color w:val="000000"/>
                <w:szCs w:val="21"/>
                <w:highlight w:val="none"/>
                <w:lang w:eastAsia="zh-CN"/>
              </w:rPr>
              <w:t>。</w:t>
            </w:r>
          </w:p>
          <w:p w14:paraId="0B1C554B">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0" w:firstLineChars="0"/>
              <w:textAlignment w:val="baseline"/>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（2）广东省交通运输厅行政处罚的，扣3分/次</w:t>
            </w:r>
            <w:r>
              <w:rPr>
                <w:rFonts w:hint="eastAsia" w:hAnsi="宋体" w:cs="宋体"/>
                <w:color w:val="000000"/>
                <w:szCs w:val="21"/>
                <w:highlight w:val="none"/>
                <w:lang w:eastAsia="zh-CN"/>
              </w:rPr>
              <w:t>。</w:t>
            </w:r>
          </w:p>
          <w:p w14:paraId="6FE51841">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0" w:firstLineChars="0"/>
              <w:textAlignment w:val="baseline"/>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（3）</w:t>
            </w:r>
            <w:r>
              <w:rPr>
                <w:rFonts w:hint="eastAsia" w:ascii="宋体" w:hAnsi="宋体" w:cs="宋体"/>
                <w:color w:val="000000"/>
                <w:szCs w:val="21"/>
                <w:highlight w:val="none"/>
                <w:u w:val="single"/>
              </w:rPr>
              <w:t>招标项目所在地地级以上市交通运输局行政处罚的，扣1.5分/次</w:t>
            </w:r>
            <w:r>
              <w:rPr>
                <w:rFonts w:hint="eastAsia" w:hAnsi="宋体" w:cs="宋体"/>
                <w:color w:val="000000"/>
                <w:szCs w:val="21"/>
                <w:highlight w:val="none"/>
                <w:u w:val="single"/>
                <w:lang w:eastAsia="zh-CN"/>
              </w:rPr>
              <w:t>。</w:t>
            </w:r>
          </w:p>
          <w:p w14:paraId="25C60691">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0" w:firstLineChars="0"/>
              <w:textAlignment w:val="baseline"/>
              <w:rPr>
                <w:rFonts w:hint="eastAsia" w:ascii="宋体" w:hAnsi="宋体" w:cs="宋体"/>
                <w:color w:val="000000"/>
                <w:szCs w:val="21"/>
                <w:highlight w:val="none"/>
              </w:rPr>
            </w:pPr>
            <w:r>
              <w:rPr>
                <w:rFonts w:hint="eastAsia" w:ascii="宋体" w:hAnsi="宋体" w:cs="宋体"/>
                <w:color w:val="000000"/>
                <w:szCs w:val="21"/>
                <w:highlight w:val="none"/>
              </w:rPr>
              <w:t>（4）广东省交通运输厅正式约谈，扣0.1分/次。</w:t>
            </w:r>
          </w:p>
          <w:p w14:paraId="550DCE90">
            <w:pPr>
              <w:pStyle w:val="5"/>
              <w:keepNext w:val="0"/>
              <w:keepLines w:val="0"/>
              <w:pageBreakBefore w:val="0"/>
              <w:widowControl w:val="0"/>
              <w:shd w:val="clear" w:color="auto" w:fill="auto"/>
              <w:kinsoku/>
              <w:wordWrap/>
              <w:overflowPunct/>
              <w:topLinePunct w:val="0"/>
              <w:autoSpaceDE/>
              <w:autoSpaceDN/>
              <w:bidi w:val="0"/>
              <w:adjustRightInd w:val="0"/>
              <w:snapToGrid/>
              <w:spacing w:line="440" w:lineRule="exact"/>
              <w:ind w:left="105" w:leftChars="50" w:right="105" w:rightChars="50" w:firstLine="0" w:firstLineChars="0"/>
              <w:textAlignment w:val="baseline"/>
              <w:rPr>
                <w:rFonts w:hAnsi="宋体" w:cs="宋体"/>
                <w:color w:val="000000"/>
                <w:szCs w:val="21"/>
                <w:highlight w:val="none"/>
              </w:rPr>
            </w:pPr>
            <w:r>
              <w:rPr>
                <w:rFonts w:hint="eastAsia" w:ascii="宋体" w:hAnsi="宋体" w:cs="宋体"/>
                <w:color w:val="000000"/>
                <w:szCs w:val="21"/>
                <w:highlight w:val="none"/>
              </w:rPr>
              <w:t>同一事项同时被多个部门行政处罚或正式约谈只按最高的扣分计算1次。如果扣完本项分值，可以从总分中扣</w:t>
            </w:r>
            <w:r>
              <w:rPr>
                <w:rFonts w:hint="eastAsia" w:hAnsi="宋体" w:cs="宋体"/>
                <w:color w:val="000000"/>
                <w:szCs w:val="21"/>
                <w:highlight w:val="none"/>
              </w:rPr>
              <w:t>。</w:t>
            </w:r>
          </w:p>
        </w:tc>
      </w:tr>
    </w:tbl>
    <w:p w14:paraId="28E1A613">
      <w:pPr>
        <w:pStyle w:val="9"/>
        <w:shd w:val="clear" w:color="auto" w:fill="auto"/>
        <w:rPr>
          <w:rFonts w:hint="eastAsia" w:ascii="宋体" w:hAnsi="宋体"/>
          <w:b/>
          <w:bCs/>
          <w:color w:val="000000"/>
          <w:sz w:val="32"/>
          <w:szCs w:val="32"/>
          <w:highlight w:val="none"/>
        </w:rPr>
      </w:pPr>
    </w:p>
    <w:bookmarkEnd w:id="0"/>
    <w:bookmarkEnd w:id="1"/>
    <w:bookmarkEnd w:id="2"/>
    <w:bookmarkEnd w:id="3"/>
    <w:p w14:paraId="54144197">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0" w:firstLineChars="0"/>
        <w:textAlignment w:val="baseline"/>
        <w:outlineLvl w:val="9"/>
        <w:rPr>
          <w:rFonts w:hint="eastAsia" w:ascii="宋体" w:hAnsi="宋体" w:cs="宋体"/>
          <w:b/>
          <w:color w:val="000000"/>
          <w:sz w:val="24"/>
          <w:highlight w:val="none"/>
          <w:lang w:val="en-US" w:eastAsia="zh-CN"/>
        </w:rPr>
      </w:pPr>
    </w:p>
    <w:p w14:paraId="7ECEC6FA">
      <w:pPr>
        <w:pStyle w:val="5"/>
        <w:rPr>
          <w:rFonts w:hint="eastAsia" w:ascii="宋体" w:hAnsi="宋体" w:cs="宋体"/>
          <w:b/>
          <w:color w:val="000000"/>
          <w:sz w:val="24"/>
          <w:highlight w:val="none"/>
          <w:lang w:val="en-US" w:eastAsia="zh-CN"/>
        </w:rPr>
      </w:pPr>
    </w:p>
    <w:p w14:paraId="0673952B">
      <w:pPr>
        <w:pStyle w:val="9"/>
        <w:rPr>
          <w:rFonts w:hint="eastAsia" w:ascii="宋体" w:hAnsi="宋体" w:cs="宋体"/>
          <w:b/>
          <w:color w:val="000000"/>
          <w:sz w:val="24"/>
          <w:highlight w:val="none"/>
          <w:lang w:val="en-US" w:eastAsia="zh-CN"/>
        </w:rPr>
      </w:pPr>
    </w:p>
    <w:p w14:paraId="171FC73E">
      <w:pPr>
        <w:pStyle w:val="9"/>
        <w:rPr>
          <w:rFonts w:hint="eastAsia" w:ascii="宋体" w:hAnsi="宋体" w:cs="宋体"/>
          <w:b/>
          <w:color w:val="000000"/>
          <w:sz w:val="24"/>
          <w:highlight w:val="none"/>
          <w:lang w:val="en-US" w:eastAsia="zh-CN"/>
        </w:rPr>
      </w:pPr>
    </w:p>
    <w:p w14:paraId="0E7AE73C">
      <w:pPr>
        <w:pStyle w:val="9"/>
        <w:rPr>
          <w:rFonts w:hint="eastAsia" w:ascii="宋体" w:hAnsi="宋体" w:cs="宋体"/>
          <w:b/>
          <w:color w:val="000000"/>
          <w:sz w:val="24"/>
          <w:highlight w:val="none"/>
          <w:lang w:val="en-US" w:eastAsia="zh-CN"/>
        </w:rPr>
      </w:pPr>
    </w:p>
    <w:p w14:paraId="3F063950">
      <w:pPr>
        <w:pStyle w:val="9"/>
        <w:rPr>
          <w:rFonts w:hint="eastAsia" w:ascii="宋体" w:hAnsi="宋体" w:cs="宋体"/>
          <w:b/>
          <w:color w:val="000000"/>
          <w:sz w:val="24"/>
          <w:highlight w:val="none"/>
          <w:lang w:val="en-US" w:eastAsia="zh-CN"/>
        </w:rPr>
      </w:pPr>
    </w:p>
    <w:p w14:paraId="0E7908A1">
      <w:pPr>
        <w:pStyle w:val="9"/>
        <w:rPr>
          <w:rFonts w:hint="eastAsia" w:ascii="宋体" w:hAnsi="宋体" w:cs="宋体"/>
          <w:b/>
          <w:color w:val="000000"/>
          <w:sz w:val="24"/>
          <w:highlight w:val="none"/>
          <w:lang w:val="en-US" w:eastAsia="zh-CN"/>
        </w:rPr>
      </w:pPr>
    </w:p>
    <w:p w14:paraId="577E9267">
      <w:pPr>
        <w:pStyle w:val="9"/>
        <w:rPr>
          <w:rFonts w:hint="eastAsia" w:ascii="宋体" w:hAnsi="宋体" w:cs="宋体"/>
          <w:b/>
          <w:color w:val="000000"/>
          <w:sz w:val="24"/>
          <w:highlight w:val="none"/>
          <w:lang w:val="en-US" w:eastAsia="zh-CN"/>
        </w:rPr>
      </w:pPr>
    </w:p>
    <w:p w14:paraId="35075C0C">
      <w:pPr>
        <w:pStyle w:val="9"/>
        <w:rPr>
          <w:rFonts w:hint="eastAsia" w:ascii="宋体" w:hAnsi="宋体" w:cs="宋体"/>
          <w:b/>
          <w:color w:val="000000"/>
          <w:sz w:val="24"/>
          <w:highlight w:val="none"/>
          <w:lang w:val="en-US" w:eastAsia="zh-CN"/>
        </w:rPr>
      </w:pPr>
    </w:p>
    <w:p w14:paraId="1C5EABDD">
      <w:pPr>
        <w:pStyle w:val="9"/>
        <w:rPr>
          <w:rFonts w:hint="eastAsia" w:ascii="宋体" w:hAnsi="宋体" w:cs="宋体"/>
          <w:b/>
          <w:color w:val="000000"/>
          <w:sz w:val="24"/>
          <w:highlight w:val="none"/>
          <w:lang w:val="en-US" w:eastAsia="zh-CN"/>
        </w:rPr>
      </w:pPr>
    </w:p>
    <w:p w14:paraId="46710C91">
      <w:pPr>
        <w:pStyle w:val="9"/>
        <w:rPr>
          <w:rFonts w:hint="eastAsia" w:ascii="宋体" w:hAnsi="宋体" w:cs="宋体"/>
          <w:b/>
          <w:color w:val="000000"/>
          <w:sz w:val="24"/>
          <w:highlight w:val="none"/>
          <w:lang w:val="en-US" w:eastAsia="zh-CN"/>
        </w:rPr>
      </w:pPr>
    </w:p>
    <w:p w14:paraId="038A815D">
      <w:pPr>
        <w:pStyle w:val="9"/>
        <w:rPr>
          <w:rFonts w:hint="eastAsia" w:ascii="宋体" w:hAnsi="宋体" w:cs="宋体"/>
          <w:b/>
          <w:color w:val="000000"/>
          <w:sz w:val="24"/>
          <w:highlight w:val="none"/>
          <w:lang w:val="en-US" w:eastAsia="zh-CN"/>
        </w:rPr>
      </w:pPr>
    </w:p>
    <w:p w14:paraId="088BC9FC">
      <w:pPr>
        <w:pStyle w:val="9"/>
        <w:rPr>
          <w:rFonts w:hint="eastAsia" w:ascii="宋体" w:hAnsi="宋体" w:cs="宋体"/>
          <w:b/>
          <w:color w:val="000000"/>
          <w:sz w:val="24"/>
          <w:highlight w:val="none"/>
          <w:lang w:val="en-US" w:eastAsia="zh-CN"/>
        </w:rPr>
      </w:pPr>
    </w:p>
    <w:p w14:paraId="74A64A67">
      <w:pPr>
        <w:pStyle w:val="9"/>
        <w:rPr>
          <w:rFonts w:hint="eastAsia" w:ascii="宋体" w:hAnsi="宋体" w:cs="宋体"/>
          <w:b/>
          <w:color w:val="000000"/>
          <w:sz w:val="24"/>
          <w:highlight w:val="none"/>
          <w:lang w:val="en-US" w:eastAsia="zh-CN"/>
        </w:rPr>
      </w:pPr>
    </w:p>
    <w:p w14:paraId="2C8E50A6">
      <w:pPr>
        <w:pStyle w:val="9"/>
        <w:rPr>
          <w:rFonts w:hint="eastAsia" w:ascii="宋体" w:hAnsi="宋体" w:cs="宋体"/>
          <w:b/>
          <w:color w:val="000000"/>
          <w:sz w:val="24"/>
          <w:highlight w:val="none"/>
          <w:lang w:val="en-US" w:eastAsia="zh-CN"/>
        </w:rPr>
      </w:pPr>
    </w:p>
    <w:p w14:paraId="7837F749">
      <w:pPr>
        <w:pStyle w:val="9"/>
        <w:rPr>
          <w:rFonts w:hint="eastAsia" w:ascii="宋体" w:hAnsi="宋体" w:cs="宋体"/>
          <w:b/>
          <w:color w:val="000000"/>
          <w:sz w:val="24"/>
          <w:highlight w:val="none"/>
          <w:lang w:val="en-US" w:eastAsia="zh-CN"/>
        </w:rPr>
      </w:pPr>
    </w:p>
    <w:p w14:paraId="7A325868">
      <w:pPr>
        <w:pStyle w:val="9"/>
        <w:rPr>
          <w:rFonts w:hint="eastAsia" w:ascii="宋体" w:hAnsi="宋体" w:cs="宋体"/>
          <w:b/>
          <w:color w:val="000000"/>
          <w:sz w:val="24"/>
          <w:highlight w:val="none"/>
          <w:lang w:val="en-US" w:eastAsia="zh-CN"/>
        </w:rPr>
      </w:pPr>
    </w:p>
    <w:p w14:paraId="4F73E6C3">
      <w:pPr>
        <w:pStyle w:val="9"/>
        <w:rPr>
          <w:rFonts w:hint="eastAsia" w:ascii="宋体" w:hAnsi="宋体" w:cs="宋体"/>
          <w:b/>
          <w:color w:val="000000"/>
          <w:sz w:val="24"/>
          <w:highlight w:val="none"/>
          <w:lang w:val="en-US" w:eastAsia="zh-CN"/>
        </w:rPr>
      </w:pPr>
    </w:p>
    <w:p w14:paraId="308D3365">
      <w:pPr>
        <w:pStyle w:val="9"/>
        <w:rPr>
          <w:rFonts w:hint="eastAsia" w:ascii="宋体" w:hAnsi="宋体" w:cs="宋体"/>
          <w:b/>
          <w:color w:val="000000"/>
          <w:sz w:val="24"/>
          <w:highlight w:val="none"/>
          <w:lang w:val="en-US" w:eastAsia="zh-CN"/>
        </w:rPr>
      </w:pPr>
    </w:p>
    <w:p w14:paraId="67AA69A8">
      <w:pPr>
        <w:pStyle w:val="9"/>
        <w:rPr>
          <w:rFonts w:hint="eastAsia" w:ascii="宋体" w:hAnsi="宋体" w:cs="宋体"/>
          <w:b/>
          <w:color w:val="000000"/>
          <w:sz w:val="24"/>
          <w:highlight w:val="none"/>
          <w:lang w:val="en-US" w:eastAsia="zh-CN"/>
        </w:rPr>
      </w:pPr>
    </w:p>
    <w:p w14:paraId="52D47E84">
      <w:pPr>
        <w:pStyle w:val="9"/>
        <w:rPr>
          <w:rFonts w:hint="eastAsia" w:ascii="宋体" w:hAnsi="宋体" w:cs="宋体"/>
          <w:b/>
          <w:color w:val="000000"/>
          <w:sz w:val="24"/>
          <w:highlight w:val="none"/>
          <w:lang w:val="en-US" w:eastAsia="zh-CN"/>
        </w:rPr>
      </w:pPr>
    </w:p>
    <w:p w14:paraId="685574EA">
      <w:pPr>
        <w:pStyle w:val="9"/>
        <w:rPr>
          <w:rFonts w:hint="eastAsia" w:ascii="宋体" w:hAnsi="宋体" w:cs="宋体"/>
          <w:b/>
          <w:color w:val="000000"/>
          <w:sz w:val="24"/>
          <w:highlight w:val="none"/>
          <w:lang w:val="en-US" w:eastAsia="zh-CN"/>
        </w:rPr>
      </w:pPr>
    </w:p>
    <w:p w14:paraId="1CED94A1">
      <w:pPr>
        <w:pStyle w:val="9"/>
        <w:rPr>
          <w:rFonts w:hint="eastAsia" w:ascii="宋体" w:hAnsi="宋体" w:cs="宋体"/>
          <w:b/>
          <w:color w:val="000000"/>
          <w:sz w:val="24"/>
          <w:highlight w:val="none"/>
          <w:lang w:val="en-US" w:eastAsia="zh-CN"/>
        </w:rPr>
      </w:pPr>
    </w:p>
    <w:p w14:paraId="40122752">
      <w:pPr>
        <w:pStyle w:val="9"/>
        <w:rPr>
          <w:rFonts w:hint="eastAsia" w:ascii="宋体" w:hAnsi="宋体" w:cs="宋体"/>
          <w:b/>
          <w:color w:val="000000"/>
          <w:sz w:val="24"/>
          <w:highlight w:val="none"/>
          <w:lang w:val="en-US" w:eastAsia="zh-CN"/>
        </w:rPr>
      </w:pPr>
    </w:p>
    <w:p w14:paraId="5365C52F">
      <w:pPr>
        <w:pStyle w:val="9"/>
        <w:rPr>
          <w:rFonts w:hint="eastAsia" w:ascii="宋体" w:hAnsi="宋体" w:cs="宋体"/>
          <w:b/>
          <w:color w:val="000000"/>
          <w:sz w:val="24"/>
          <w:highlight w:val="none"/>
          <w:lang w:val="en-US" w:eastAsia="zh-CN"/>
        </w:rPr>
      </w:pPr>
    </w:p>
    <w:p w14:paraId="48800FF8">
      <w:pPr>
        <w:pStyle w:val="9"/>
        <w:rPr>
          <w:rFonts w:hint="eastAsia" w:ascii="宋体" w:hAnsi="宋体" w:cs="宋体"/>
          <w:b/>
          <w:color w:val="000000"/>
          <w:sz w:val="24"/>
          <w:highlight w:val="none"/>
          <w:lang w:val="en-US" w:eastAsia="zh-CN"/>
        </w:rPr>
      </w:pPr>
    </w:p>
    <w:p w14:paraId="3362A375">
      <w:pPr>
        <w:pStyle w:val="9"/>
        <w:rPr>
          <w:rFonts w:hint="eastAsia" w:ascii="宋体" w:hAnsi="宋体" w:cs="宋体"/>
          <w:b/>
          <w:color w:val="000000"/>
          <w:sz w:val="24"/>
          <w:highlight w:val="none"/>
          <w:lang w:val="en-US" w:eastAsia="zh-CN"/>
        </w:rPr>
      </w:pPr>
    </w:p>
    <w:p w14:paraId="7AE9DAE5">
      <w:pPr>
        <w:pStyle w:val="9"/>
        <w:rPr>
          <w:rFonts w:hint="eastAsia" w:ascii="宋体" w:hAnsi="宋体" w:cs="宋体"/>
          <w:b/>
          <w:color w:val="000000"/>
          <w:sz w:val="24"/>
          <w:highlight w:val="none"/>
          <w:lang w:val="en-US" w:eastAsia="zh-CN"/>
        </w:rPr>
      </w:pPr>
    </w:p>
    <w:p w14:paraId="552E81F2">
      <w:pPr>
        <w:pStyle w:val="9"/>
        <w:rPr>
          <w:rFonts w:hint="eastAsia" w:ascii="宋体" w:hAnsi="宋体" w:cs="宋体"/>
          <w:b/>
          <w:color w:val="000000"/>
          <w:sz w:val="24"/>
          <w:highlight w:val="none"/>
          <w:lang w:val="en-US" w:eastAsia="zh-CN"/>
        </w:rPr>
      </w:pPr>
    </w:p>
    <w:p w14:paraId="1B2E0D12">
      <w:pPr>
        <w:pStyle w:val="9"/>
        <w:rPr>
          <w:rFonts w:hint="eastAsia" w:ascii="宋体" w:hAnsi="宋体" w:cs="宋体"/>
          <w:b/>
          <w:color w:val="000000"/>
          <w:sz w:val="24"/>
          <w:highlight w:val="none"/>
          <w:lang w:val="en-US" w:eastAsia="zh-CN"/>
        </w:rPr>
      </w:pPr>
    </w:p>
    <w:p w14:paraId="246CD3C2">
      <w:pPr>
        <w:pStyle w:val="9"/>
        <w:rPr>
          <w:rFonts w:hint="eastAsia" w:ascii="宋体" w:hAnsi="宋体" w:cs="宋体"/>
          <w:b/>
          <w:color w:val="000000"/>
          <w:sz w:val="24"/>
          <w:highlight w:val="none"/>
          <w:lang w:val="en-US" w:eastAsia="zh-CN"/>
        </w:rPr>
      </w:pPr>
    </w:p>
    <w:p w14:paraId="1885C1FA">
      <w:pPr>
        <w:pStyle w:val="9"/>
        <w:rPr>
          <w:rFonts w:hint="eastAsia" w:ascii="宋体" w:hAnsi="宋体" w:cs="宋体"/>
          <w:b/>
          <w:color w:val="000000"/>
          <w:sz w:val="24"/>
          <w:highlight w:val="none"/>
          <w:lang w:val="en-US" w:eastAsia="zh-CN"/>
        </w:rPr>
      </w:pPr>
    </w:p>
    <w:p w14:paraId="53D8559B">
      <w:pPr>
        <w:pStyle w:val="9"/>
        <w:rPr>
          <w:rFonts w:hint="eastAsia" w:ascii="宋体" w:hAnsi="宋体" w:cs="宋体"/>
          <w:b/>
          <w:color w:val="000000"/>
          <w:sz w:val="24"/>
          <w:highlight w:val="none"/>
          <w:lang w:val="en-US" w:eastAsia="zh-CN"/>
        </w:rPr>
      </w:pPr>
    </w:p>
    <w:p w14:paraId="4C706B06">
      <w:pPr>
        <w:pStyle w:val="9"/>
        <w:rPr>
          <w:rFonts w:hint="eastAsia" w:ascii="宋体" w:hAnsi="宋体" w:cs="宋体"/>
          <w:b/>
          <w:color w:val="000000"/>
          <w:sz w:val="24"/>
          <w:highlight w:val="none"/>
          <w:lang w:val="en-US" w:eastAsia="zh-CN"/>
        </w:rPr>
      </w:pPr>
    </w:p>
    <w:p w14:paraId="7B4D648D">
      <w:pPr>
        <w:pStyle w:val="9"/>
        <w:rPr>
          <w:rFonts w:hint="eastAsia" w:ascii="宋体" w:hAnsi="宋体" w:cs="宋体"/>
          <w:b/>
          <w:color w:val="000000"/>
          <w:sz w:val="24"/>
          <w:highlight w:val="none"/>
          <w:lang w:val="en-US" w:eastAsia="zh-CN"/>
        </w:rPr>
      </w:pPr>
    </w:p>
    <w:p w14:paraId="42760C67">
      <w:pPr>
        <w:pStyle w:val="9"/>
        <w:rPr>
          <w:rFonts w:hint="eastAsia" w:ascii="宋体" w:hAnsi="宋体" w:cs="宋体"/>
          <w:b/>
          <w:color w:val="000000"/>
          <w:sz w:val="24"/>
          <w:highlight w:val="none"/>
          <w:lang w:val="en-US" w:eastAsia="zh-CN"/>
        </w:rPr>
      </w:pPr>
    </w:p>
    <w:p w14:paraId="2D986F3A">
      <w:pPr>
        <w:pStyle w:val="9"/>
        <w:rPr>
          <w:rFonts w:hint="eastAsia" w:ascii="宋体" w:hAnsi="宋体" w:cs="宋体"/>
          <w:b/>
          <w:color w:val="000000"/>
          <w:sz w:val="24"/>
          <w:highlight w:val="none"/>
          <w:lang w:val="en-US" w:eastAsia="zh-CN"/>
        </w:rPr>
      </w:pPr>
    </w:p>
    <w:p w14:paraId="742660F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0" w:firstLineChars="0"/>
        <w:textAlignment w:val="baseline"/>
        <w:outlineLvl w:val="9"/>
        <w:rPr>
          <w:rFonts w:hint="eastAsia" w:ascii="宋体" w:hAnsi="宋体" w:eastAsia="宋体" w:cs="宋体"/>
          <w:b/>
          <w:color w:val="000000"/>
          <w:sz w:val="24"/>
          <w:highlight w:val="none"/>
          <w:lang w:val="en-US" w:eastAsia="zh-CN"/>
        </w:rPr>
      </w:pPr>
      <w:r>
        <w:rPr>
          <w:rFonts w:hint="eastAsia" w:ascii="宋体" w:hAnsi="宋体" w:cs="宋体"/>
          <w:b/>
          <w:color w:val="000000"/>
          <w:sz w:val="24"/>
          <w:highlight w:val="none"/>
          <w:lang w:val="en-US" w:eastAsia="zh-CN"/>
        </w:rPr>
        <w:t>续上表</w:t>
      </w:r>
    </w:p>
    <w:tbl>
      <w:tblPr>
        <w:tblStyle w:val="7"/>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72"/>
        <w:gridCol w:w="7699"/>
      </w:tblGrid>
      <w:tr w14:paraId="749A41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9071" w:type="dxa"/>
            <w:gridSpan w:val="2"/>
            <w:noWrap w:val="0"/>
            <w:vAlign w:val="center"/>
          </w:tcPr>
          <w:p w14:paraId="4B65590D">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jc w:val="left"/>
              <w:textAlignment w:val="auto"/>
              <w:rPr>
                <w:rFonts w:hint="eastAsia" w:ascii="宋体" w:hAnsi="宋体" w:cs="宋体"/>
                <w:b/>
                <w:bCs/>
                <w:color w:val="000000"/>
                <w:szCs w:val="21"/>
                <w:highlight w:val="none"/>
              </w:rPr>
            </w:pPr>
            <w:r>
              <w:rPr>
                <w:rFonts w:hint="eastAsia" w:ascii="宋体" w:hAnsi="宋体" w:cs="宋体"/>
                <w:b/>
                <w:bCs/>
                <w:color w:val="000000"/>
                <w:szCs w:val="21"/>
                <w:highlight w:val="none"/>
              </w:rPr>
              <w:t>需要补充的其他内容：</w:t>
            </w:r>
          </w:p>
        </w:tc>
      </w:tr>
      <w:tr w14:paraId="0CA673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72" w:type="dxa"/>
            <w:noWrap w:val="0"/>
            <w:vAlign w:val="center"/>
          </w:tcPr>
          <w:p w14:paraId="3139BA68">
            <w:pPr>
              <w:keepNext w:val="0"/>
              <w:keepLines w:val="0"/>
              <w:pageBreakBefore w:val="0"/>
              <w:widowControl w:val="0"/>
              <w:shd w:val="clear" w:color="auto" w:fill="auto"/>
              <w:kinsoku/>
              <w:wordWrap/>
              <w:overflowPunct/>
              <w:topLinePunct w:val="0"/>
              <w:bidi w:val="0"/>
              <w:adjustRightInd w:val="0"/>
              <w:snapToGrid/>
              <w:spacing w:line="440" w:lineRule="exact"/>
              <w:ind w:left="105" w:leftChars="50"/>
              <w:jc w:val="center"/>
              <w:rPr>
                <w:rFonts w:hint="eastAsia" w:ascii="宋体" w:hAnsi="宋体" w:eastAsia="宋体" w:cs="宋体"/>
                <w:b/>
                <w:bCs/>
                <w:color w:val="000000"/>
                <w:szCs w:val="21"/>
                <w:highlight w:val="none"/>
                <w:lang w:val="en-US" w:eastAsia="zh-CN"/>
              </w:rPr>
            </w:pPr>
            <w:r>
              <w:rPr>
                <w:rFonts w:hint="eastAsia" w:ascii="宋体" w:hAnsi="宋体" w:cs="宋体"/>
                <w:b/>
                <w:bCs/>
                <w:color w:val="000000"/>
                <w:szCs w:val="21"/>
                <w:highlight w:val="none"/>
                <w:lang w:val="en-US" w:eastAsia="zh-CN"/>
              </w:rPr>
              <w:t>条款号</w:t>
            </w:r>
          </w:p>
        </w:tc>
        <w:tc>
          <w:tcPr>
            <w:tcW w:w="7699" w:type="dxa"/>
            <w:noWrap w:val="0"/>
            <w:vAlign w:val="center"/>
          </w:tcPr>
          <w:p w14:paraId="64538E54">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jc w:val="center"/>
              <w:textAlignment w:val="auto"/>
              <w:rPr>
                <w:rFonts w:hint="default" w:ascii="宋体" w:hAnsi="宋体" w:eastAsia="宋体" w:cs="宋体"/>
                <w:b/>
                <w:bCs/>
                <w:color w:val="000000"/>
                <w:szCs w:val="21"/>
                <w:highlight w:val="none"/>
                <w:lang w:val="en-US" w:eastAsia="zh-CN"/>
              </w:rPr>
            </w:pPr>
            <w:r>
              <w:rPr>
                <w:rFonts w:hint="eastAsia" w:ascii="宋体" w:hAnsi="宋体" w:cs="宋体"/>
                <w:b/>
                <w:bCs/>
                <w:color w:val="000000"/>
                <w:szCs w:val="21"/>
                <w:highlight w:val="none"/>
                <w:lang w:val="en-US" w:eastAsia="zh-CN"/>
              </w:rPr>
              <w:t>补充或修改的内容</w:t>
            </w:r>
          </w:p>
        </w:tc>
      </w:tr>
      <w:tr w14:paraId="632519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72" w:type="dxa"/>
            <w:noWrap w:val="0"/>
            <w:vAlign w:val="center"/>
          </w:tcPr>
          <w:p w14:paraId="735761CD">
            <w:pPr>
              <w:keepNext w:val="0"/>
              <w:keepLines w:val="0"/>
              <w:pageBreakBefore w:val="0"/>
              <w:widowControl w:val="0"/>
              <w:shd w:val="clear" w:color="auto" w:fill="auto"/>
              <w:kinsoku/>
              <w:wordWrap/>
              <w:overflowPunct/>
              <w:topLinePunct w:val="0"/>
              <w:bidi w:val="0"/>
              <w:adjustRightInd w:val="0"/>
              <w:snapToGrid/>
              <w:spacing w:line="440" w:lineRule="exact"/>
              <w:ind w:left="105" w:leftChars="50"/>
              <w:jc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7699" w:type="dxa"/>
            <w:noWrap w:val="0"/>
            <w:vAlign w:val="center"/>
          </w:tcPr>
          <w:p w14:paraId="4FF7D84B">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jc w:val="left"/>
              <w:textAlignment w:val="auto"/>
              <w:rPr>
                <w:rFonts w:hint="eastAsia" w:ascii="宋体" w:hAnsi="宋体" w:cs="宋体"/>
                <w:b/>
                <w:color w:val="000000"/>
                <w:szCs w:val="21"/>
                <w:highlight w:val="none"/>
              </w:rPr>
            </w:pPr>
            <w:r>
              <w:rPr>
                <w:rFonts w:hint="eastAsia" w:ascii="宋体" w:hAnsi="宋体" w:cs="宋体"/>
                <w:b/>
                <w:color w:val="000000"/>
                <w:szCs w:val="21"/>
                <w:highlight w:val="none"/>
              </w:rPr>
              <w:t>将评标办法原文第1条“评标方法”改为“评标方法、组织及工作程序”，原文内容修改如下：</w:t>
            </w:r>
          </w:p>
          <w:p w14:paraId="13FB8897">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1.评标方法、组织及工作程序</w:t>
            </w:r>
          </w:p>
          <w:p w14:paraId="7A8CCAC8">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1.1 评标方法</w:t>
            </w:r>
          </w:p>
          <w:p w14:paraId="566BF8AC">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本次评标采用双信封的技术评分最低标价法。评标委员会对满足招标文件实质性要求的投标文件，按照本章第2.2款规定对通过初步评审的投标人的施工组织设计、主要人员、其他因素等进行评分，按照得分由高到低排序，对排名在招标文件规定数量前5名 (不少于3名但不足5名时，按全部实际数量)的投标人的报价文件进行评审，按照评标价由低到高的顺序推荐</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的评标方法。但投标报价低于其成本的除外。评标价相等时，评标委员会应按照评标办法前附表规定的优先次序推荐</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或确定中标人。</w:t>
            </w:r>
          </w:p>
          <w:p w14:paraId="1EEBE851">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1.2 评标组织</w:t>
            </w:r>
          </w:p>
          <w:p w14:paraId="60BA6525">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1.2.1 协助工作组</w:t>
            </w:r>
          </w:p>
          <w:p w14:paraId="72238E77">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招标人可在评标工作开始前成立协助工作组，选派熟悉招标工作、政治素质高的人员组成，协助评标委员会工作。协助工作组人员的具体数量由招标人视评标工作量确定。</w:t>
            </w:r>
          </w:p>
          <w:p w14:paraId="00F5CFC4">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招标人可以协助评标委员会开展下列工作并提供相关信息：</w:t>
            </w:r>
          </w:p>
          <w:p w14:paraId="5461BB4B">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（1）根据招标文件，编制评标使用的相应表格；</w:t>
            </w:r>
          </w:p>
          <w:p w14:paraId="75482085">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（2）对投标报价进行算术性校核（如采用固化工程量清单，本步骤省略）；</w:t>
            </w:r>
          </w:p>
          <w:p w14:paraId="18175A8C">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（3）以评标标准和方法为依据，列出投标文件相对于招标文件的所有偏差，并进行归类汇总；</w:t>
            </w:r>
          </w:p>
          <w:p w14:paraId="68419772">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（4）查询公路建设市场信用信息管理系统，对投标人的资质、业绩、主要人员资历和目前在岗情况、信用等级进行核实。</w:t>
            </w:r>
          </w:p>
          <w:p w14:paraId="702E4C87">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招标人不得对投标文件作出任何评价，不得故意遗漏或者片面摘录，不得在评标委员会对所有偏差定性之前透露存有偏差的投标人名称。</w:t>
            </w:r>
          </w:p>
          <w:p w14:paraId="75762A59">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1.2.2 评标委员会</w:t>
            </w:r>
          </w:p>
          <w:p w14:paraId="1AE393C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评标委员会由招标人按国家、广东省等的有关规定依法组建。评标委员会的主要工作内容包括：</w:t>
            </w:r>
          </w:p>
          <w:p w14:paraId="32D85E5A">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（1）评标委员会开始评标工作之前，首先听取招标人、协助工作组关于工程情况和辅助工作的说明，并认真研读招标文件，获取评标所需的重要信息和数据；</w:t>
            </w:r>
          </w:p>
          <w:p w14:paraId="00A3CD01">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（2）对协助工作组提供的评标工作用表和评标内容进行核查</w:t>
            </w:r>
            <w:r>
              <w:rPr>
                <w:rFonts w:hint="eastAsia" w:ascii="宋体" w:hAnsi="宋体" w:cs="宋体"/>
                <w:color w:val="000000"/>
                <w:szCs w:val="21"/>
                <w:highlight w:val="none"/>
                <w:lang w:eastAsia="zh-CN"/>
              </w:rPr>
              <w:t>。</w:t>
            </w:r>
          </w:p>
          <w:p w14:paraId="191A377B">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（3）按照以下1.3款程序进行各项评审工作。</w:t>
            </w:r>
          </w:p>
          <w:p w14:paraId="7C9B38A4">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1.3评审工作程序</w:t>
            </w:r>
          </w:p>
          <w:p w14:paraId="4993A133">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（一）第一</w:t>
            </w:r>
            <w:r>
              <w:rPr>
                <w:rFonts w:hint="eastAsia" w:ascii="宋体" w:hAnsi="宋体" w:cs="宋体"/>
                <w:color w:val="000000"/>
                <w:szCs w:val="21"/>
                <w:highlight w:val="none"/>
                <w:lang w:val="en-US" w:eastAsia="zh-CN"/>
              </w:rPr>
              <w:t>个</w:t>
            </w:r>
            <w:r>
              <w:rPr>
                <w:rFonts w:hint="eastAsia" w:ascii="宋体" w:hAnsi="宋体" w:cs="宋体"/>
                <w:color w:val="000000"/>
                <w:szCs w:val="21"/>
                <w:highlight w:val="none"/>
              </w:rPr>
              <w:t>信封（商务及技术文件）：</w:t>
            </w:r>
          </w:p>
          <w:p w14:paraId="49807D02">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l、初步评审：包括形式评审与响应性评审、资格评审；</w:t>
            </w:r>
          </w:p>
          <w:p w14:paraId="5C7A370F">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2、详细评审（评审打分）：评标委员会首先对通过第一信封初步评审的投标文件进行详细评审，对投标人的施工组织设计、主要人员、其他因素等分别评审打分，并按照综合得分由高到低排序，排名在招标文件规定数量前5名（不少于3名但不足5名时，按全部实际数量）的投标人，其投标文件第一信封（商务及技术文件）通过详细评审。</w:t>
            </w:r>
          </w:p>
          <w:p w14:paraId="159DD4F5">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（二）第二</w:t>
            </w:r>
            <w:r>
              <w:rPr>
                <w:rFonts w:hint="eastAsia" w:ascii="宋体" w:hAnsi="宋体" w:cs="宋体"/>
                <w:color w:val="000000"/>
                <w:szCs w:val="21"/>
                <w:highlight w:val="none"/>
                <w:lang w:val="en-US" w:eastAsia="zh-CN"/>
              </w:rPr>
              <w:t>个</w:t>
            </w:r>
            <w:r>
              <w:rPr>
                <w:rFonts w:hint="eastAsia" w:ascii="宋体" w:hAnsi="宋体" w:cs="宋体"/>
                <w:color w:val="000000"/>
                <w:szCs w:val="21"/>
                <w:highlight w:val="none"/>
              </w:rPr>
              <w:t>信封（报价文件）：</w:t>
            </w:r>
          </w:p>
          <w:p w14:paraId="65D24BC6">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1、初步评审：</w:t>
            </w:r>
          </w:p>
          <w:p w14:paraId="1D23415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（1）只有对投标文件第一个信封通过详细评审的投标人的报价文件才能继续参加第二信封报价文件的形式评审与响应性评审。</w:t>
            </w:r>
          </w:p>
          <w:p w14:paraId="25D26606">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（2）报价算术性修正（如采用固化工程量清单，本步骤省略）；</w:t>
            </w:r>
          </w:p>
          <w:p w14:paraId="37E1FDA9">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 xml:space="preserve"> 2、详细评审：计算评标价。</w:t>
            </w:r>
          </w:p>
          <w:p w14:paraId="2FB68745">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（三）投标文件相关信息的核查。</w:t>
            </w:r>
          </w:p>
          <w:p w14:paraId="1A383316">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（四）投标文件的澄清和说明(如有)</w:t>
            </w:r>
          </w:p>
          <w:p w14:paraId="59390E86">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jc w:val="left"/>
              <w:textAlignment w:val="auto"/>
              <w:rPr>
                <w:rFonts w:hint="eastAsia" w:ascii="宋体" w:hAnsi="宋体" w:cs="宋体"/>
                <w:color w:val="000000"/>
                <w:szCs w:val="21"/>
                <w:highlight w:val="none"/>
              </w:rPr>
            </w:pPr>
            <w:r>
              <w:rPr>
                <w:rFonts w:hint="eastAsia" w:ascii="宋体" w:hAnsi="宋体" w:eastAsia="宋体" w:cs="宋体"/>
                <w:color w:val="000000"/>
                <w:szCs w:val="21"/>
                <w:highlight w:val="none"/>
                <w:lang w:eastAsia="zh-CN"/>
              </w:rPr>
              <w:t>　</w:t>
            </w:r>
            <w:r>
              <w:rPr>
                <w:rFonts w:hint="eastAsia" w:ascii="宋体" w:hAnsi="宋体" w:eastAsia="宋体" w:cs="宋体"/>
                <w:color w:val="000000"/>
                <w:szCs w:val="21"/>
                <w:highlight w:val="none"/>
                <w:lang w:val="en-US" w:eastAsia="zh-CN"/>
              </w:rPr>
              <w:t xml:space="preserve"> </w:t>
            </w:r>
            <w:r>
              <w:rPr>
                <w:rFonts w:hint="eastAsia" w:ascii="宋体" w:hAnsi="宋体" w:eastAsia="宋体" w:cs="宋体"/>
                <w:color w:val="000000"/>
                <w:szCs w:val="21"/>
                <w:highlight w:val="none"/>
              </w:rPr>
              <w:t>（五）按评标办法规定按照第二信封的评标价由低到高的顺序推荐</w:t>
            </w:r>
            <w:r>
              <w:rPr>
                <w:rFonts w:hint="eastAsia" w:ascii="宋体" w:hAnsi="宋体" w:cs="宋体"/>
                <w:color w:val="000000"/>
                <w:szCs w:val="21"/>
                <w:highlight w:val="none"/>
                <w:lang w:eastAsia="zh-CN"/>
              </w:rPr>
              <w:t>中标候选人</w:t>
            </w:r>
            <w:r>
              <w:rPr>
                <w:rFonts w:hint="eastAsia" w:ascii="宋体" w:hAnsi="宋体" w:eastAsia="宋体" w:cs="宋体"/>
                <w:color w:val="000000"/>
                <w:szCs w:val="21"/>
                <w:highlight w:val="none"/>
              </w:rPr>
              <w:t>，编写评标报告。</w:t>
            </w:r>
          </w:p>
        </w:tc>
      </w:tr>
      <w:tr w14:paraId="239CF3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72" w:type="dxa"/>
            <w:noWrap w:val="0"/>
            <w:vAlign w:val="center"/>
          </w:tcPr>
          <w:p w14:paraId="24139814">
            <w:pPr>
              <w:keepNext w:val="0"/>
              <w:keepLines w:val="0"/>
              <w:pageBreakBefore w:val="0"/>
              <w:widowControl w:val="0"/>
              <w:shd w:val="clear" w:color="auto" w:fill="auto"/>
              <w:kinsoku/>
              <w:wordWrap/>
              <w:overflowPunct/>
              <w:topLinePunct w:val="0"/>
              <w:bidi w:val="0"/>
              <w:adjustRightInd w:val="0"/>
              <w:snapToGrid/>
              <w:spacing w:line="440" w:lineRule="exact"/>
              <w:ind w:left="105" w:leftChars="50"/>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3.2.2</w:t>
            </w:r>
          </w:p>
        </w:tc>
        <w:tc>
          <w:tcPr>
            <w:tcW w:w="7699" w:type="dxa"/>
            <w:noWrap w:val="0"/>
            <w:vAlign w:val="center"/>
          </w:tcPr>
          <w:p w14:paraId="3071036A">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将评标办法原文第 3.2.2 项修改如下：</w:t>
            </w:r>
          </w:p>
          <w:p w14:paraId="12135163">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投标人的商务和技术得分分值计算保留小数点后三位，小数点后第四位“四舍五入”。</w:t>
            </w:r>
          </w:p>
        </w:tc>
      </w:tr>
      <w:tr w14:paraId="153B74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72" w:type="dxa"/>
            <w:noWrap w:val="0"/>
            <w:vAlign w:val="center"/>
          </w:tcPr>
          <w:p w14:paraId="0849C2EB">
            <w:pPr>
              <w:keepNext w:val="0"/>
              <w:keepLines w:val="0"/>
              <w:pageBreakBefore w:val="0"/>
              <w:widowControl w:val="0"/>
              <w:shd w:val="clear" w:color="auto" w:fill="auto"/>
              <w:kinsoku/>
              <w:wordWrap/>
              <w:overflowPunct/>
              <w:topLinePunct w:val="0"/>
              <w:bidi w:val="0"/>
              <w:adjustRightInd w:val="0"/>
              <w:snapToGrid/>
              <w:spacing w:line="440" w:lineRule="exact"/>
              <w:ind w:left="105" w:leftChars="50"/>
              <w:jc w:val="center"/>
              <w:rPr>
                <w:rFonts w:hint="eastAsia" w:ascii="宋体" w:hAnsi="宋体" w:cs="宋体"/>
                <w:color w:val="000000"/>
                <w:szCs w:val="21"/>
                <w:highlight w:val="none"/>
              </w:rPr>
            </w:pPr>
            <w:r>
              <w:rPr>
                <w:rFonts w:hint="eastAsia" w:ascii="宋体" w:hAnsi="宋体" w:cs="宋体"/>
                <w:color w:val="000000"/>
                <w:szCs w:val="21"/>
                <w:highlight w:val="none"/>
              </w:rPr>
              <w:t>3.2.3</w:t>
            </w:r>
          </w:p>
        </w:tc>
        <w:tc>
          <w:tcPr>
            <w:tcW w:w="7699" w:type="dxa"/>
            <w:noWrap w:val="0"/>
            <w:vAlign w:val="center"/>
          </w:tcPr>
          <w:p w14:paraId="5108123F">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eastAsia="宋体" w:cs="宋体"/>
                <w:color w:val="000000"/>
                <w:highlight w:val="none"/>
              </w:rPr>
            </w:pPr>
            <w:r>
              <w:rPr>
                <w:rFonts w:hint="eastAsia" w:ascii="宋体" w:hAnsi="宋体" w:eastAsia="宋体" w:cs="宋体"/>
                <w:color w:val="000000"/>
                <w:highlight w:val="none"/>
              </w:rPr>
              <w:t>将评标办法范本原文第 3.2.3 项细化如下：</w:t>
            </w:r>
          </w:p>
          <w:p w14:paraId="36684033">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eastAsia="宋体" w:cs="宋体"/>
                <w:color w:val="000000"/>
                <w:highlight w:val="none"/>
              </w:rPr>
            </w:pPr>
            <w:r>
              <w:rPr>
                <w:rFonts w:hint="eastAsia" w:ascii="宋体" w:hAnsi="宋体" w:eastAsia="宋体" w:cs="宋体"/>
                <w:color w:val="000000"/>
                <w:highlight w:val="none"/>
              </w:rPr>
              <w:t>投标人的商务和技术得分=A+B+C。</w:t>
            </w:r>
          </w:p>
          <w:p w14:paraId="73441484">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eastAsia="宋体" w:cs="宋体"/>
                <w:color w:val="000000"/>
                <w:highlight w:val="none"/>
              </w:rPr>
            </w:pPr>
            <w:r>
              <w:rPr>
                <w:rFonts w:hint="eastAsia" w:ascii="宋体" w:hAnsi="宋体" w:eastAsia="宋体" w:cs="宋体"/>
                <w:color w:val="000000"/>
                <w:highlight w:val="none"/>
              </w:rPr>
              <w:t>除履约信誉、技术能力得分外，投标文件各评分因素细分项得分均不应低于其权重分的60%，评分低于权重分值60%的，评标委员会成员应当在评标报告中作出说明。计算投标人技术得分时:首先在评委技术评分中，采用取消同一评委对同一标段各投标人评分总分的差值最大的1名评委评分分值（若有2名或以上评委技术评分总分差值最大值相等时，则取消其中1名评委的所有评分，具体办法如下)，再对各评分因素细分项中取消一个最高、一个最低分后计算其算术平均值的和为投标人的最终技术得分，平均值计算保留小数点后三位，小数点后第四位“四舍五入”。</w:t>
            </w:r>
          </w:p>
          <w:p w14:paraId="18F15C62">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ascii="宋体" w:hAnsi="宋体" w:cs="宋体"/>
                <w:color w:val="000000"/>
                <w:highlight w:val="none"/>
                <w:lang w:val="en-US" w:eastAsia="zh-CN"/>
              </w:rPr>
            </w:pPr>
            <w:r>
              <w:rPr>
                <w:rFonts w:hint="eastAsia" w:ascii="宋体" w:hAnsi="宋体" w:eastAsia="宋体" w:cs="宋体"/>
                <w:color w:val="000000"/>
                <w:highlight w:val="none"/>
              </w:rPr>
              <w:t>取消其中1名评委所有评分的办法一（依次按照以下流程):(1）对比上述出现技术评分总分差值最大值相等的评委的次大差值（次大差值=某一评委技术评分总分的最高分一该评委技术评分总分的次低分），取消次分差值最大的评委所有评</w:t>
            </w:r>
            <w:r>
              <w:rPr>
                <w:rFonts w:hint="eastAsia" w:ascii="宋体" w:hAnsi="宋体" w:cs="宋体"/>
                <w:color w:val="000000"/>
                <w:highlight w:val="none"/>
                <w:lang w:val="en-US" w:eastAsia="zh-CN"/>
              </w:rPr>
              <w:t>分；（2）如次分差值仍相同的，则按随机抽取的方式选定取消1名评委评分。</w:t>
            </w:r>
          </w:p>
          <w:p w14:paraId="738EC03C">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315" w:firstLineChars="150"/>
              <w:jc w:val="left"/>
              <w:textAlignment w:val="auto"/>
              <w:rPr>
                <w:rFonts w:hint="eastAsia"/>
                <w:color w:val="000000"/>
                <w:highlight w:val="none"/>
              </w:rPr>
            </w:pPr>
            <w:r>
              <w:rPr>
                <w:rFonts w:hint="eastAsia" w:ascii="宋体" w:hAnsi="宋体" w:cs="宋体"/>
                <w:color w:val="000000"/>
                <w:highlight w:val="none"/>
                <w:lang w:val="en-US" w:eastAsia="zh-CN"/>
              </w:rPr>
              <w:t>示例：同一评委对5名投标人技术评分总分分别为:6.65(最高分)、5.88、5.11、4.90(次低分)、4.55(最低分),则其最大差值为2.1、次大差值为6.65-4.90=1.75）</w:t>
            </w:r>
            <w:r>
              <w:rPr>
                <w:rFonts w:hint="eastAsia" w:ascii="宋体" w:hAnsi="宋体" w:eastAsia="宋体" w:cs="宋体"/>
                <w:color w:val="000000"/>
                <w:highlight w:val="none"/>
              </w:rPr>
              <w:t>。</w:t>
            </w:r>
          </w:p>
        </w:tc>
      </w:tr>
      <w:tr w14:paraId="7A0827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72" w:type="dxa"/>
            <w:noWrap w:val="0"/>
            <w:vAlign w:val="center"/>
          </w:tcPr>
          <w:p w14:paraId="6BE5D2D0">
            <w:pPr>
              <w:keepNext w:val="0"/>
              <w:keepLines w:val="0"/>
              <w:pageBreakBefore w:val="0"/>
              <w:widowControl w:val="0"/>
              <w:shd w:val="clear" w:color="auto" w:fill="auto"/>
              <w:kinsoku/>
              <w:wordWrap/>
              <w:overflowPunct/>
              <w:topLinePunct w:val="0"/>
              <w:bidi w:val="0"/>
              <w:adjustRightInd w:val="0"/>
              <w:snapToGrid/>
              <w:spacing w:line="440" w:lineRule="exact"/>
              <w:ind w:left="105" w:leftChars="50"/>
              <w:jc w:val="center"/>
              <w:rPr>
                <w:rFonts w:hint="eastAsia" w:ascii="宋体" w:hAnsi="宋体" w:cs="宋体"/>
                <w:color w:val="000000"/>
                <w:szCs w:val="21"/>
                <w:highlight w:val="none"/>
              </w:rPr>
            </w:pPr>
            <w:r>
              <w:rPr>
                <w:rFonts w:hint="eastAsia" w:ascii="宋体" w:hAnsi="宋体" w:cs="宋体"/>
                <w:color w:val="000000"/>
                <w:szCs w:val="21"/>
                <w:highlight w:val="none"/>
              </w:rPr>
              <w:t>3.6</w:t>
            </w:r>
          </w:p>
        </w:tc>
        <w:tc>
          <w:tcPr>
            <w:tcW w:w="7699" w:type="dxa"/>
            <w:noWrap w:val="0"/>
            <w:vAlign w:val="center"/>
          </w:tcPr>
          <w:p w14:paraId="35B34E98">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3.6.2项（2）目末增加以下条款：</w:t>
            </w:r>
          </w:p>
          <w:p w14:paraId="03D44EDE">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g.当一家以上投标人评标价相同时，若各投标人工程量清单细目单价也相同，视为串标（一个标段仅一工作细目报价的除外）。</w:t>
            </w:r>
          </w:p>
          <w:p w14:paraId="69F77715">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h.广东省实施《中华人民共和国招标投标法》办法第十六条规定的情形。</w:t>
            </w:r>
          </w:p>
          <w:p w14:paraId="06D5AC9C">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增加3.6.3项：</w:t>
            </w:r>
          </w:p>
          <w:p w14:paraId="116A5A2F">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3.6.3依法必须进行招标的项目，除</w:t>
            </w:r>
            <w:r>
              <w:rPr>
                <w:rFonts w:hint="eastAsia" w:ascii="宋体" w:hAnsi="宋体" w:cs="宋体"/>
                <w:color w:val="000000"/>
                <w:szCs w:val="21"/>
                <w:highlight w:val="none"/>
                <w:lang w:val="en-US" w:eastAsia="zh-CN"/>
              </w:rPr>
              <w:t>第一中标候选人</w:t>
            </w:r>
            <w:r>
              <w:rPr>
                <w:rFonts w:hint="eastAsia" w:ascii="宋体" w:hAnsi="宋体" w:cs="宋体"/>
                <w:color w:val="000000"/>
                <w:szCs w:val="21"/>
                <w:highlight w:val="none"/>
              </w:rPr>
              <w:t>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14:paraId="586E7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372" w:type="dxa"/>
            <w:noWrap w:val="0"/>
            <w:vAlign w:val="center"/>
          </w:tcPr>
          <w:p w14:paraId="3330BCC6">
            <w:pPr>
              <w:keepNext w:val="0"/>
              <w:keepLines w:val="0"/>
              <w:pageBreakBefore w:val="0"/>
              <w:widowControl w:val="0"/>
              <w:shd w:val="clear" w:color="auto" w:fill="auto"/>
              <w:kinsoku/>
              <w:wordWrap/>
              <w:overflowPunct/>
              <w:topLinePunct w:val="0"/>
              <w:bidi w:val="0"/>
              <w:adjustRightInd w:val="0"/>
              <w:snapToGrid/>
              <w:spacing w:line="440" w:lineRule="exact"/>
              <w:ind w:left="105" w:leftChars="50"/>
              <w:jc w:val="center"/>
              <w:rPr>
                <w:rFonts w:hint="eastAsia" w:ascii="宋体" w:hAnsi="宋体" w:cs="宋体"/>
                <w:color w:val="000000"/>
                <w:szCs w:val="21"/>
                <w:highlight w:val="none"/>
              </w:rPr>
            </w:pPr>
            <w:r>
              <w:rPr>
                <w:rFonts w:hint="eastAsia" w:ascii="宋体" w:hAnsi="宋体" w:cs="宋体"/>
                <w:color w:val="000000"/>
                <w:szCs w:val="21"/>
                <w:highlight w:val="none"/>
              </w:rPr>
              <w:t>3.9</w:t>
            </w:r>
          </w:p>
        </w:tc>
        <w:tc>
          <w:tcPr>
            <w:tcW w:w="7699" w:type="dxa"/>
            <w:noWrap w:val="0"/>
            <w:vAlign w:val="center"/>
          </w:tcPr>
          <w:p w14:paraId="08EC361F">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增加3.9.3-3.9.</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项：</w:t>
            </w:r>
          </w:p>
          <w:p w14:paraId="79630FE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3.9.3 推荐</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方式：（1）已被推荐为某一标段的</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，自动失去其在本次招标中其他标段的</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资格。（2）按标段最高投标限价由高到低顺序依次选定各标段</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，如果出现投标人在多个标段都排名第一，将确定该投标人为最高投标限价较高的标段的</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，同时该投标人自动失去在本次招标中其他标段的</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资格，其他标段的综合排名名次高者自动上升为</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，以此类推。</w:t>
            </w:r>
          </w:p>
          <w:p w14:paraId="52D7327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3.9.4 通过第一个信封商务及技术文件评审的投标人少于 3 个的，评标委员会应否决全部投标。</w:t>
            </w:r>
          </w:p>
          <w:p w14:paraId="39F9A69A">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3.9.5 通过第一个信封商务及技术文件评审的投标人在 3 个及以上的，招标人应当按照招标文件规定的程序进行第二个信封报价文件开标；在对报价文件进行评审后，有效投标不足 3 个的，评标委员会可以否决全部投标。未否决全部投标的，评标委员会应当在评标报告中阐明理由并推荐</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w:t>
            </w:r>
          </w:p>
          <w:p w14:paraId="3BA8B21D">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3.9.6 如果发生无法确定推荐</w:t>
            </w:r>
            <w:r>
              <w:rPr>
                <w:rFonts w:hint="eastAsia" w:ascii="宋体" w:hAnsi="宋体" w:cs="宋体"/>
                <w:color w:val="000000"/>
                <w:szCs w:val="21"/>
                <w:highlight w:val="none"/>
                <w:lang w:eastAsia="zh-CN"/>
              </w:rPr>
              <w:t>中标候选人</w:t>
            </w:r>
            <w:r>
              <w:rPr>
                <w:rFonts w:hint="eastAsia" w:ascii="宋体" w:hAnsi="宋体" w:cs="宋体"/>
                <w:color w:val="000000"/>
                <w:szCs w:val="21"/>
                <w:highlight w:val="none"/>
              </w:rPr>
              <w:t>的其他意外情况，评标委员会可建议招标人重新招标。</w:t>
            </w:r>
          </w:p>
          <w:p w14:paraId="77E2689B">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2" w:firstLineChars="200"/>
              <w:jc w:val="left"/>
              <w:textAlignment w:val="auto"/>
              <w:rPr>
                <w:rFonts w:hint="eastAsia" w:ascii="宋体" w:hAnsi="宋体" w:cs="宋体"/>
                <w:b/>
                <w:bCs/>
                <w:color w:val="000000"/>
                <w:szCs w:val="21"/>
                <w:highlight w:val="none"/>
              </w:rPr>
            </w:pPr>
            <w:r>
              <w:rPr>
                <w:rFonts w:hint="eastAsia" w:ascii="宋体" w:hAnsi="宋体" w:cs="宋体"/>
                <w:b/>
                <w:bCs/>
                <w:color w:val="000000"/>
                <w:szCs w:val="21"/>
                <w:highlight w:val="none"/>
              </w:rPr>
              <w:t>3.9.7 本招标文件规定的否决投标条款包含在以下条款：</w:t>
            </w:r>
          </w:p>
          <w:p w14:paraId="5767BA72">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2" w:firstLineChars="200"/>
              <w:jc w:val="left"/>
              <w:textAlignment w:val="auto"/>
              <w:rPr>
                <w:rFonts w:hint="eastAsia" w:ascii="宋体" w:hAnsi="宋体" w:cs="宋体"/>
                <w:b/>
                <w:bCs/>
                <w:color w:val="000000"/>
                <w:szCs w:val="21"/>
                <w:highlight w:val="none"/>
              </w:rPr>
            </w:pPr>
            <w:r>
              <w:rPr>
                <w:rFonts w:hint="eastAsia" w:ascii="宋体" w:hAnsi="宋体" w:cs="宋体"/>
                <w:b/>
                <w:bCs/>
                <w:color w:val="000000"/>
                <w:szCs w:val="21"/>
                <w:highlight w:val="none"/>
              </w:rPr>
              <w:t>(1) 招标公告第 3 点 投标人资格要求；</w:t>
            </w:r>
          </w:p>
          <w:p w14:paraId="418B835D">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2" w:firstLineChars="200"/>
              <w:jc w:val="left"/>
              <w:textAlignment w:val="auto"/>
              <w:rPr>
                <w:rFonts w:hint="eastAsia" w:ascii="宋体" w:hAnsi="宋体" w:cs="宋体"/>
                <w:b/>
                <w:bCs/>
                <w:color w:val="000000"/>
                <w:szCs w:val="21"/>
                <w:highlight w:val="none"/>
              </w:rPr>
            </w:pPr>
            <w:r>
              <w:rPr>
                <w:rFonts w:hint="eastAsia" w:ascii="宋体" w:hAnsi="宋体" w:cs="宋体"/>
                <w:b/>
                <w:bCs/>
                <w:color w:val="000000"/>
                <w:szCs w:val="21"/>
                <w:highlight w:val="none"/>
              </w:rPr>
              <w:t xml:space="preserve">(2) </w:t>
            </w:r>
            <w:r>
              <w:rPr>
                <w:rFonts w:hint="eastAsia" w:ascii="宋体" w:hAnsi="宋体" w:cs="宋体"/>
                <w:b/>
                <w:bCs/>
                <w:color w:val="000000"/>
                <w:szCs w:val="21"/>
                <w:highlight w:val="none"/>
                <w:u w:val="single"/>
              </w:rPr>
              <w:t>投标人须知 1.4.3 项、1.4.4 项、1.4.5 项、1.11.1 项、1.12.2 项、 3.4.2 项、3.5.11 项、3.6.1 项</w:t>
            </w:r>
            <w:r>
              <w:rPr>
                <w:rFonts w:hint="eastAsia" w:ascii="宋体" w:hAnsi="宋体" w:cs="宋体"/>
                <w:b/>
                <w:bCs/>
                <w:color w:val="000000"/>
                <w:szCs w:val="21"/>
                <w:highlight w:val="none"/>
              </w:rPr>
              <w:t>；</w:t>
            </w:r>
          </w:p>
          <w:p w14:paraId="4B63D06F">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left="105" w:leftChars="50" w:firstLine="422" w:firstLineChars="200"/>
              <w:jc w:val="left"/>
              <w:textAlignment w:val="auto"/>
              <w:rPr>
                <w:rFonts w:hint="eastAsia" w:ascii="宋体" w:hAnsi="宋体" w:cs="宋体"/>
                <w:color w:val="000000"/>
                <w:szCs w:val="21"/>
                <w:highlight w:val="none"/>
              </w:rPr>
            </w:pPr>
            <w:r>
              <w:rPr>
                <w:rFonts w:hint="eastAsia" w:ascii="宋体" w:hAnsi="宋体" w:cs="宋体"/>
                <w:b/>
                <w:bCs/>
                <w:color w:val="000000"/>
                <w:szCs w:val="21"/>
                <w:highlight w:val="none"/>
              </w:rPr>
              <w:t>(3) 本评标办法的否决条款。</w:t>
            </w:r>
          </w:p>
        </w:tc>
      </w:tr>
    </w:tbl>
    <w:p w14:paraId="621AE98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0" w:firstLineChars="0"/>
        <w:textAlignment w:val="baseline"/>
        <w:outlineLvl w:val="9"/>
        <w:rPr>
          <w:rFonts w:hint="eastAsia" w:ascii="宋体" w:hAnsi="宋体" w:cs="宋体"/>
          <w:b/>
          <w:color w:val="000000"/>
          <w:sz w:val="24"/>
          <w:highlight w:val="none"/>
        </w:rPr>
      </w:pPr>
    </w:p>
    <w:p w14:paraId="26262F2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0" w:firstLineChars="0"/>
        <w:textAlignment w:val="baseline"/>
        <w:outlineLvl w:val="2"/>
        <w:rPr>
          <w:rFonts w:hint="eastAsia" w:ascii="宋体" w:hAnsi="宋体" w:cs="宋体"/>
          <w:bCs/>
          <w:color w:val="000000"/>
          <w:szCs w:val="21"/>
          <w:highlight w:val="none"/>
        </w:rPr>
      </w:pPr>
      <w:r>
        <w:rPr>
          <w:rFonts w:hint="eastAsia" w:ascii="宋体" w:hAnsi="宋体" w:cs="宋体"/>
          <w:b/>
          <w:color w:val="000000"/>
          <w:sz w:val="24"/>
          <w:highlight w:val="none"/>
        </w:rPr>
        <w:br w:type="page"/>
      </w:r>
      <w:r>
        <w:rPr>
          <w:rFonts w:hint="eastAsia" w:ascii="宋体" w:hAnsi="宋体" w:cs="宋体"/>
          <w:b/>
          <w:color w:val="000000"/>
          <w:sz w:val="24"/>
          <w:highlight w:val="none"/>
        </w:rPr>
        <w:t>1. 评标方法</w:t>
      </w:r>
    </w:p>
    <w:p w14:paraId="7A7D19C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本次评标采用技术评分最低标价法。评标委员会对满足招标文件实质性要求的投标文件的施工组织设计、主要人员、技术能力等因素进行评分，按照得分由高到低排序，对排名在招标文件规定数量以内的投标人的报价文件进行评审，按照评标价由低到高的顺序推荐中标候选人，或根据招标人授权直接确定中标人，但投标报价低于其成本的除外。评标价相等时，评标委员会应按照评标办法前附表规定的优先次序推荐中标候选人或确定中标人。</w:t>
      </w:r>
    </w:p>
    <w:p w14:paraId="3BE48411">
      <w:pPr>
        <w:keepNext w:val="0"/>
        <w:keepLines w:val="0"/>
        <w:pageBreakBefore w:val="0"/>
        <w:widowControl w:val="0"/>
        <w:shd w:val="clear" w:color="auto" w:fill="auto"/>
        <w:kinsoku/>
        <w:wordWrap/>
        <w:overflowPunct/>
        <w:topLinePunct w:val="0"/>
        <w:autoSpaceDE/>
        <w:autoSpaceDN/>
        <w:bidi w:val="0"/>
        <w:adjustRightInd w:val="0"/>
        <w:snapToGrid w:val="0"/>
        <w:spacing w:before="62" w:beforeLines="20" w:after="62" w:afterLines="20" w:line="360" w:lineRule="exact"/>
        <w:textAlignment w:val="baseline"/>
        <w:outlineLvl w:val="2"/>
        <w:rPr>
          <w:rFonts w:hint="eastAsia" w:ascii="宋体" w:hAnsi="宋体" w:cs="宋体"/>
          <w:b/>
          <w:color w:val="000000"/>
          <w:sz w:val="24"/>
          <w:highlight w:val="none"/>
        </w:rPr>
      </w:pPr>
      <w:r>
        <w:rPr>
          <w:rFonts w:hint="eastAsia" w:ascii="宋体" w:hAnsi="宋体" w:cs="宋体"/>
          <w:b/>
          <w:color w:val="000000"/>
          <w:sz w:val="24"/>
          <w:highlight w:val="none"/>
        </w:rPr>
        <w:t>2. 评审标准</w:t>
      </w:r>
    </w:p>
    <w:p w14:paraId="00B3DC4B">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2.1 初步评审标准</w:t>
      </w:r>
    </w:p>
    <w:p w14:paraId="0C760E76">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2.1.1形式评审：见评标办法前附表</w:t>
      </w:r>
    </w:p>
    <w:p w14:paraId="6A386252">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2.1.2资格评审标准：见评标办法前附表（适用于未进行资格预审的）。</w:t>
      </w:r>
    </w:p>
    <w:p w14:paraId="16DBF915">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2.1.2 资格评审标准：见资格预审文件第三章“资格审查办法”详细审查标准（适用于已进行资格预审的）。</w:t>
      </w:r>
    </w:p>
    <w:p w14:paraId="1C8AB18B">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2.1.3响应性评审：见评标办法前附表。</w:t>
      </w:r>
    </w:p>
    <w:p w14:paraId="012E2E6D">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2.2 分值构成与评分标准</w:t>
      </w:r>
    </w:p>
    <w:p w14:paraId="40B7A8DA">
      <w:pPr>
        <w:shd w:val="clear" w:color="auto" w:fill="auto"/>
        <w:snapToGrid w:val="0"/>
        <w:spacing w:line="440" w:lineRule="exact"/>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2.2.1第一个信封评分分值构成</w:t>
      </w:r>
    </w:p>
    <w:p w14:paraId="3BB98548">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（1）施工组织设计：见评标办法前附表；</w:t>
      </w:r>
    </w:p>
    <w:p w14:paraId="0A3D7A1F">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（2）主要人员：见评标办法前附表；</w:t>
      </w:r>
    </w:p>
    <w:p w14:paraId="354B5172">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（3）其他评分因素：见评标办法前附表。</w:t>
      </w:r>
    </w:p>
    <w:p w14:paraId="69125854">
      <w:pPr>
        <w:shd w:val="clear" w:color="auto" w:fill="auto"/>
        <w:snapToGrid w:val="0"/>
        <w:spacing w:line="440" w:lineRule="exact"/>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2.2.2第一个信封评分评分标准</w:t>
      </w:r>
    </w:p>
    <w:p w14:paraId="50904A7D">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（1）施工组织设计评分标准：见评标办法前附表；</w:t>
      </w:r>
    </w:p>
    <w:p w14:paraId="2E2BE8E8">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（2）主要人员评分标准：见评标办法前附表；</w:t>
      </w:r>
    </w:p>
    <w:p w14:paraId="414A2FA1">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（3）其他因素评分标准：见评标办法前附表。</w:t>
      </w:r>
    </w:p>
    <w:p w14:paraId="505970A0">
      <w:pPr>
        <w:shd w:val="clear" w:color="auto" w:fill="auto"/>
        <w:snapToGrid w:val="0"/>
        <w:spacing w:line="440" w:lineRule="exact"/>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2.2.3第二个信封详细评审标准：见评标办法前附表。</w:t>
      </w:r>
    </w:p>
    <w:p w14:paraId="00E18ECF">
      <w:pPr>
        <w:keepNext w:val="0"/>
        <w:keepLines w:val="0"/>
        <w:pageBreakBefore w:val="0"/>
        <w:widowControl w:val="0"/>
        <w:shd w:val="clear" w:color="auto" w:fill="auto"/>
        <w:kinsoku/>
        <w:wordWrap/>
        <w:overflowPunct/>
        <w:topLinePunct w:val="0"/>
        <w:autoSpaceDE/>
        <w:autoSpaceDN/>
        <w:bidi w:val="0"/>
        <w:adjustRightInd w:val="0"/>
        <w:snapToGrid w:val="0"/>
        <w:spacing w:before="62" w:beforeLines="20" w:after="62" w:afterLines="20" w:line="360" w:lineRule="exact"/>
        <w:textAlignment w:val="baseline"/>
        <w:outlineLvl w:val="2"/>
        <w:rPr>
          <w:rFonts w:hint="eastAsia" w:ascii="宋体" w:hAnsi="宋体" w:cs="宋体"/>
          <w:b/>
          <w:color w:val="000000"/>
          <w:sz w:val="24"/>
          <w:highlight w:val="none"/>
        </w:rPr>
      </w:pPr>
      <w:r>
        <w:rPr>
          <w:rFonts w:hint="eastAsia" w:ascii="宋体" w:hAnsi="宋体" w:cs="宋体"/>
          <w:b/>
          <w:color w:val="000000"/>
          <w:sz w:val="24"/>
          <w:highlight w:val="none"/>
        </w:rPr>
        <w:t>3. 评标程序</w:t>
      </w:r>
    </w:p>
    <w:p w14:paraId="0FCF5468">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3.1 第一个信封初步评审</w:t>
      </w:r>
    </w:p>
    <w:p w14:paraId="3B218BCF">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3.1.1 评标委员会可以要求投标人提交第二章“投标人须知”第 3.5.1 项至第 3.5.6项规定的有关证明和证件的原件，以便核验。评标委员会依据本章第 2.1 款规定的标准对投标文件第一个信封（商务及技术文件）进行初步评审。有一项不符合评审标准的，评标委员会应否决其投标。（适用于未进行资格预审的）</w:t>
      </w:r>
    </w:p>
    <w:p w14:paraId="0155DB36">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3.1.1 评标委员会依据本章第 2.1.1 项、第 2.1.3 项规定的评审标准对投标文件第一个信封（商务及技术文件）进行初步评审。有一项不符合评审标准的，评标委员会应否决其投标。当投标人资格预审申请文件的内容发生重大变化时，评标委员会依据本章第 2.1.2 项规定的标准对其更新资料进行评审。（适用于已进行资格预审的）</w:t>
      </w:r>
    </w:p>
    <w:p w14:paraId="6BC7F537">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3.2 第一个信封详细评审</w:t>
      </w:r>
    </w:p>
    <w:p w14:paraId="520F5C4A">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3.2.1评标委员会按本章第 2.2 款规定的量化因素和分值进行打分，并计算出各投标人的商务和技术得分。</w:t>
      </w:r>
    </w:p>
    <w:p w14:paraId="2DB0D616">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（1）按本章第 2.2.2 项（1）目规定的评审因素和分值对施工组织设计部分计算出得分 A；</w:t>
      </w:r>
    </w:p>
    <w:p w14:paraId="250A0F3A">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（2）按本章第 2.2.2 项（2）目规定的评审因素和分值对主要人员部分计算出得分 B；</w:t>
      </w:r>
    </w:p>
    <w:p w14:paraId="7F55FD64">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（3）按本章第 2.2.2 项（3）目规定的评审因素和分值对其他部分计算出得分 C。</w:t>
      </w:r>
    </w:p>
    <w:p w14:paraId="1D019FD5">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3.2.2投标人的商务和技术得分分值计算保留小数点后两位，小数点后第三位“四舍五入”。</w:t>
      </w:r>
    </w:p>
    <w:p w14:paraId="584658C0">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3.2.3投标人的商务和技术得分=A+B+C。</w:t>
      </w:r>
    </w:p>
    <w:p w14:paraId="3B72C319">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3.2.4评标委员会按照投标人的商务和技术得分由高到低排序，排名在评标办法前附表规定数量以内的投标人，其投标文件第一个信封（商务及技术文件）通过详细评审。</w:t>
      </w:r>
    </w:p>
    <w:p w14:paraId="14105F48">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3.2.5通过投标文件第一个信封（商务及技术文件）初步评审的投标人不少于 3 个且未超过评标办法前附表第 3.2.4 项规定数量的，均通过投标文件第一个信封（商务及技术文件）详细评审，不再对投标人的商务和技术文件进行评分。</w:t>
      </w:r>
    </w:p>
    <w:p w14:paraId="6AA541B6">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3.3 第二个信封开标</w:t>
      </w:r>
    </w:p>
    <w:p w14:paraId="246B5514">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第一个信封（商务及技术文件）评审结束后，招标人将按照第二章“投标人须知”第 5.1 款规定的时间和地点对通过投标文件第一个信封（商务及技术文件）评审的投标文件第二个信封（报价文件）进行开标。</w:t>
      </w:r>
    </w:p>
    <w:p w14:paraId="1D9B0A70">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3.4第二个信封初步评审</w:t>
      </w:r>
    </w:p>
    <w:p w14:paraId="748B3126">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3.4.1 评标委员会依据本章第 2.1.1 项、第 2.1.3 项规定的评审标准对投标文件第二个信封（报价文件）进行初步评审。有一项不符合评审标准的，评标委员会应否决其投标。</w:t>
      </w:r>
    </w:p>
    <w:p w14:paraId="08276626">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3.4.2 投标报价有算术错误的，评标委员会按以下原则对投标报价进行修正，修正的价格经投标人书面确认后具有约束力。投标人不接受修正价格的，评标委员会应否决其投标。</w:t>
      </w:r>
    </w:p>
    <w:p w14:paraId="1F33D15E">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（1）投标文件中的大写金额与小写金额不一致的，以大写金额为准；</w:t>
      </w:r>
    </w:p>
    <w:p w14:paraId="635DB685">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（2）总价金额与依据单价计算出的结果不一致的，以单价金额为准修正总价，但单价金额小数点有明显错误的除外；</w:t>
      </w:r>
    </w:p>
    <w:p w14:paraId="1A029EC0">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（3）当单价与数量相乘不等于合价时，以单价计算为准，如果单价有明显的小数点位置差错，应以标出的合价为准，同时对单价予以修正；</w:t>
      </w:r>
    </w:p>
    <w:p w14:paraId="6B0481B5">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（4）当各子目的合价累计不等于总价时，应以各子目合价累计数为准，修正总价。</w:t>
      </w:r>
    </w:p>
    <w:p w14:paraId="287B6556">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3.4.3 工程量清单中的投标报价有其他错误的，评标委员会按以下原则对投标报价进行修正，修正的价格经投标人书面确认后具有约束力。投标人不接受修正价格的，评标委员会应否决其投标。</w:t>
      </w:r>
    </w:p>
    <w:p w14:paraId="4220722E">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1）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14:paraId="519DBD9E">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在招标人给定的工程量清单中多报了某个工程子目的单价、合价或总额价，或所报单价、合价或总额价增加了报价范围，则从投标报价中扣除多报的工程子目报价或工程子目报价中增加了报价范围的部分报价。</w:t>
      </w:r>
    </w:p>
    <w:p w14:paraId="3EAE7E3B">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（3）当单价与数量的乘积与合价（金额）虽然一致，但投标人修改了该子目的工程数量，则其合价按招标人给定的工程数量乘以投标人所报单价予以修正。</w:t>
      </w:r>
    </w:p>
    <w:p w14:paraId="0D0148EF">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3.4.4 修正后的最终投标报价若超过最高投标限价（如有），评标委员会应否决其投标。</w:t>
      </w:r>
    </w:p>
    <w:p w14:paraId="6AA37F9E">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3.5 第二个信封详细评审</w:t>
      </w:r>
    </w:p>
    <w:p w14:paraId="62D564C3">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3.5.1评标委员会按本章第 2.2 款规定的量化因素和标准进行价格折算，计算出评标价，并编制价格比较一览表。</w:t>
      </w:r>
    </w:p>
    <w:p w14:paraId="281181B1">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3.5.2评标委员会发现投标人的报价明显低于其他投标报价，使得其投标报价可能低于其个别成本的，应要求该投标人作出书面说明并提供相应的证明材料。投标人不能合理说明或不能提供相应证明材料的，由评标委员会认定该投标人以低于成本报价竞标，并否决其投标。</w:t>
      </w:r>
    </w:p>
    <w:p w14:paraId="35E83648">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3.6 投标文件相关信息的核查</w:t>
      </w:r>
    </w:p>
    <w:p w14:paraId="6FDAF8AB">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3.6.1 在评标过程中，评标委员会应查询交通运输主管部门“公路建设市场信用信息管理系统”，对投标人的资质、业绩、主要人员资历和目前在岗情况、信用等级等信息进行核实。若投标文件载明的信息与交通运输主管部门“公路建设市场信用信息管理系统”发布的信息不符，使得投标人的资格条件不符合招标文件规定的，评标委员会应否决其投标。</w:t>
      </w:r>
    </w:p>
    <w:p w14:paraId="4CE7E05A">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3.6.2 评标委员会应对在评标过程中发现的投标人与投标人之间、投标人与招标人之间存在的串通投标的情形进行评审和认定。投标人存在串通投标、弄虚作假、行贿等违法行为的，评标委员会应否决其投标。</w:t>
      </w:r>
    </w:p>
    <w:p w14:paraId="29789F4B">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（1）有下列情形之一的，属于投标人相互串通投标：</w:t>
      </w:r>
    </w:p>
    <w:p w14:paraId="541A0922">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a.投标人之间协商投标报价等投标文件的实质性内容；</w:t>
      </w:r>
    </w:p>
    <w:p w14:paraId="6A9F3727">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b.投标人之间约定中标人；</w:t>
      </w:r>
    </w:p>
    <w:p w14:paraId="510BCC75">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c.投标人之间约定部分投标人放弃投标或中标；</w:t>
      </w:r>
    </w:p>
    <w:p w14:paraId="64C3A86A">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d.属于同一集团、协会、商会等组织成员的投标人按照该组织要求协同投标；</w:t>
      </w:r>
    </w:p>
    <w:p w14:paraId="75173C12">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e.投标人之间为谋取中标或排斥特定投标人而采取的其他联合行动。</w:t>
      </w:r>
    </w:p>
    <w:p w14:paraId="528EB37E">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（2）有下列情形之一的，视为投标人相互串通投标：</w:t>
      </w:r>
    </w:p>
    <w:p w14:paraId="1BF1E611">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a.不同投标人的投标文件由同一单位或个人编制；</w:t>
      </w:r>
    </w:p>
    <w:p w14:paraId="7CF5BD42">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b.不同投标人委托同一单位或个人办理投标事宜；</w:t>
      </w:r>
    </w:p>
    <w:p w14:paraId="6FBAC533">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c.不同投标人的投标文件载明的项目管理成员为同一人；</w:t>
      </w:r>
    </w:p>
    <w:p w14:paraId="1C98D1B3">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d.不同投标人的投标文件异常一致或投标报价呈规律性差异；</w:t>
      </w:r>
    </w:p>
    <w:p w14:paraId="209D7692">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e.不同投标人的投标文件相互混装；</w:t>
      </w:r>
    </w:p>
    <w:p w14:paraId="1545F887">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f.不同投标人的投标保证金从同一单位或个人的账户转出。</w:t>
      </w:r>
    </w:p>
    <w:p w14:paraId="0F1043CE">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（3）有下列情形之一的，属于招标人与投标人串通投标：</w:t>
      </w:r>
    </w:p>
    <w:p w14:paraId="5EB9431F">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a.招标人在开标前开启投标文件并将有关信息泄露给其他投标人;</w:t>
      </w:r>
    </w:p>
    <w:p w14:paraId="7779234A">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b.招标人直接或间接向投标人泄露标底、评标委员会成员等信息；</w:t>
      </w:r>
    </w:p>
    <w:p w14:paraId="6FD5EC5A">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c.招标人明示或暗示投标人压低或抬高投标报价；</w:t>
      </w:r>
    </w:p>
    <w:p w14:paraId="4D4F8735">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d.招标人授意投标人撤换、修改投标文件；</w:t>
      </w:r>
    </w:p>
    <w:p w14:paraId="0924F6FE">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e.招标人明示或暗示投标人为特定投标人中标提供方便；</w:t>
      </w:r>
    </w:p>
    <w:p w14:paraId="3DE6D2D9">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f.招标人与投标人为谋求特定投标人中标而采取的其他串通行为。</w:t>
      </w:r>
    </w:p>
    <w:p w14:paraId="3E751BCF">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（4）投标人有下列情形之一的，属于弄虚作假的行为：</w:t>
      </w:r>
    </w:p>
    <w:p w14:paraId="03F7466E">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a.使用通过受让或租借等方式获取的资格、资质证书投标；</w:t>
      </w:r>
    </w:p>
    <w:p w14:paraId="6516F0B7">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b.使用伪造、变造的许可证件；</w:t>
      </w:r>
    </w:p>
    <w:p w14:paraId="622EEA9A">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c.提供虚假的财务状况或业绩；</w:t>
      </w:r>
    </w:p>
    <w:p w14:paraId="1CBD6024">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d.提供虚假的项目负责人或主要技术人员简历、劳动关系证明；</w:t>
      </w:r>
    </w:p>
    <w:p w14:paraId="418FB7EF">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e.提供虚假的信用状况；</w:t>
      </w:r>
    </w:p>
    <w:p w14:paraId="391F5A46">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f.其他弄虚作假的行为。</w:t>
      </w:r>
    </w:p>
    <w:p w14:paraId="16980414">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3.7 投标文件的澄清和说明</w:t>
      </w:r>
    </w:p>
    <w:p w14:paraId="267E4130">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3.7.1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14:paraId="4E0559E6">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3.7.2 澄清和说明不得超出投标文件的范围或改变投标文件的实质性内容（算术性错误的修正除外）。投标人的书面澄清、说明属于投标文件的组成部分。</w:t>
      </w:r>
    </w:p>
    <w:p w14:paraId="69EF8F49">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3.7.3 评标委员会不得暗示或诱导投标人作出澄清、说明，对投标人提交的澄清、说明有疑问的，可以要求投标人进一步澄清或说明，直至满足评标委员会的要求。</w:t>
      </w:r>
    </w:p>
    <w:p w14:paraId="57A95F25">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3.7.4 凡超出招标文件规定的或给发包人带来未曾要求的利益的变化、偏差或其他因素在评标时不予考虑。</w:t>
      </w:r>
    </w:p>
    <w:p w14:paraId="41738665">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3.8 不得否决投标的情形</w:t>
      </w:r>
    </w:p>
    <w:p w14:paraId="4AD9D5D2">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投标文件存在第二章“投标人须知”第 1.12.3 项所列情形的，均视为细微偏差，评标委员会不得否决投标人的投标，应按照第二章“投标人须知”第 1.12.4 项规定的原则处理。</w:t>
      </w:r>
    </w:p>
    <w:p w14:paraId="1D00B9DE">
      <w:pPr>
        <w:shd w:val="clear" w:color="auto" w:fill="auto"/>
        <w:snapToGrid w:val="0"/>
        <w:spacing w:before="62" w:beforeLines="20" w:after="62" w:afterLines="20" w:line="360" w:lineRule="exact"/>
        <w:rPr>
          <w:rFonts w:hint="eastAsia" w:ascii="宋体" w:hAnsi="宋体" w:cs="宋体"/>
          <w:b/>
          <w:color w:val="000000"/>
          <w:sz w:val="24"/>
          <w:highlight w:val="none"/>
        </w:rPr>
      </w:pPr>
      <w:r>
        <w:rPr>
          <w:rFonts w:hint="eastAsia" w:ascii="宋体" w:hAnsi="宋体" w:cs="宋体"/>
          <w:b/>
          <w:color w:val="000000"/>
          <w:sz w:val="24"/>
          <w:highlight w:val="none"/>
        </w:rPr>
        <w:t>3.9 评标结果</w:t>
      </w:r>
    </w:p>
    <w:p w14:paraId="0B66D84E">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3.9.1除第二章“投标人须知”前附表授权直接确定中标人外，评标委员会按照评标价由低到高的顺序推荐中标候选人，并标明排序。</w:t>
      </w:r>
    </w:p>
    <w:p w14:paraId="4D29CD45">
      <w:pPr>
        <w:shd w:val="clear" w:color="auto" w:fill="auto"/>
        <w:snapToGrid w:val="0"/>
        <w:spacing w:line="440" w:lineRule="exact"/>
        <w:ind w:firstLine="420" w:firstLineChars="200"/>
        <w:rPr>
          <w:rFonts w:hint="eastAsia" w:ascii="宋体" w:hAnsi="宋体" w:cs="宋体"/>
          <w:bCs/>
          <w:color w:val="000000"/>
          <w:szCs w:val="21"/>
          <w:highlight w:val="none"/>
        </w:rPr>
      </w:pPr>
      <w:r>
        <w:rPr>
          <w:rFonts w:hint="eastAsia" w:ascii="宋体" w:hAnsi="宋体" w:cs="宋体"/>
          <w:bCs/>
          <w:color w:val="000000"/>
          <w:szCs w:val="21"/>
          <w:highlight w:val="none"/>
        </w:rPr>
        <w:t>3.9.2评标委员会完成评标后，应向招标人提交书面评标报告。</w:t>
      </w:r>
    </w:p>
    <w:p w14:paraId="01528D3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N2JjYjYxN2FiODVmN2E4MjA2ZDgwYmE1Mjc3ZjEifQ=="/>
  </w:docVars>
  <w:rsids>
    <w:rsidRoot w:val="5AEC09A8"/>
    <w:rsid w:val="2FF12C38"/>
    <w:rsid w:val="4F7D14CF"/>
    <w:rsid w:val="5AEC0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宋体" w:hAnsi="宋体" w:eastAsia="宋体" w:cs="Times New Roman"/>
    </w:rPr>
  </w:style>
  <w:style w:type="paragraph" w:styleId="3">
    <w:name w:val="Body Text Indent"/>
    <w:basedOn w:val="2"/>
    <w:next w:val="4"/>
    <w:qFormat/>
    <w:uiPriority w:val="0"/>
    <w:pPr>
      <w:spacing w:after="120"/>
      <w:ind w:left="200" w:leftChars="200"/>
    </w:pPr>
    <w:rPr>
      <w:rFonts w:ascii="宋体" w:hAnsi="宋体" w:eastAsia="宋体" w:cs="Times New Roman"/>
    </w:rPr>
  </w:style>
  <w:style w:type="paragraph" w:styleId="4">
    <w:name w:val="envelope return"/>
    <w:basedOn w:val="1"/>
    <w:qFormat/>
    <w:uiPriority w:val="0"/>
    <w:pPr>
      <w:snapToGrid w:val="0"/>
    </w:pPr>
    <w:rPr>
      <w:rFonts w:ascii="Arial" w:hAnsi="Arial"/>
    </w:rPr>
  </w:style>
  <w:style w:type="paragraph" w:styleId="5">
    <w:name w:val="Plain Text"/>
    <w:basedOn w:val="1"/>
    <w:qFormat/>
    <w:uiPriority w:val="0"/>
    <w:rPr>
      <w:rFonts w:ascii="宋体" w:hAnsi="Courier New" w:eastAsia="宋体" w:cs="Times New Roman"/>
      <w:szCs w:val="20"/>
    </w:rPr>
  </w:style>
  <w:style w:type="paragraph" w:styleId="6">
    <w:name w:val="Body Text First Indent 2"/>
    <w:basedOn w:val="3"/>
    <w:next w:val="2"/>
    <w:qFormat/>
    <w:uiPriority w:val="0"/>
    <w:pPr>
      <w:widowControl w:val="0"/>
      <w:tabs>
        <w:tab w:val="left" w:pos="1275"/>
      </w:tabs>
      <w:overflowPunct/>
      <w:autoSpaceDE/>
      <w:autoSpaceDN/>
      <w:adjustRightInd/>
      <w:spacing w:after="120" w:line="240" w:lineRule="auto"/>
      <w:ind w:left="420" w:leftChars="200" w:firstLine="420" w:firstLineChars="200"/>
      <w:textAlignment w:val="auto"/>
    </w:pPr>
    <w:rPr>
      <w:rFonts w:ascii="Times New Roman" w:hAnsi="Times New Roman" w:eastAsia="宋体" w:cs="Times New Roman"/>
      <w:spacing w:val="0"/>
      <w:sz w:val="21"/>
      <w:szCs w:val="24"/>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正文文本 (2)1"/>
    <w:basedOn w:val="1"/>
    <w:qFormat/>
    <w:uiPriority w:val="0"/>
    <w:pPr>
      <w:shd w:val="clear" w:color="auto" w:fill="FFFFFF"/>
      <w:spacing w:before="300" w:line="439" w:lineRule="exact"/>
      <w:jc w:val="distribute"/>
    </w:pPr>
    <w:rPr>
      <w:rFonts w:ascii="MingLiU" w:eastAsia="MingLiU"/>
      <w:spacing w:val="20"/>
      <w:kern w:val="0"/>
      <w:sz w:val="2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8863</Words>
  <Characters>9431</Characters>
  <Lines>0</Lines>
  <Paragraphs>0</Paragraphs>
  <TotalTime>0</TotalTime>
  <ScaleCrop>false</ScaleCrop>
  <LinksUpToDate>false</LinksUpToDate>
  <CharactersWithSpaces>9645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2024-11-20T06:30:00Z</dcterms:created>
  <dc:creator>明</dc:creator>
  <cp:lastModifiedBy>明</cp:lastModifiedBy>
  <dcterms:modified xsi:type="dcterms:W3CDTF">2025-12-12T00:48:15Z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35656925AD0F450AB108C261BCD1FB03_11</vt:lpwstr>
  </property>
  <property fmtid="{D5CDD505-2E9C-101B-9397-08002B2CF9AE}" pid="4" name="KSOTemplateDocerSaveRecord">
    <vt:lpwstr>eyJoZGlkIjoiYjYyN2JjYjYxN2FiODVmN2E4MjA2ZDgwYmE1Mjc3ZjEiLCJ1c2VySWQiOiI5ODk1MjIwODIifQ==</vt:lpwstr>
  </property>
</Properties>
</file>