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73403">
      <w:pPr>
        <w:pStyle w:val="2"/>
        <w:jc w:val="center"/>
        <w:rPr>
          <w:rFonts w:hint="eastAsia" w:ascii="宋体" w:hAnsi="宋体"/>
          <w:highlight w:val="none"/>
        </w:rPr>
      </w:pPr>
      <w:bookmarkStart w:id="0" w:name="_Toc7238"/>
      <w:r>
        <w:rPr>
          <w:rFonts w:hint="eastAsia" w:ascii="宋体" w:hAnsi="宋体"/>
          <w:highlight w:val="none"/>
        </w:rPr>
        <w:t>附录1 资格审查条件（资质最低要求）</w:t>
      </w:r>
      <w:bookmarkEnd w:id="0"/>
    </w:p>
    <w:tbl>
      <w:tblPr>
        <w:tblStyle w:val="5"/>
        <w:tblW w:w="9213"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3"/>
      </w:tblGrid>
      <w:tr w14:paraId="0C925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213" w:type="dxa"/>
            <w:noWrap w:val="0"/>
            <w:vAlign w:val="center"/>
          </w:tcPr>
          <w:p w14:paraId="771F51FC">
            <w:pPr>
              <w:spacing w:line="360" w:lineRule="exact"/>
              <w:jc w:val="center"/>
              <w:rPr>
                <w:highlight w:val="none"/>
              </w:rPr>
            </w:pPr>
            <w:r>
              <w:rPr>
                <w:b/>
                <w:sz w:val="21"/>
                <w:highlight w:val="none"/>
              </w:rPr>
              <w:t>监理企业资质等级要求</w:t>
            </w:r>
          </w:p>
        </w:tc>
      </w:tr>
      <w:tr w14:paraId="1AA44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trPr>
        <w:tc>
          <w:tcPr>
            <w:tcW w:w="9213" w:type="dxa"/>
            <w:noWrap w:val="0"/>
            <w:vAlign w:val="center"/>
          </w:tcPr>
          <w:p w14:paraId="5D6BEA81">
            <w:pPr>
              <w:spacing w:line="440" w:lineRule="exact"/>
              <w:rPr>
                <w:highlight w:val="none"/>
              </w:rPr>
            </w:pPr>
            <w:r>
              <w:rPr>
                <w:rFonts w:hint="eastAsia"/>
                <w:color w:val="auto"/>
                <w:sz w:val="21"/>
                <w:szCs w:val="21"/>
                <w:highlight w:val="none"/>
                <w:shd w:val="clear" w:color="auto" w:fill="FFFFFF"/>
              </w:rPr>
              <w:t>具有国家交通运输主管部门核发的在有效期内的公路工程</w:t>
            </w:r>
            <w:r>
              <w:rPr>
                <w:rFonts w:hint="eastAsia"/>
                <w:color w:val="auto"/>
                <w:sz w:val="21"/>
                <w:szCs w:val="21"/>
                <w:highlight w:val="none"/>
                <w:shd w:val="clear" w:color="auto" w:fill="FFFFFF"/>
                <w:lang w:val="en-US" w:eastAsia="zh-CN"/>
              </w:rPr>
              <w:t>乙</w:t>
            </w:r>
            <w:r>
              <w:rPr>
                <w:rFonts w:hint="eastAsia"/>
                <w:color w:val="auto"/>
                <w:sz w:val="21"/>
                <w:szCs w:val="21"/>
                <w:highlight w:val="none"/>
                <w:shd w:val="clear" w:color="auto" w:fill="FFFFFF"/>
              </w:rPr>
              <w:t>级监理企业资质。</w:t>
            </w:r>
          </w:p>
        </w:tc>
      </w:tr>
    </w:tbl>
    <w:p w14:paraId="36FD724A">
      <w:pPr>
        <w:spacing w:line="360" w:lineRule="exact"/>
        <w:ind w:firstLine="420" w:firstLineChars="200"/>
        <w:rPr>
          <w:sz w:val="21"/>
          <w:highlight w:val="none"/>
        </w:rPr>
      </w:pPr>
    </w:p>
    <w:p w14:paraId="61A09356">
      <w:pPr>
        <w:pStyle w:val="2"/>
        <w:jc w:val="center"/>
        <w:rPr>
          <w:rFonts w:hint="eastAsia" w:ascii="宋体" w:hAnsi="宋体"/>
          <w:highlight w:val="none"/>
        </w:rPr>
      </w:pPr>
      <w:bookmarkStart w:id="1" w:name="_Toc7260"/>
      <w:r>
        <w:rPr>
          <w:rFonts w:hint="eastAsia" w:ascii="宋体" w:hAnsi="宋体"/>
          <w:highlight w:val="none"/>
        </w:rPr>
        <w:t>附录2 资格审查条件（业绩最低要求）</w:t>
      </w:r>
      <w:bookmarkEnd w:id="1"/>
    </w:p>
    <w:tbl>
      <w:tblPr>
        <w:tblStyle w:val="5"/>
        <w:tblW w:w="94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8"/>
        <w:gridCol w:w="767"/>
        <w:gridCol w:w="1205"/>
        <w:gridCol w:w="6856"/>
      </w:tblGrid>
      <w:tr w14:paraId="39D62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trPr>
        <w:tc>
          <w:tcPr>
            <w:tcW w:w="2560" w:type="dxa"/>
            <w:gridSpan w:val="3"/>
            <w:noWrap w:val="0"/>
            <w:vAlign w:val="top"/>
          </w:tcPr>
          <w:p w14:paraId="42FB2F0E">
            <w:pPr>
              <w:jc w:val="center"/>
              <w:rPr>
                <w:rFonts w:hint="eastAsia"/>
                <w:szCs w:val="21"/>
                <w:highlight w:val="none"/>
              </w:rPr>
            </w:pPr>
            <w:r>
              <w:rPr>
                <w:b/>
                <w:szCs w:val="21"/>
                <w:highlight w:val="none"/>
              </w:rPr>
              <w:t>项</w:t>
            </w:r>
            <w:r>
              <w:rPr>
                <w:b/>
                <w:szCs w:val="21"/>
                <w:highlight w:val="none"/>
              </w:rPr>
              <w:tab/>
            </w:r>
            <w:r>
              <w:rPr>
                <w:b/>
                <w:szCs w:val="21"/>
                <w:highlight w:val="none"/>
              </w:rPr>
              <w:t>目</w:t>
            </w:r>
          </w:p>
        </w:tc>
        <w:tc>
          <w:tcPr>
            <w:tcW w:w="6856" w:type="dxa"/>
            <w:noWrap w:val="0"/>
            <w:vAlign w:val="center"/>
          </w:tcPr>
          <w:p w14:paraId="4EF1DE71">
            <w:pPr>
              <w:jc w:val="center"/>
              <w:rPr>
                <w:rFonts w:hint="eastAsia"/>
                <w:szCs w:val="21"/>
                <w:highlight w:val="none"/>
              </w:rPr>
            </w:pPr>
            <w:r>
              <w:rPr>
                <w:b/>
                <w:szCs w:val="21"/>
                <w:highlight w:val="none"/>
              </w:rPr>
              <w:t>要</w:t>
            </w:r>
            <w:r>
              <w:rPr>
                <w:b/>
                <w:szCs w:val="21"/>
                <w:highlight w:val="none"/>
              </w:rPr>
              <w:tab/>
            </w:r>
            <w:r>
              <w:rPr>
                <w:b/>
                <w:szCs w:val="21"/>
                <w:highlight w:val="none"/>
              </w:rPr>
              <w:t>求</w:t>
            </w:r>
          </w:p>
        </w:tc>
      </w:tr>
      <w:tr w14:paraId="48151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trPr>
        <w:tc>
          <w:tcPr>
            <w:tcW w:w="588" w:type="dxa"/>
            <w:tcBorders>
              <w:right w:val="single" w:color="auto" w:sz="4" w:space="0"/>
            </w:tcBorders>
            <w:noWrap w:val="0"/>
            <w:vAlign w:val="center"/>
          </w:tcPr>
          <w:p w14:paraId="59E93D09">
            <w:pPr>
              <w:jc w:val="center"/>
              <w:rPr>
                <w:rFonts w:hint="eastAsia"/>
                <w:szCs w:val="21"/>
                <w:highlight w:val="none"/>
                <w:shd w:val="clear" w:color="auto" w:fill="FFFFFF"/>
              </w:rPr>
            </w:pPr>
            <w:r>
              <w:rPr>
                <w:rFonts w:hint="eastAsia"/>
                <w:szCs w:val="21"/>
                <w:highlight w:val="none"/>
                <w:shd w:val="clear" w:color="auto" w:fill="FFFFFF"/>
              </w:rPr>
              <w:t>业绩</w:t>
            </w:r>
          </w:p>
        </w:tc>
        <w:tc>
          <w:tcPr>
            <w:tcW w:w="767" w:type="dxa"/>
            <w:tcBorders>
              <w:right w:val="single" w:color="auto" w:sz="4" w:space="0"/>
            </w:tcBorders>
            <w:noWrap w:val="0"/>
            <w:vAlign w:val="center"/>
          </w:tcPr>
          <w:p w14:paraId="47CC14A1">
            <w:pPr>
              <w:jc w:val="center"/>
              <w:rPr>
                <w:rFonts w:hint="eastAsia"/>
                <w:szCs w:val="21"/>
                <w:highlight w:val="none"/>
                <w:shd w:val="clear" w:color="auto" w:fill="FFFFFF"/>
              </w:rPr>
            </w:pPr>
            <w:r>
              <w:rPr>
                <w:rFonts w:hint="eastAsia"/>
                <w:szCs w:val="21"/>
                <w:highlight w:val="none"/>
                <w:shd w:val="clear" w:color="auto" w:fill="FFFFFF"/>
              </w:rPr>
              <w:t>公路工程业绩</w:t>
            </w:r>
          </w:p>
        </w:tc>
        <w:tc>
          <w:tcPr>
            <w:tcW w:w="1205" w:type="dxa"/>
            <w:tcBorders>
              <w:bottom w:val="single" w:color="auto" w:sz="4" w:space="0"/>
            </w:tcBorders>
            <w:noWrap w:val="0"/>
            <w:vAlign w:val="center"/>
          </w:tcPr>
          <w:p w14:paraId="2E40BDF8">
            <w:pPr>
              <w:jc w:val="center"/>
              <w:rPr>
                <w:szCs w:val="21"/>
                <w:highlight w:val="none"/>
                <w:shd w:val="clear" w:color="auto" w:fill="FFFFFF"/>
              </w:rPr>
            </w:pPr>
            <w:r>
              <w:rPr>
                <w:rFonts w:hint="eastAsia"/>
                <w:szCs w:val="21"/>
                <w:highlight w:val="none"/>
                <w:shd w:val="clear" w:color="auto" w:fill="FFFFFF"/>
              </w:rPr>
              <w:t>公路业绩</w:t>
            </w:r>
          </w:p>
        </w:tc>
        <w:tc>
          <w:tcPr>
            <w:tcW w:w="6856" w:type="dxa"/>
            <w:noWrap w:val="0"/>
            <w:vAlign w:val="center"/>
          </w:tcPr>
          <w:p w14:paraId="5F7B422C">
            <w:pPr>
              <w:spacing w:line="440" w:lineRule="exact"/>
              <w:rPr>
                <w:sz w:val="21"/>
                <w:szCs w:val="21"/>
                <w:highlight w:val="none"/>
                <w:shd w:val="clear" w:color="auto" w:fill="FFFFFF"/>
              </w:rPr>
            </w:pPr>
            <w:r>
              <w:rPr>
                <w:sz w:val="21"/>
                <w:szCs w:val="21"/>
                <w:highlight w:val="none"/>
                <w:shd w:val="clear" w:color="auto" w:fill="FFFFFF"/>
              </w:rPr>
              <w:t>近五年，成功完成过以下业绩</w:t>
            </w:r>
          </w:p>
          <w:p w14:paraId="3C823AAF">
            <w:pPr>
              <w:spacing w:line="440" w:lineRule="exact"/>
              <w:rPr>
                <w:rFonts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lang w:val="en-US" w:eastAsia="zh-CN"/>
              </w:rPr>
              <w:t xml:space="preserve">1、累计完成过6.8km 的类似工程路基施工监理任务，其中至少1个标段里程1.7km。 </w:t>
            </w:r>
          </w:p>
          <w:p w14:paraId="271CDC97">
            <w:pPr>
              <w:spacing w:line="440" w:lineRule="exact"/>
              <w:rPr>
                <w:sz w:val="21"/>
                <w:szCs w:val="21"/>
                <w:highlight w:val="none"/>
                <w:shd w:val="clear" w:color="auto" w:fill="FFFFFF"/>
              </w:rPr>
            </w:pPr>
            <w:r>
              <w:rPr>
                <w:rFonts w:hint="eastAsia" w:ascii="宋体" w:hAnsi="宋体" w:eastAsia="宋体" w:cs="宋体"/>
                <w:sz w:val="21"/>
                <w:szCs w:val="21"/>
                <w:highlight w:val="none"/>
                <w:shd w:val="clear" w:color="auto" w:fill="FFFFFF"/>
                <w:lang w:val="en-US" w:eastAsia="zh-CN"/>
              </w:rPr>
              <w:t>2、累计完成过6.8km 的类似工程沥青混凝土路面施工监理任务，其中至少1个标段里程1.7km。</w:t>
            </w:r>
          </w:p>
          <w:p w14:paraId="0E19A4DF">
            <w:pPr>
              <w:pStyle w:val="4"/>
              <w:rPr>
                <w:rFonts w:hint="eastAsia"/>
                <w:sz w:val="21"/>
                <w:szCs w:val="21"/>
                <w:highlight w:val="none"/>
                <w:shd w:val="clear" w:color="auto" w:fill="FFFFFF"/>
              </w:rPr>
            </w:pPr>
          </w:p>
        </w:tc>
      </w:tr>
    </w:tbl>
    <w:p w14:paraId="7DF9C4A0">
      <w:pPr>
        <w:spacing w:line="460" w:lineRule="exact"/>
        <w:rPr>
          <w:sz w:val="21"/>
          <w:highlight w:val="none"/>
        </w:rPr>
      </w:pPr>
      <w:r>
        <w:rPr>
          <w:sz w:val="21"/>
          <w:highlight w:val="none"/>
        </w:rPr>
        <w:t>1、同一工程项目同时满足2项或多项业绩要求条件的，可分别计；</w:t>
      </w:r>
    </w:p>
    <w:p w14:paraId="21C14A32">
      <w:pPr>
        <w:spacing w:line="460" w:lineRule="exact"/>
        <w:rPr>
          <w:sz w:val="21"/>
          <w:highlight w:val="none"/>
        </w:rPr>
      </w:pPr>
      <w:r>
        <w:rPr>
          <w:sz w:val="21"/>
          <w:highlight w:val="none"/>
        </w:rPr>
        <w:t>2、“完成过”指工程完工并交工验收 (时间以载明的交工验收或无交工验收一次性竣工验收时间为准)，经评定合格，本文提到的交工验收是指交工验收或一次性竣工验收。</w:t>
      </w:r>
    </w:p>
    <w:p w14:paraId="3326DBFD">
      <w:pPr>
        <w:spacing w:line="460" w:lineRule="exact"/>
        <w:rPr>
          <w:sz w:val="21"/>
          <w:highlight w:val="none"/>
        </w:rPr>
      </w:pPr>
      <w:r>
        <w:rPr>
          <w:sz w:val="21"/>
          <w:highlight w:val="none"/>
        </w:rPr>
        <w:t>3、本表要求业绩指由投标人承接并完成的业绩,投标人上级单位 (如总公司、集团公司等)的监理业绩和投标人具备独立法人资格的下属机构的监理业绩均不予认定。若投标人提供的业绩证明</w:t>
      </w:r>
      <w:r>
        <w:rPr>
          <w:rFonts w:hint="eastAsia"/>
          <w:sz w:val="21"/>
          <w:highlight w:val="none"/>
        </w:rPr>
        <w:t>为联合体业绩，则按交通运输部“全国公路建设市场信用信息管理系统”业绩信息的网页截图</w:t>
      </w:r>
      <w:r>
        <w:rPr>
          <w:sz w:val="21"/>
          <w:highlight w:val="none"/>
        </w:rPr>
        <w:t>) 体</w:t>
      </w:r>
      <w:r>
        <w:rPr>
          <w:rFonts w:hint="eastAsia"/>
          <w:sz w:val="21"/>
          <w:highlight w:val="none"/>
        </w:rPr>
        <w:t>现其完成的工作量和专业认定，无法界定其完成的工作量和专业，此业绩不予认定。</w:t>
      </w:r>
    </w:p>
    <w:p w14:paraId="09870BE3">
      <w:pPr>
        <w:spacing w:line="460" w:lineRule="exact"/>
        <w:rPr>
          <w:sz w:val="21"/>
          <w:highlight w:val="none"/>
        </w:rPr>
      </w:pPr>
      <w:r>
        <w:rPr>
          <w:rFonts w:hint="eastAsia"/>
          <w:sz w:val="21"/>
          <w:highlight w:val="none"/>
        </w:rPr>
        <w:t>4</w:t>
      </w:r>
      <w:r>
        <w:rPr>
          <w:sz w:val="21"/>
          <w:highlight w:val="none"/>
        </w:rPr>
        <w:t>、近五年是</w:t>
      </w:r>
      <w:r>
        <w:rPr>
          <w:rFonts w:ascii="宋体" w:hAnsi="宋体" w:eastAsia="宋体" w:cs="宋体"/>
          <w:sz w:val="21"/>
          <w:highlight w:val="none"/>
        </w:rPr>
        <w:t>指：</w:t>
      </w:r>
      <w:r>
        <w:rPr>
          <w:rFonts w:hint="eastAsia" w:ascii="宋体" w:hAnsi="宋体" w:eastAsia="宋体" w:cs="宋体"/>
          <w:sz w:val="21"/>
          <w:highlight w:val="none"/>
        </w:rPr>
        <w:t>201</w:t>
      </w:r>
      <w:r>
        <w:rPr>
          <w:rFonts w:hint="eastAsia" w:ascii="宋体" w:hAnsi="宋体" w:eastAsia="宋体" w:cs="宋体"/>
          <w:sz w:val="21"/>
          <w:highlight w:val="none"/>
          <w:lang w:val="en-US" w:eastAsia="zh-CN"/>
        </w:rPr>
        <w:t>9</w:t>
      </w:r>
      <w:r>
        <w:rPr>
          <w:rFonts w:ascii="宋体" w:hAnsi="宋体" w:eastAsia="宋体" w:cs="宋体"/>
          <w:sz w:val="21"/>
          <w:highlight w:val="none"/>
        </w:rPr>
        <w:t>年</w:t>
      </w:r>
      <w:r>
        <w:rPr>
          <w:rFonts w:hint="eastAsia" w:ascii="宋体" w:hAnsi="宋体" w:eastAsia="宋体" w:cs="宋体"/>
          <w:sz w:val="21"/>
          <w:highlight w:val="none"/>
          <w:lang w:val="en-US" w:eastAsia="zh-CN"/>
        </w:rPr>
        <w:t>1</w:t>
      </w:r>
      <w:r>
        <w:rPr>
          <w:rFonts w:ascii="宋体" w:hAnsi="宋体" w:eastAsia="宋体" w:cs="宋体"/>
          <w:sz w:val="21"/>
          <w:highlight w:val="none"/>
        </w:rPr>
        <w:t>月</w:t>
      </w:r>
      <w:r>
        <w:rPr>
          <w:rFonts w:hint="eastAsia" w:ascii="宋体" w:hAnsi="宋体" w:eastAsia="宋体" w:cs="宋体"/>
          <w:sz w:val="21"/>
          <w:highlight w:val="none"/>
        </w:rPr>
        <w:t>1</w:t>
      </w:r>
      <w:r>
        <w:rPr>
          <w:rFonts w:ascii="宋体" w:hAnsi="宋体" w:eastAsia="宋体" w:cs="宋体"/>
          <w:sz w:val="21"/>
          <w:highlight w:val="none"/>
        </w:rPr>
        <w:t>日至投</w:t>
      </w:r>
      <w:r>
        <w:rPr>
          <w:sz w:val="21"/>
          <w:highlight w:val="none"/>
        </w:rPr>
        <w:t>标文件递交截止日 (以交工验收或无交工验收一次性竣工验收的时间为准)。</w:t>
      </w:r>
    </w:p>
    <w:p w14:paraId="0C080351">
      <w:pPr>
        <w:spacing w:line="460" w:lineRule="exact"/>
        <w:rPr>
          <w:rFonts w:hint="eastAsia"/>
          <w:sz w:val="21"/>
          <w:highlight w:val="none"/>
        </w:rPr>
      </w:pPr>
      <w:r>
        <w:rPr>
          <w:rFonts w:hint="eastAsia"/>
          <w:sz w:val="21"/>
          <w:highlight w:val="none"/>
        </w:rPr>
        <w:t>5</w:t>
      </w:r>
      <w:r>
        <w:rPr>
          <w:sz w:val="21"/>
          <w:highlight w:val="none"/>
        </w:rPr>
        <w:t>、类似工程是指：</w:t>
      </w:r>
      <w:r>
        <w:rPr>
          <w:rFonts w:hint="eastAsia"/>
          <w:sz w:val="21"/>
          <w:highlight w:val="none"/>
        </w:rPr>
        <w:t>第二章</w:t>
      </w:r>
      <w:r>
        <w:rPr>
          <w:sz w:val="21"/>
          <w:highlight w:val="none"/>
        </w:rPr>
        <w:t>投标人须知需要补充的其他内容中的</w:t>
      </w:r>
      <w:r>
        <w:rPr>
          <w:rFonts w:hint="eastAsia"/>
          <w:sz w:val="21"/>
          <w:highlight w:val="none"/>
        </w:rPr>
        <w:t>10.5款</w:t>
      </w:r>
      <w:r>
        <w:rPr>
          <w:sz w:val="21"/>
          <w:highlight w:val="none"/>
        </w:rPr>
        <w:t>。</w:t>
      </w:r>
    </w:p>
    <w:p w14:paraId="50BACBDA">
      <w:pPr>
        <w:spacing w:line="360" w:lineRule="exact"/>
        <w:ind w:firstLine="420" w:firstLineChars="200"/>
        <w:rPr>
          <w:rFonts w:hint="eastAsia"/>
          <w:sz w:val="21"/>
          <w:highlight w:val="none"/>
        </w:rPr>
      </w:pPr>
    </w:p>
    <w:p w14:paraId="3FFDE530">
      <w:pPr>
        <w:pStyle w:val="4"/>
        <w:rPr>
          <w:rFonts w:hint="eastAsia"/>
          <w:highlight w:val="none"/>
          <w:lang w:bidi="zh-CN"/>
        </w:rPr>
      </w:pPr>
    </w:p>
    <w:p w14:paraId="12651186">
      <w:pPr>
        <w:pStyle w:val="4"/>
        <w:rPr>
          <w:rFonts w:hint="eastAsia"/>
          <w:highlight w:val="none"/>
          <w:lang w:bidi="zh-CN"/>
        </w:rPr>
      </w:pPr>
    </w:p>
    <w:p w14:paraId="37EB5954">
      <w:pPr>
        <w:pStyle w:val="4"/>
        <w:rPr>
          <w:rFonts w:hint="eastAsia"/>
          <w:highlight w:val="none"/>
          <w:lang w:bidi="zh-CN"/>
        </w:rPr>
      </w:pPr>
    </w:p>
    <w:p w14:paraId="0989EC04">
      <w:pPr>
        <w:pStyle w:val="4"/>
        <w:rPr>
          <w:rFonts w:hint="eastAsia"/>
          <w:highlight w:val="none"/>
          <w:lang w:bidi="zh-CN"/>
        </w:rPr>
      </w:pPr>
    </w:p>
    <w:p w14:paraId="076DBC90">
      <w:pPr>
        <w:pStyle w:val="4"/>
        <w:rPr>
          <w:rFonts w:hint="eastAsia"/>
          <w:highlight w:val="none"/>
          <w:lang w:bidi="zh-CN"/>
        </w:rPr>
      </w:pPr>
    </w:p>
    <w:p w14:paraId="7514D697">
      <w:pPr>
        <w:pStyle w:val="4"/>
        <w:rPr>
          <w:rFonts w:hint="eastAsia"/>
          <w:highlight w:val="none"/>
          <w:lang w:bidi="zh-CN"/>
        </w:rPr>
      </w:pPr>
    </w:p>
    <w:p w14:paraId="7D57FA1D">
      <w:pPr>
        <w:pStyle w:val="2"/>
        <w:jc w:val="center"/>
        <w:rPr>
          <w:rFonts w:hint="eastAsia" w:ascii="宋体" w:hAnsi="宋体"/>
          <w:highlight w:val="none"/>
        </w:rPr>
      </w:pPr>
      <w:bookmarkStart w:id="2" w:name="_Toc8429"/>
      <w:r>
        <w:rPr>
          <w:rFonts w:hint="eastAsia" w:ascii="宋体" w:hAnsi="宋体"/>
          <w:highlight w:val="none"/>
        </w:rPr>
        <w:t>附录3 资格审查条件（信誉最低要求）</w:t>
      </w:r>
      <w:bookmarkEnd w:id="2"/>
    </w:p>
    <w:tbl>
      <w:tblPr>
        <w:tblStyle w:val="5"/>
        <w:tblW w:w="91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86"/>
      </w:tblGrid>
      <w:tr w14:paraId="229E2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186" w:type="dxa"/>
            <w:noWrap w:val="0"/>
            <w:vAlign w:val="center"/>
          </w:tcPr>
          <w:p w14:paraId="2DBDA5FE">
            <w:pPr>
              <w:spacing w:line="360" w:lineRule="exact"/>
              <w:jc w:val="center"/>
              <w:rPr>
                <w:b/>
                <w:sz w:val="21"/>
                <w:szCs w:val="21"/>
                <w:highlight w:val="none"/>
              </w:rPr>
            </w:pPr>
            <w:r>
              <w:rPr>
                <w:rFonts w:hint="eastAsia"/>
                <w:b/>
                <w:sz w:val="21"/>
                <w:szCs w:val="21"/>
                <w:highlight w:val="none"/>
              </w:rPr>
              <w:t>信  誉  要 求</w:t>
            </w:r>
          </w:p>
        </w:tc>
      </w:tr>
      <w:tr w14:paraId="5C35B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186" w:type="dxa"/>
            <w:noWrap w:val="0"/>
            <w:vAlign w:val="top"/>
          </w:tcPr>
          <w:p w14:paraId="348994D3">
            <w:pPr>
              <w:spacing w:line="360" w:lineRule="exact"/>
              <w:rPr>
                <w:b/>
                <w:sz w:val="21"/>
                <w:szCs w:val="21"/>
                <w:highlight w:val="none"/>
              </w:rPr>
            </w:pPr>
            <w:r>
              <w:rPr>
                <w:rFonts w:hint="eastAsia"/>
                <w:sz w:val="21"/>
                <w:highlight w:val="none"/>
              </w:rPr>
              <w:t>最新年度（含无广东省最新年度信用等级而上一年度有广东省信用等级的）在广东省公</w:t>
            </w:r>
            <w:r>
              <w:rPr>
                <w:sz w:val="21"/>
                <w:highlight w:val="none"/>
              </w:rPr>
              <w:t>路工程从业单位信用评价（监理单位）中，信用等级未被评为D级；初次进入广东省的投标人，在最新全国公路从业单位（监理单位）信用评价结果中未被评为D级</w:t>
            </w:r>
          </w:p>
        </w:tc>
      </w:tr>
    </w:tbl>
    <w:p w14:paraId="41446848">
      <w:pPr>
        <w:spacing w:line="360" w:lineRule="exact"/>
        <w:rPr>
          <w:sz w:val="21"/>
          <w:highlight w:val="none"/>
        </w:rPr>
      </w:pPr>
      <w:r>
        <w:rPr>
          <w:sz w:val="21"/>
          <w:highlight w:val="none"/>
        </w:rPr>
        <w:t>注：</w:t>
      </w:r>
      <w:r>
        <w:rPr>
          <w:rFonts w:hint="eastAsia"/>
          <w:sz w:val="21"/>
          <w:highlight w:val="none"/>
          <w:lang w:val="en-US"/>
        </w:rPr>
        <w:t>1、</w:t>
      </w:r>
      <w:r>
        <w:rPr>
          <w:sz w:val="21"/>
          <w:highlight w:val="none"/>
        </w:rPr>
        <w:t>信用等级的确定原则遵循投标人须知前附表第10.2款的规定。</w:t>
      </w:r>
    </w:p>
    <w:p w14:paraId="7AFB0FFD">
      <w:pPr>
        <w:pStyle w:val="3"/>
        <w:rPr>
          <w:sz w:val="20"/>
          <w:highlight w:val="none"/>
        </w:rPr>
      </w:pPr>
    </w:p>
    <w:p w14:paraId="56599D4B">
      <w:pPr>
        <w:pStyle w:val="3"/>
        <w:rPr>
          <w:sz w:val="20"/>
          <w:highlight w:val="none"/>
        </w:rPr>
      </w:pPr>
    </w:p>
    <w:p w14:paraId="42CD2DA6">
      <w:pPr>
        <w:pStyle w:val="3"/>
        <w:rPr>
          <w:sz w:val="20"/>
          <w:highlight w:val="none"/>
        </w:rPr>
      </w:pPr>
    </w:p>
    <w:p w14:paraId="1408C266">
      <w:pPr>
        <w:rPr>
          <w:highlight w:val="none"/>
        </w:rPr>
      </w:pPr>
    </w:p>
    <w:p w14:paraId="4C1AF7D4">
      <w:pPr>
        <w:pStyle w:val="3"/>
        <w:spacing w:before="12"/>
        <w:rPr>
          <w:rFonts w:ascii="Microsoft JhengHei"/>
          <w:b/>
          <w:sz w:val="10"/>
          <w:highlight w:val="none"/>
        </w:rPr>
      </w:pPr>
    </w:p>
    <w:p w14:paraId="5A9E8DAE">
      <w:pPr>
        <w:pStyle w:val="2"/>
        <w:jc w:val="center"/>
        <w:rPr>
          <w:rFonts w:hint="eastAsia" w:ascii="宋体" w:hAnsi="宋体"/>
          <w:highlight w:val="none"/>
        </w:rPr>
      </w:pPr>
      <w:bookmarkStart w:id="3" w:name="_Toc17650"/>
      <w:r>
        <w:rPr>
          <w:rFonts w:hint="eastAsia" w:ascii="宋体" w:hAnsi="宋体"/>
          <w:highlight w:val="none"/>
        </w:rPr>
        <w:t>附录4</w:t>
      </w:r>
      <w:r>
        <w:rPr>
          <w:rFonts w:hint="eastAsia" w:ascii="宋体" w:hAnsi="宋体"/>
          <w:highlight w:val="none"/>
        </w:rPr>
        <w:tab/>
      </w:r>
      <w:r>
        <w:rPr>
          <w:rFonts w:hint="eastAsia" w:ascii="宋体" w:hAnsi="宋体"/>
          <w:highlight w:val="none"/>
          <w:lang w:val="en-US"/>
        </w:rPr>
        <w:t xml:space="preserve"> </w:t>
      </w:r>
      <w:r>
        <w:rPr>
          <w:rFonts w:hint="eastAsia" w:ascii="宋体" w:hAnsi="宋体"/>
          <w:highlight w:val="none"/>
        </w:rPr>
        <w:t>资格审查条件（总监理工程师最低要求）</w:t>
      </w:r>
      <w:bookmarkEnd w:id="3"/>
    </w:p>
    <w:tbl>
      <w:tblPr>
        <w:tblStyle w:val="5"/>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96"/>
        <w:gridCol w:w="880"/>
        <w:gridCol w:w="4420"/>
        <w:gridCol w:w="2680"/>
      </w:tblGrid>
      <w:tr w14:paraId="11241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96" w:type="dxa"/>
            <w:noWrap w:val="0"/>
            <w:vAlign w:val="center"/>
          </w:tcPr>
          <w:p w14:paraId="1D082770">
            <w:pPr>
              <w:spacing w:line="360" w:lineRule="exact"/>
              <w:jc w:val="center"/>
              <w:rPr>
                <w:highlight w:val="none"/>
              </w:rPr>
            </w:pPr>
            <w:r>
              <w:rPr>
                <w:highlight w:val="none"/>
              </w:rPr>
              <w:t>人员</w:t>
            </w:r>
          </w:p>
        </w:tc>
        <w:tc>
          <w:tcPr>
            <w:tcW w:w="880" w:type="dxa"/>
            <w:noWrap w:val="0"/>
            <w:vAlign w:val="center"/>
          </w:tcPr>
          <w:p w14:paraId="29584956">
            <w:pPr>
              <w:spacing w:line="360" w:lineRule="exact"/>
              <w:jc w:val="center"/>
              <w:rPr>
                <w:rFonts w:hint="eastAsia"/>
                <w:highlight w:val="none"/>
              </w:rPr>
            </w:pPr>
            <w:r>
              <w:rPr>
                <w:rFonts w:hint="eastAsia"/>
                <w:highlight w:val="none"/>
              </w:rPr>
              <w:t>数量</w:t>
            </w:r>
          </w:p>
        </w:tc>
        <w:tc>
          <w:tcPr>
            <w:tcW w:w="4420" w:type="dxa"/>
            <w:noWrap w:val="0"/>
            <w:vAlign w:val="center"/>
          </w:tcPr>
          <w:p w14:paraId="0CC5D6BA">
            <w:pPr>
              <w:spacing w:line="360" w:lineRule="exact"/>
              <w:jc w:val="center"/>
              <w:rPr>
                <w:highlight w:val="none"/>
              </w:rPr>
            </w:pPr>
            <w:r>
              <w:rPr>
                <w:highlight w:val="none"/>
              </w:rPr>
              <w:t>资格要求</w:t>
            </w:r>
          </w:p>
        </w:tc>
        <w:tc>
          <w:tcPr>
            <w:tcW w:w="2680" w:type="dxa"/>
            <w:noWrap w:val="0"/>
            <w:vAlign w:val="center"/>
          </w:tcPr>
          <w:p w14:paraId="7F42C8D6">
            <w:pPr>
              <w:spacing w:line="360" w:lineRule="exact"/>
              <w:jc w:val="center"/>
              <w:rPr>
                <w:highlight w:val="none"/>
              </w:rPr>
            </w:pPr>
            <w:r>
              <w:rPr>
                <w:highlight w:val="none"/>
              </w:rPr>
              <w:t>在岗要求</w:t>
            </w:r>
          </w:p>
        </w:tc>
      </w:tr>
      <w:tr w14:paraId="3236E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1496" w:type="dxa"/>
            <w:noWrap w:val="0"/>
            <w:vAlign w:val="center"/>
          </w:tcPr>
          <w:p w14:paraId="4DB86BF1">
            <w:pPr>
              <w:spacing w:line="360" w:lineRule="exact"/>
              <w:jc w:val="center"/>
              <w:rPr>
                <w:highlight w:val="none"/>
              </w:rPr>
            </w:pPr>
            <w:r>
              <w:rPr>
                <w:highlight w:val="none"/>
              </w:rPr>
              <w:t>总监理工程师</w:t>
            </w:r>
          </w:p>
        </w:tc>
        <w:tc>
          <w:tcPr>
            <w:tcW w:w="880" w:type="dxa"/>
            <w:noWrap w:val="0"/>
            <w:vAlign w:val="center"/>
          </w:tcPr>
          <w:p w14:paraId="282E1087">
            <w:pPr>
              <w:spacing w:line="360" w:lineRule="exact"/>
              <w:jc w:val="center"/>
              <w:rPr>
                <w:rFonts w:hint="eastAsia"/>
                <w:highlight w:val="none"/>
              </w:rPr>
            </w:pPr>
            <w:r>
              <w:rPr>
                <w:rFonts w:hint="eastAsia"/>
                <w:highlight w:val="none"/>
              </w:rPr>
              <w:t>1</w:t>
            </w:r>
          </w:p>
        </w:tc>
        <w:tc>
          <w:tcPr>
            <w:tcW w:w="4420" w:type="dxa"/>
            <w:noWrap w:val="0"/>
            <w:vAlign w:val="top"/>
          </w:tcPr>
          <w:p w14:paraId="3CA1A86B">
            <w:pPr>
              <w:spacing w:line="360" w:lineRule="exact"/>
              <w:rPr>
                <w:rFonts w:hint="eastAsia"/>
                <w:highlight w:val="none"/>
              </w:rPr>
            </w:pPr>
            <w:r>
              <w:rPr>
                <w:rFonts w:hint="eastAsia"/>
                <w:highlight w:val="none"/>
              </w:rPr>
              <w:t>路桥相关专业高级工程师，至少</w:t>
            </w:r>
            <w:r>
              <w:rPr>
                <w:highlight w:val="none"/>
              </w:rPr>
              <w:t>担任过</w:t>
            </w:r>
            <w:r>
              <w:rPr>
                <w:rFonts w:hint="eastAsia"/>
                <w:highlight w:val="none"/>
                <w:u w:val="single"/>
              </w:rPr>
              <w:t xml:space="preserve"> 1 </w:t>
            </w:r>
            <w:r>
              <w:rPr>
                <w:highlight w:val="none"/>
              </w:rPr>
              <w:t xml:space="preserve">   </w:t>
            </w:r>
            <w:r>
              <w:rPr>
                <w:rFonts w:hint="eastAsia"/>
                <w:highlight w:val="none"/>
              </w:rPr>
              <w:t>项类似工程土建工程施</w:t>
            </w:r>
            <w:r>
              <w:rPr>
                <w:highlight w:val="none"/>
              </w:rPr>
              <w:t>工监理的监理负责人，持有交通运输部与人力资源社会保障部用印的交通运输工程专业监理工程师职业资格证书（或电子证书）或具有交通运输部核发的公路工程监理工程师资格证书，且已在投标人处进行注册（或从业登记）。</w:t>
            </w:r>
          </w:p>
        </w:tc>
        <w:tc>
          <w:tcPr>
            <w:tcW w:w="2680" w:type="dxa"/>
            <w:noWrap w:val="0"/>
            <w:vAlign w:val="top"/>
          </w:tcPr>
          <w:p w14:paraId="2FFC66D5">
            <w:pPr>
              <w:spacing w:line="360" w:lineRule="exact"/>
              <w:rPr>
                <w:highlight w:val="none"/>
              </w:rPr>
            </w:pPr>
            <w:r>
              <w:rPr>
                <w:rFonts w:hint="eastAsia"/>
                <w:highlight w:val="none"/>
              </w:rPr>
              <w:t>无在岗项目（指目</w:t>
            </w:r>
            <w:r>
              <w:rPr>
                <w:highlight w:val="none"/>
              </w:rPr>
              <w:t>前未在其他项目上任职，或虽在其他项目上任职但本项目中标后能够从</w:t>
            </w:r>
            <w:bookmarkStart w:id="4" w:name="_GoBack"/>
            <w:bookmarkEnd w:id="4"/>
            <w:r>
              <w:rPr>
                <w:highlight w:val="none"/>
              </w:rPr>
              <w:t>该项目撤离）</w:t>
            </w:r>
          </w:p>
        </w:tc>
      </w:tr>
    </w:tbl>
    <w:p w14:paraId="63DC2049">
      <w:pPr>
        <w:spacing w:line="360" w:lineRule="exact"/>
        <w:rPr>
          <w:rFonts w:hint="eastAsia"/>
          <w:highlight w:val="none"/>
        </w:rPr>
      </w:pPr>
      <w:r>
        <w:rPr>
          <w:highlight w:val="none"/>
        </w:rPr>
        <w:t>注：</w:t>
      </w:r>
      <w:r>
        <w:rPr>
          <w:rFonts w:hint="eastAsia"/>
          <w:highlight w:val="none"/>
        </w:rPr>
        <w:t xml:space="preserve"> </w:t>
      </w:r>
      <w:r>
        <w:rPr>
          <w:highlight w:val="none"/>
        </w:rPr>
        <w:t>“担任过类似工程监理负责人”监理负责人可为总监理工程师或副总监理工程师或驻地监理工程师。</w:t>
      </w:r>
    </w:p>
    <w:p w14:paraId="2E7BD33F">
      <w:pPr>
        <w:rPr>
          <w:rFonts w:hint="eastAsia"/>
          <w:highlight w:val="none"/>
        </w:rPr>
      </w:pPr>
    </w:p>
    <w:p w14:paraId="3AA96C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icrosoft JhengHei">
    <w:panose1 w:val="020B0604030504040204"/>
    <w:charset w:val="88"/>
    <w:family w:val="swiss"/>
    <w:pitch w:val="default"/>
    <w:sig w:usb0="00000087" w:usb1="28AF40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N2JjYjYxN2FiODVmN2E4MjA2ZDgwYmE1Mjc3ZjEifQ=="/>
  </w:docVars>
  <w:rsids>
    <w:rsidRoot w:val="5F45019E"/>
    <w:rsid w:val="5F450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sz w:val="24"/>
      <w:szCs w:val="24"/>
    </w:rPr>
  </w:style>
  <w:style w:type="paragraph" w:styleId="4">
    <w:name w:val="Plain Text"/>
    <w:basedOn w:val="1"/>
    <w:qFormat/>
    <w:uiPriority w:val="0"/>
    <w:pPr>
      <w:widowControl w:val="0"/>
      <w:jc w:val="both"/>
    </w:pPr>
    <w:rPr>
      <w:rFonts w:ascii="宋体" w:hAnsi="Courier New" w:eastAsia="宋体" w:cs="Times New Roman"/>
      <w:kern w:val="2"/>
      <w:sz w:val="21"/>
      <w:lang w:val="zh-CN"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2024-11-20T06:36:00Z</dcterms:created>
  <dc:creator>明</dc:creator>
  <cp:lastModifiedBy>明</cp:lastModifiedBy>
  <dcterms:modified xsi:type="dcterms:W3CDTF">2024-11-20T06:40:53Z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A6308A7A2F5E46D7883187E51E950BD6_11</vt:lpwstr>
  </property>
</Properties>
</file>