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CEB04">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jc w:val="center"/>
        <w:textAlignment w:val="baseline"/>
        <w:outlineLvl w:val="9"/>
        <w:rPr>
          <w:rFonts w:hint="eastAsia" w:ascii="宋体" w:hAnsi="宋体"/>
          <w:b/>
          <w:bCs/>
          <w:color w:val="auto"/>
          <w:sz w:val="32"/>
          <w:szCs w:val="32"/>
          <w:highlight w:val="none"/>
        </w:rPr>
      </w:pPr>
      <w:bookmarkStart w:id="5" w:name="_GoBack"/>
      <w:bookmarkEnd w:id="5"/>
      <w:bookmarkStart w:id="0" w:name="_Toc423529240"/>
      <w:bookmarkStart w:id="1" w:name="_Toc10111"/>
      <w:bookmarkStart w:id="2" w:name="_Toc390934589"/>
      <w:bookmarkStart w:id="3" w:name="_Toc472665686"/>
      <w:r>
        <w:rPr>
          <w:rFonts w:hint="eastAsia" w:ascii="宋体" w:hAnsi="宋体"/>
          <w:b/>
          <w:bCs/>
          <w:color w:val="auto"/>
          <w:sz w:val="32"/>
          <w:szCs w:val="32"/>
          <w:highlight w:val="none"/>
          <w:lang w:val="en-US" w:eastAsia="zh-CN"/>
        </w:rPr>
        <w:t>第一节 评标办法（总则）</w:t>
      </w:r>
    </w:p>
    <w:p w14:paraId="0AB58F50">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jc w:val="center"/>
        <w:textAlignment w:val="baseline"/>
        <w:outlineLvl w:val="9"/>
        <w:rPr>
          <w:rFonts w:hint="eastAsia" w:ascii="宋体" w:hAnsi="宋体"/>
          <w:b/>
          <w:bCs/>
          <w:color w:val="auto"/>
          <w:sz w:val="32"/>
          <w:szCs w:val="32"/>
          <w:highlight w:val="none"/>
          <w:lang w:val="en-US" w:eastAsia="zh-CN"/>
        </w:rPr>
      </w:pPr>
      <w:r>
        <w:rPr>
          <w:rFonts w:hint="eastAsia" w:ascii="宋体" w:hAnsi="宋体"/>
          <w:b/>
          <w:bCs/>
          <w:color w:val="auto"/>
          <w:sz w:val="32"/>
          <w:szCs w:val="32"/>
          <w:highlight w:val="none"/>
        </w:rPr>
        <w:t>评标办法前附表</w:t>
      </w: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7"/>
        <w:gridCol w:w="1264"/>
        <w:gridCol w:w="7051"/>
      </w:tblGrid>
      <w:tr w14:paraId="15F68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021" w:type="dxa"/>
            <w:gridSpan w:val="2"/>
            <w:noWrap w:val="0"/>
            <w:vAlign w:val="center"/>
          </w:tcPr>
          <w:p w14:paraId="44B80FEF">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条款号</w:t>
            </w:r>
          </w:p>
        </w:tc>
        <w:tc>
          <w:tcPr>
            <w:tcW w:w="7051" w:type="dxa"/>
            <w:noWrap w:val="0"/>
            <w:vAlign w:val="center"/>
          </w:tcPr>
          <w:p w14:paraId="0BDC5672">
            <w:pPr>
              <w:keepNext w:val="0"/>
              <w:keepLines w:val="0"/>
              <w:pageBreakBefore w:val="0"/>
              <w:widowControl w:val="0"/>
              <w:shd w:val="clear" w:color="auto" w:fill="auto"/>
              <w:kinsoku/>
              <w:wordWrap/>
              <w:overflowPunct/>
              <w:topLinePunct w:val="0"/>
              <w:autoSpaceDE/>
              <w:autoSpaceDN/>
              <w:bidi w:val="0"/>
              <w:adjustRightInd w:val="0"/>
              <w:snapToGrid w:val="0"/>
              <w:spacing w:line="240" w:lineRule="auto"/>
              <w:ind w:left="0" w:leftChars="0" w:right="0" w:firstLine="0" w:firstLineChars="0"/>
              <w:jc w:val="center"/>
              <w:textAlignment w:val="baseline"/>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评审因素与标准评审标准</w:t>
            </w:r>
          </w:p>
        </w:tc>
      </w:tr>
      <w:tr w14:paraId="124D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57" w:type="dxa"/>
            <w:noWrap w:val="0"/>
            <w:vAlign w:val="center"/>
          </w:tcPr>
          <w:p w14:paraId="0CE8C1D7">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w:t>
            </w:r>
          </w:p>
          <w:p w14:paraId="7CBCAF72">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w:t>
            </w:r>
          </w:p>
        </w:tc>
        <w:tc>
          <w:tcPr>
            <w:tcW w:w="1264" w:type="dxa"/>
            <w:noWrap w:val="0"/>
            <w:vAlign w:val="center"/>
          </w:tcPr>
          <w:p w14:paraId="4C44987E">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contextualSpacing/>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形式评审与响应性评审标准</w:t>
            </w:r>
          </w:p>
        </w:tc>
        <w:tc>
          <w:tcPr>
            <w:tcW w:w="7051" w:type="dxa"/>
            <w:noWrap w:val="0"/>
            <w:vAlign w:val="center"/>
          </w:tcPr>
          <w:p w14:paraId="1FFD209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第一个信封 (商务及技术文件) 评审标准：</w:t>
            </w:r>
          </w:p>
          <w:p w14:paraId="37A4151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投标文件按照招标文件规定的格式、内容填写，字迹清晰可辨：</w:t>
            </w:r>
          </w:p>
          <w:p w14:paraId="518D388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a.投标函按招标文件规定填报了项目名称、标段号(如有)、补遗书编号(如有)、工期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设计服务期限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、工程质量要求及安全目标；</w:t>
            </w:r>
          </w:p>
          <w:p w14:paraId="43CC2F6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b.投标函附录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指施工部分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的所有数据均符合招标文件规定；</w:t>
            </w:r>
          </w:p>
          <w:p w14:paraId="075107D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c.投标文件组成齐全完整，内容均按规定填写。</w:t>
            </w:r>
          </w:p>
          <w:p w14:paraId="242A317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投标文件上法定代表人或其委托代理人的签字、投标人的单位章盖章齐 全，符合招标文件规定。</w:t>
            </w:r>
          </w:p>
          <w:p w14:paraId="59D9069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投标人按照招标文件的规定提供了投标保证金：</w:t>
            </w:r>
          </w:p>
          <w:p w14:paraId="65507737">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a.投标保证金金额符合招标文件规定的金额，且投标保证金有效期不少于投标有效期；</w:t>
            </w:r>
          </w:p>
          <w:p w14:paraId="7D6C07E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b.若投标保证金采用现金或支票形式提交，投标人应在投标人须知 3.4.1 款规定的时间，将投标保证金由投标人的基本账户转入招标人指定账户；</w:t>
            </w:r>
          </w:p>
          <w:p w14:paraId="3003FD7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c.若投标保证金采用银行保函或投标人须知前附表 3.4.1 项规定的其他形式提交，应满足招标文件要求。</w:t>
            </w:r>
          </w:p>
          <w:p w14:paraId="3FA3637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投标人法定代表人授权委托代理人签署投标文件的，需提交授权委托 书，且授权人和被授权人均在授权委托书上签名，未使用印章、签名章或其他电子制版签名代替。</w:t>
            </w:r>
          </w:p>
          <w:p w14:paraId="64CD654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投标人法定代表人亲自签署投标文件的，提供了法定代表人身份证明，且法定代表人在法定代表人身份证明上签名，未使用印章、签名章或其他电子制版签名代替。</w:t>
            </w:r>
          </w:p>
          <w:p w14:paraId="6DB4BE7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投标人以联合体形式投标</w:t>
            </w:r>
            <w:r>
              <w:rPr>
                <w:rFonts w:hint="eastAsia" w:ascii="宋体" w:hAnsi="宋体" w:cs="宋体"/>
                <w:color w:val="auto"/>
                <w:sz w:val="21"/>
                <w:szCs w:val="21"/>
                <w:highlight w:val="none"/>
                <w:lang w:val="en-US" w:eastAsia="zh-CN"/>
              </w:rPr>
              <w:t>时，联合体满足招标文件的要求：</w:t>
            </w:r>
          </w:p>
          <w:p w14:paraId="631E080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a.未进行资格预审的，投标人按照招标文件提供的格式签订了联合体协议书，明确各方承担连带责任，并明确了联合体牵头人；</w:t>
            </w:r>
          </w:p>
          <w:p w14:paraId="5DD1464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b.已进行资格预审的，投标人提供了资格预审申请文件中所附的联合体协议书复印件，且通过资格预审后的联合体无成员增减或更换的情况。</w:t>
            </w:r>
          </w:p>
          <w:p w14:paraId="285F067C">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如投标人不具备拟分包工程所需的某项工程相应资质或</w:t>
            </w:r>
            <w:r>
              <w:rPr>
                <w:rFonts w:hint="eastAsia" w:ascii="宋体" w:hAnsi="宋体" w:eastAsia="宋体" w:cs="宋体"/>
                <w:color w:val="auto"/>
                <w:kern w:val="2"/>
                <w:sz w:val="21"/>
                <w:szCs w:val="21"/>
                <w:highlight w:val="none"/>
              </w:rPr>
              <w:t>投标人如有分包计划，符合招标文件第二章“投标人须知”第1.11款规定，且按招标文件第六章“投标文件格式”的要求填写了“拟分包项目情况表”。</w:t>
            </w:r>
          </w:p>
          <w:p w14:paraId="01EAEE5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 同一投标人未提交两个以上不同的投标文件，但招标文件要求提交备选投标的除外。</w:t>
            </w:r>
          </w:p>
          <w:p w14:paraId="0779DFFC">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 投标文件中未出现有关投标报价的内容。</w:t>
            </w:r>
          </w:p>
          <w:p w14:paraId="27D5A65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投标文件载明的招标项目完成期限未超过招标文件规定的时限。</w:t>
            </w:r>
          </w:p>
          <w:p w14:paraId="4AFC7BE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 投标文件对招标文件的实质性要求和条件作出响应。</w:t>
            </w:r>
          </w:p>
          <w:p w14:paraId="065FAFB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权利义务符合招标文件规定：</w:t>
            </w:r>
          </w:p>
          <w:p w14:paraId="517AC8A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a.投标人应接受招标文件规定的风险划分原则，未提出新的风险划分办法；</w:t>
            </w:r>
          </w:p>
          <w:p w14:paraId="6268CFA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b.投标人未增加发包人的责任范围，或减少投标人义务； </w:t>
            </w:r>
          </w:p>
          <w:p w14:paraId="54BADC4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c.投标人未提出不同的工程验收、计量、支付办法；</w:t>
            </w:r>
          </w:p>
          <w:p w14:paraId="078C873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d.投标人对合同纠纷、事故处理办法未提出异议；</w:t>
            </w:r>
          </w:p>
          <w:p w14:paraId="50DDF2F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e.投标人在投标活动中无欺诈行为；</w:t>
            </w:r>
          </w:p>
          <w:p w14:paraId="618B4FC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f.投标人未对合同条款有重要保留。</w:t>
            </w:r>
          </w:p>
          <w:p w14:paraId="6C1E139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投标文件正、副本份数符合招标文件第二章“投标人须知 第 3.7.4 项规定。</w:t>
            </w:r>
          </w:p>
          <w:p w14:paraId="3815D45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 投标文件未附有招标人不能接受的条件。</w:t>
            </w:r>
          </w:p>
          <w:p w14:paraId="1792D64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第二个信封 (报价文件) 评审标准：</w:t>
            </w:r>
          </w:p>
          <w:p w14:paraId="7AB5CB4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投标文件按照招标文件规定的格式、内容填写，字迹清晰可辩：</w:t>
            </w:r>
          </w:p>
          <w:p w14:paraId="344D0D6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a.投标函按招标文件规定填报了项目名称、标段号(如有)、补遗书编号(如有)、投标总报价(包括大写金额和小写金额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投标下浮率</w:t>
            </w:r>
            <w:r>
              <w:rPr>
                <w:rFonts w:hint="eastAsia" w:ascii="宋体" w:hAnsi="宋体" w:eastAsia="宋体" w:cs="宋体"/>
                <w:color w:val="auto"/>
                <w:sz w:val="21"/>
                <w:szCs w:val="21"/>
                <w:highlight w:val="none"/>
              </w:rPr>
              <w:t>)；</w:t>
            </w:r>
          </w:p>
          <w:p w14:paraId="52626F7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b.已标价工程量清单说明文字与招标文件规定一致，未进行实质性修改和删减；</w:t>
            </w:r>
          </w:p>
          <w:p w14:paraId="1ACACEF3">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c.投标文件组成齐全完整，内容均按规定填写。</w:t>
            </w:r>
          </w:p>
          <w:p w14:paraId="69F1C8D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投标文件上法定代表人或其委托代理人的签字、投标人的单位章盖章齐全，符合招标文件规定。</w:t>
            </w:r>
          </w:p>
          <w:p w14:paraId="2336A28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投标总报价或调价函中的报价未超过招标文件设定的最高投标限价(如有)及最高评标限价 (如有) 。</w:t>
            </w:r>
          </w:p>
          <w:p w14:paraId="2C01625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投标总报价或调价函中报价的大写金额能够确定具体数值。</w:t>
            </w:r>
          </w:p>
          <w:p w14:paraId="1AB8443B">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同一投标人未提交两个以上不同的投标报价，但招标文件要求提交备选投标的除外。</w:t>
            </w:r>
          </w:p>
          <w:p w14:paraId="253576B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highlight w:val="none"/>
              </w:rPr>
            </w:pPr>
            <w:r>
              <w:rPr>
                <w:rFonts w:hint="eastAsia" w:ascii="宋体" w:hAnsi="宋体" w:eastAsia="宋体" w:cs="宋体"/>
                <w:color w:val="auto"/>
                <w:sz w:val="21"/>
                <w:szCs w:val="21"/>
                <w:highlight w:val="none"/>
              </w:rPr>
              <w:t>(6) 投标文件正、副本份数符合招标文件第二章“投标人须知”第 3.7.4 项规定。</w:t>
            </w:r>
          </w:p>
        </w:tc>
      </w:tr>
      <w:tr w14:paraId="293FE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57" w:type="dxa"/>
            <w:noWrap w:val="0"/>
            <w:vAlign w:val="center"/>
          </w:tcPr>
          <w:p w14:paraId="23EE244A">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w:t>
            </w:r>
          </w:p>
        </w:tc>
        <w:tc>
          <w:tcPr>
            <w:tcW w:w="1264" w:type="dxa"/>
            <w:noWrap w:val="0"/>
            <w:vAlign w:val="center"/>
          </w:tcPr>
          <w:p w14:paraId="2D513E77">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105" w:leftChars="50" w:right="0" w:firstLine="0" w:firstLineChars="0"/>
              <w:contextualSpacing/>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资格评审标准</w:t>
            </w:r>
          </w:p>
        </w:tc>
        <w:tc>
          <w:tcPr>
            <w:tcW w:w="7051" w:type="dxa"/>
            <w:noWrap w:val="0"/>
            <w:vAlign w:val="center"/>
          </w:tcPr>
          <w:p w14:paraId="0DCE32D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（1）投标人具备有效的营业执照、资质证书、安全生产许可证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施工单位提供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和基本账户开户许可证（如企业所在地已取消企业银行账户许可而无法提供开户许可证的，则需附上开户银行出具的“基本存款账户信息”或“人民银行账户管理系统查询的基本账户信息截图”）。</w:t>
            </w:r>
          </w:p>
          <w:p w14:paraId="10F40FF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（2）投标人的资质等级符合招标文件规定。</w:t>
            </w:r>
          </w:p>
          <w:p w14:paraId="75D5A42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（3）投标人的财务状况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指施工单位</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符合招标文件规定。</w:t>
            </w:r>
          </w:p>
          <w:p w14:paraId="3DB3D23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（4）投标人的类似项目业绩符合招标文件规定。</w:t>
            </w:r>
          </w:p>
          <w:p w14:paraId="53B5099C">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（5）投标人的信誉符合招标文件规定。</w:t>
            </w:r>
          </w:p>
          <w:p w14:paraId="3DD9B4C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（6）投标人的</w:t>
            </w:r>
            <w:r>
              <w:rPr>
                <w:rFonts w:hint="eastAsia" w:ascii="宋体" w:hAnsi="宋体" w:eastAsia="宋体" w:cs="宋体"/>
                <w:color w:val="auto"/>
                <w:sz w:val="21"/>
                <w:szCs w:val="21"/>
                <w:highlight w:val="none"/>
                <w:lang w:val="en-US" w:eastAsia="zh-CN"/>
              </w:rPr>
              <w:t>设计负责人、</w:t>
            </w:r>
            <w:r>
              <w:rPr>
                <w:rFonts w:hint="eastAsia" w:ascii="宋体" w:hAnsi="宋体" w:eastAsia="宋体" w:cs="宋体"/>
                <w:color w:val="auto"/>
                <w:sz w:val="21"/>
                <w:szCs w:val="21"/>
                <w:highlight w:val="none"/>
              </w:rPr>
              <w:t>项目经理和项目总工资格、在岗情况符合招标文件规定。</w:t>
            </w:r>
          </w:p>
          <w:p w14:paraId="67D0376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（7）投标人的其他要求符合招标文件规定。</w:t>
            </w:r>
          </w:p>
          <w:p w14:paraId="12CF0B5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（8）投标人不存在第二章“投标人须知”第 1.4.3 项或第 1.4.4 项规定的任何一种情形。</w:t>
            </w:r>
          </w:p>
          <w:p w14:paraId="7791ED4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（9）投标人符合第二章“投标人须知”第 1.4.5 项规定。</w:t>
            </w:r>
          </w:p>
          <w:p w14:paraId="59FE68E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）以联合体形式参与投标的，联合体各方均未再以自己名义单独或参加其他联合体在同一标段中投标；独立参与投标的，投标人未同时参加联合体在同一标段中投标。</w:t>
            </w:r>
          </w:p>
        </w:tc>
      </w:tr>
      <w:tr w14:paraId="0CACB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57" w:type="dxa"/>
            <w:noWrap w:val="0"/>
            <w:vAlign w:val="center"/>
          </w:tcPr>
          <w:p w14:paraId="79605142">
            <w:pPr>
              <w:keepNext w:val="0"/>
              <w:keepLines w:val="0"/>
              <w:pageBreakBefore w:val="0"/>
              <w:widowControl w:val="0"/>
              <w:shd w:val="clear" w:color="auto" w:fill="auto"/>
              <w:kinsoku/>
              <w:wordWrap w:val="0"/>
              <w:overflowPunct/>
              <w:topLinePunct/>
              <w:autoSpaceDE/>
              <w:autoSpaceDN/>
              <w:bidi w:val="0"/>
              <w:adjustRightInd/>
              <w:snapToGrid/>
              <w:spacing w:line="44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4"/>
                <w:highlight w:val="none"/>
              </w:rPr>
              <w:t>2.2.1</w:t>
            </w:r>
          </w:p>
        </w:tc>
        <w:tc>
          <w:tcPr>
            <w:tcW w:w="1264" w:type="dxa"/>
            <w:noWrap w:val="0"/>
            <w:vAlign w:val="center"/>
          </w:tcPr>
          <w:p w14:paraId="05B0426C">
            <w:pPr>
              <w:keepNext w:val="0"/>
              <w:keepLines w:val="0"/>
              <w:pageBreakBefore w:val="0"/>
              <w:widowControl w:val="0"/>
              <w:shd w:val="clear" w:color="auto" w:fill="auto"/>
              <w:kinsoku/>
              <w:overflowPunct/>
              <w:autoSpaceDE/>
              <w:autoSpaceDN/>
              <w:bidi w:val="0"/>
              <w:adjustRightInd/>
              <w:snapToGrid/>
              <w:spacing w:line="440" w:lineRule="exact"/>
              <w:jc w:val="center"/>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设计部分</w:t>
            </w:r>
          </w:p>
          <w:p w14:paraId="42AD6C68">
            <w:pPr>
              <w:keepNext w:val="0"/>
              <w:keepLines w:val="0"/>
              <w:pageBreakBefore w:val="0"/>
              <w:widowControl w:val="0"/>
              <w:shd w:val="clear" w:color="auto" w:fill="auto"/>
              <w:kinsoku/>
              <w:overflowPunct/>
              <w:autoSpaceDE/>
              <w:autoSpaceDN/>
              <w:bidi w:val="0"/>
              <w:adjustRightInd/>
              <w:snapToGrid/>
              <w:spacing w:line="440" w:lineRule="exact"/>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分值构成</w:t>
            </w:r>
          </w:p>
          <w:p w14:paraId="61FF13D3">
            <w:pPr>
              <w:keepNext w:val="0"/>
              <w:keepLines w:val="0"/>
              <w:pageBreakBefore w:val="0"/>
              <w:widowControl w:val="0"/>
              <w:shd w:val="clear" w:color="auto" w:fill="auto"/>
              <w:kinsoku/>
              <w:wordWrap w:val="0"/>
              <w:overflowPunct/>
              <w:topLinePunct/>
              <w:autoSpaceDE/>
              <w:autoSpaceDN/>
              <w:bidi w:val="0"/>
              <w:adjustRightInd/>
              <w:snapToGrid/>
              <w:spacing w:line="44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（总分100分）</w:t>
            </w:r>
          </w:p>
        </w:tc>
        <w:tc>
          <w:tcPr>
            <w:tcW w:w="7051" w:type="dxa"/>
            <w:noWrap w:val="0"/>
            <w:vAlign w:val="center"/>
          </w:tcPr>
          <w:p w14:paraId="045E80B2">
            <w:pPr>
              <w:keepNext w:val="0"/>
              <w:keepLines w:val="0"/>
              <w:pageBreakBefore w:val="0"/>
              <w:widowControl w:val="0"/>
              <w:shd w:val="clear" w:color="auto" w:fill="auto"/>
              <w:kinsoku/>
              <w:overflowPunct/>
              <w:autoSpaceDE/>
              <w:autoSpaceDN/>
              <w:bidi w:val="0"/>
              <w:snapToGrid/>
              <w:spacing w:line="440" w:lineRule="exact"/>
              <w:rPr>
                <w:rFonts w:hint="eastAsia" w:ascii="宋体" w:hAnsi="宋体" w:eastAsia="宋体" w:cs="宋体"/>
                <w:color w:val="auto"/>
                <w:highlight w:val="none"/>
              </w:rPr>
            </w:pPr>
            <w:r>
              <w:rPr>
                <w:rFonts w:hint="eastAsia" w:ascii="宋体" w:hAnsi="宋体" w:eastAsia="宋体" w:cs="宋体"/>
                <w:b/>
                <w:bCs/>
                <w:color w:val="auto"/>
                <w:kern w:val="2"/>
                <w:sz w:val="21"/>
                <w:szCs w:val="21"/>
                <w:highlight w:val="none"/>
              </w:rPr>
              <w:t>第一个信封（商务及技术文件）评分分值构成：</w:t>
            </w:r>
            <w:r>
              <w:rPr>
                <w:rFonts w:hint="eastAsia" w:ascii="宋体" w:hAnsi="宋体" w:eastAsia="宋体" w:cs="宋体"/>
                <w:color w:val="auto"/>
                <w:szCs w:val="21"/>
                <w:highlight w:val="none"/>
              </w:rPr>
              <w:t xml:space="preserve">           </w:t>
            </w:r>
          </w:p>
          <w:p w14:paraId="4AD0CA4A">
            <w:pPr>
              <w:keepNext w:val="0"/>
              <w:keepLines w:val="0"/>
              <w:pageBreakBefore w:val="0"/>
              <w:widowControl w:val="0"/>
              <w:shd w:val="clear" w:color="auto" w:fill="auto"/>
              <w:kinsoku/>
              <w:overflowPunct/>
              <w:autoSpaceDE/>
              <w:autoSpaceDN/>
              <w:bidi w:val="0"/>
              <w:adjustRightInd/>
              <w:snapToGrid/>
              <w:spacing w:line="440" w:lineRule="exac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技术建议书：</w:t>
            </w:r>
            <w:r>
              <w:rPr>
                <w:rFonts w:hint="eastAsia" w:ascii="宋体" w:hAnsi="宋体" w:eastAsia="宋体" w:cs="宋体"/>
                <w:color w:val="auto"/>
                <w:kern w:val="2"/>
                <w:sz w:val="21"/>
                <w:szCs w:val="21"/>
                <w:highlight w:val="none"/>
                <w:u w:val="single"/>
              </w:rPr>
              <w:t xml:space="preserve">   35   </w:t>
            </w:r>
            <w:r>
              <w:rPr>
                <w:rFonts w:hint="eastAsia" w:ascii="宋体" w:hAnsi="宋体" w:eastAsia="宋体" w:cs="宋体"/>
                <w:color w:val="auto"/>
                <w:kern w:val="2"/>
                <w:sz w:val="21"/>
                <w:szCs w:val="21"/>
                <w:highlight w:val="none"/>
              </w:rPr>
              <w:t xml:space="preserve">分       </w:t>
            </w:r>
          </w:p>
          <w:p w14:paraId="354F676F">
            <w:pPr>
              <w:keepNext w:val="0"/>
              <w:keepLines w:val="0"/>
              <w:pageBreakBefore w:val="0"/>
              <w:widowControl w:val="0"/>
              <w:shd w:val="clear" w:color="auto" w:fill="auto"/>
              <w:kinsoku/>
              <w:overflowPunct/>
              <w:autoSpaceDE/>
              <w:autoSpaceDN/>
              <w:bidi w:val="0"/>
              <w:adjustRightInd/>
              <w:snapToGrid/>
              <w:spacing w:line="440" w:lineRule="exac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主要人员：</w:t>
            </w:r>
            <w:r>
              <w:rPr>
                <w:rFonts w:hint="eastAsia" w:ascii="宋体" w:hAnsi="宋体" w:eastAsia="宋体" w:cs="宋体"/>
                <w:color w:val="auto"/>
                <w:kern w:val="2"/>
                <w:sz w:val="21"/>
                <w:szCs w:val="21"/>
                <w:highlight w:val="none"/>
                <w:u w:val="single"/>
              </w:rPr>
              <w:t xml:space="preserve">  20   </w:t>
            </w:r>
            <w:r>
              <w:rPr>
                <w:rFonts w:hint="eastAsia" w:ascii="宋体" w:hAnsi="宋体" w:eastAsia="宋体" w:cs="宋体"/>
                <w:color w:val="auto"/>
                <w:kern w:val="2"/>
                <w:sz w:val="21"/>
                <w:szCs w:val="21"/>
                <w:highlight w:val="none"/>
              </w:rPr>
              <w:t>分</w:t>
            </w:r>
          </w:p>
          <w:p w14:paraId="2EF303B0">
            <w:pPr>
              <w:keepNext w:val="0"/>
              <w:keepLines w:val="0"/>
              <w:pageBreakBefore w:val="0"/>
              <w:widowControl w:val="0"/>
              <w:shd w:val="clear" w:color="auto" w:fill="auto"/>
              <w:kinsoku/>
              <w:overflowPunct/>
              <w:autoSpaceDE/>
              <w:autoSpaceDN/>
              <w:bidi w:val="0"/>
              <w:adjustRightInd/>
              <w:snapToGrid/>
              <w:spacing w:line="440" w:lineRule="exac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技术能力：</w:t>
            </w:r>
            <w:r>
              <w:rPr>
                <w:rFonts w:hint="eastAsia" w:ascii="宋体" w:hAnsi="宋体" w:eastAsia="宋体" w:cs="宋体"/>
                <w:color w:val="auto"/>
                <w:kern w:val="2"/>
                <w:sz w:val="21"/>
                <w:szCs w:val="21"/>
                <w:highlight w:val="none"/>
                <w:u w:val="single"/>
              </w:rPr>
              <w:t xml:space="preserve">   0   </w:t>
            </w:r>
            <w:r>
              <w:rPr>
                <w:rFonts w:hint="eastAsia" w:ascii="宋体" w:hAnsi="宋体" w:eastAsia="宋体" w:cs="宋体"/>
                <w:color w:val="auto"/>
                <w:kern w:val="2"/>
                <w:sz w:val="21"/>
                <w:szCs w:val="21"/>
                <w:highlight w:val="none"/>
              </w:rPr>
              <w:t xml:space="preserve">分         </w:t>
            </w:r>
          </w:p>
          <w:p w14:paraId="17715241">
            <w:pPr>
              <w:keepNext w:val="0"/>
              <w:keepLines w:val="0"/>
              <w:pageBreakBefore w:val="0"/>
              <w:widowControl w:val="0"/>
              <w:shd w:val="clear" w:color="auto" w:fill="auto"/>
              <w:kinsoku/>
              <w:overflowPunct/>
              <w:autoSpaceDE/>
              <w:autoSpaceDN/>
              <w:bidi w:val="0"/>
              <w:adjustRightInd/>
              <w:snapToGrid/>
              <w:spacing w:line="440" w:lineRule="exac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业绩：</w:t>
            </w:r>
            <w:r>
              <w:rPr>
                <w:rFonts w:hint="eastAsia" w:ascii="宋体" w:hAnsi="宋体" w:eastAsia="宋体" w:cs="宋体"/>
                <w:color w:val="auto"/>
                <w:kern w:val="2"/>
                <w:sz w:val="21"/>
                <w:szCs w:val="21"/>
                <w:highlight w:val="none"/>
                <w:u w:val="single"/>
              </w:rPr>
              <w:t xml:space="preserve">   25   </w:t>
            </w:r>
            <w:r>
              <w:rPr>
                <w:rFonts w:hint="eastAsia" w:ascii="宋体" w:hAnsi="宋体" w:eastAsia="宋体" w:cs="宋体"/>
                <w:color w:val="auto"/>
                <w:kern w:val="2"/>
                <w:sz w:val="21"/>
                <w:szCs w:val="21"/>
                <w:highlight w:val="none"/>
              </w:rPr>
              <w:t xml:space="preserve">分             </w:t>
            </w:r>
          </w:p>
          <w:p w14:paraId="4E081C1C">
            <w:pPr>
              <w:keepNext w:val="0"/>
              <w:keepLines w:val="0"/>
              <w:pageBreakBefore w:val="0"/>
              <w:widowControl w:val="0"/>
              <w:shd w:val="clear" w:color="auto" w:fill="auto"/>
              <w:kinsoku/>
              <w:overflowPunct/>
              <w:autoSpaceDE/>
              <w:autoSpaceDN/>
              <w:bidi w:val="0"/>
              <w:adjustRightInd/>
              <w:snapToGrid/>
              <w:spacing w:line="440" w:lineRule="exac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履约信誉：</w:t>
            </w:r>
            <w:r>
              <w:rPr>
                <w:rFonts w:hint="eastAsia" w:ascii="宋体" w:hAnsi="宋体" w:eastAsia="宋体" w:cs="宋体"/>
                <w:color w:val="auto"/>
                <w:kern w:val="2"/>
                <w:sz w:val="21"/>
                <w:szCs w:val="21"/>
                <w:highlight w:val="none"/>
                <w:u w:val="single"/>
              </w:rPr>
              <w:t xml:space="preserve">   10   </w:t>
            </w:r>
            <w:r>
              <w:rPr>
                <w:rFonts w:hint="eastAsia" w:ascii="宋体" w:hAnsi="宋体" w:eastAsia="宋体" w:cs="宋体"/>
                <w:color w:val="auto"/>
                <w:kern w:val="2"/>
                <w:sz w:val="21"/>
                <w:szCs w:val="21"/>
                <w:highlight w:val="none"/>
              </w:rPr>
              <w:t xml:space="preserve">分         </w:t>
            </w:r>
          </w:p>
          <w:p w14:paraId="29CF1663">
            <w:pPr>
              <w:keepNext w:val="0"/>
              <w:keepLines w:val="0"/>
              <w:pageBreakBefore w:val="0"/>
              <w:widowControl w:val="0"/>
              <w:shd w:val="clear" w:color="auto" w:fill="auto"/>
              <w:kinsoku/>
              <w:overflowPunct/>
              <w:autoSpaceDE/>
              <w:autoSpaceDN/>
              <w:bidi w:val="0"/>
              <w:adjustRightInd/>
              <w:snapToGrid/>
              <w:spacing w:line="440" w:lineRule="exact"/>
              <w:jc w:val="both"/>
              <w:textAlignment w:val="auto"/>
              <w:rPr>
                <w:rFonts w:hint="eastAsia" w:ascii="宋体" w:hAnsi="宋体" w:eastAsia="宋体" w:cs="宋体"/>
                <w:b/>
                <w:bCs/>
                <w:color w:val="auto"/>
                <w:kern w:val="2"/>
                <w:sz w:val="21"/>
                <w:szCs w:val="21"/>
                <w:highlight w:val="none"/>
              </w:rPr>
            </w:pPr>
            <w:r>
              <w:rPr>
                <w:rFonts w:hint="eastAsia" w:ascii="宋体" w:hAnsi="宋体" w:eastAsia="宋体" w:cs="宋体"/>
                <w:b/>
                <w:bCs/>
                <w:color w:val="auto"/>
                <w:kern w:val="2"/>
                <w:sz w:val="21"/>
                <w:szCs w:val="21"/>
                <w:highlight w:val="none"/>
              </w:rPr>
              <w:t>第二个信封（报价文件）评分分值构成：</w:t>
            </w:r>
          </w:p>
          <w:p w14:paraId="7590C504">
            <w:pPr>
              <w:keepNext w:val="0"/>
              <w:keepLines w:val="0"/>
              <w:pageBreakBefore w:val="0"/>
              <w:widowControl w:val="0"/>
              <w:shd w:val="clear" w:color="auto" w:fill="auto"/>
              <w:kinsoku/>
              <w:overflowPunct/>
              <w:autoSpaceDE/>
              <w:autoSpaceDN/>
              <w:bidi w:val="0"/>
              <w:snapToGrid/>
              <w:spacing w:line="44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评标价：</w:t>
            </w:r>
            <w:r>
              <w:rPr>
                <w:rFonts w:hint="eastAsia" w:ascii="宋体" w:hAnsi="宋体" w:eastAsia="宋体" w:cs="宋体"/>
                <w:color w:val="auto"/>
                <w:kern w:val="2"/>
                <w:sz w:val="21"/>
                <w:szCs w:val="21"/>
                <w:highlight w:val="none"/>
                <w:u w:val="single"/>
              </w:rPr>
              <w:t xml:space="preserve">   10   </w:t>
            </w:r>
            <w:r>
              <w:rPr>
                <w:rFonts w:hint="eastAsia" w:ascii="宋体" w:hAnsi="宋体" w:eastAsia="宋体" w:cs="宋体"/>
                <w:color w:val="auto"/>
                <w:kern w:val="2"/>
                <w:sz w:val="21"/>
                <w:szCs w:val="21"/>
                <w:highlight w:val="none"/>
              </w:rPr>
              <w:t>分</w:t>
            </w:r>
          </w:p>
        </w:tc>
      </w:tr>
      <w:tr w14:paraId="2F4B3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57" w:type="dxa"/>
            <w:noWrap w:val="0"/>
            <w:vAlign w:val="center"/>
          </w:tcPr>
          <w:p w14:paraId="16ED4B8E">
            <w:pPr>
              <w:keepNext w:val="0"/>
              <w:keepLines w:val="0"/>
              <w:pageBreakBefore w:val="0"/>
              <w:widowControl w:val="0"/>
              <w:shd w:val="clear" w:color="auto" w:fill="auto"/>
              <w:kinsoku/>
              <w:wordWrap/>
              <w:overflowPunct/>
              <w:topLinePunct w:val="0"/>
              <w:bidi w:val="0"/>
              <w:snapToGrid/>
              <w:spacing w:line="360" w:lineRule="auto"/>
              <w:ind w:left="105" w:leftChars="50" w:right="113"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2.2.</w:t>
            </w:r>
            <w:r>
              <w:rPr>
                <w:rFonts w:hint="eastAsia" w:ascii="宋体" w:hAnsi="宋体" w:cs="宋体"/>
                <w:color w:val="auto"/>
                <w:szCs w:val="21"/>
                <w:highlight w:val="none"/>
                <w:lang w:val="en-US" w:eastAsia="zh-CN"/>
              </w:rPr>
              <w:t>2</w:t>
            </w:r>
          </w:p>
        </w:tc>
        <w:tc>
          <w:tcPr>
            <w:tcW w:w="1264" w:type="dxa"/>
            <w:noWrap w:val="0"/>
            <w:vAlign w:val="center"/>
          </w:tcPr>
          <w:p w14:paraId="78DAF9A9">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auto"/>
                <w:szCs w:val="21"/>
                <w:highlight w:val="none"/>
              </w:rPr>
            </w:pPr>
            <w:r>
              <w:rPr>
                <w:rFonts w:hint="eastAsia" w:ascii="宋体" w:hAnsi="宋体" w:cs="宋体"/>
                <w:color w:val="auto"/>
                <w:szCs w:val="21"/>
                <w:highlight w:val="none"/>
                <w:lang w:val="en-US" w:eastAsia="zh-CN"/>
              </w:rPr>
              <w:t>施工部分</w:t>
            </w:r>
            <w:r>
              <w:rPr>
                <w:rFonts w:hint="eastAsia" w:ascii="宋体" w:hAnsi="宋体" w:cs="宋体"/>
                <w:color w:val="auto"/>
                <w:szCs w:val="21"/>
                <w:highlight w:val="none"/>
              </w:rPr>
              <w:t>分值构成</w:t>
            </w:r>
          </w:p>
          <w:p w14:paraId="75BBC1D1">
            <w:pPr>
              <w:keepNext w:val="0"/>
              <w:keepLines w:val="0"/>
              <w:pageBreakBefore w:val="0"/>
              <w:widowControl w:val="0"/>
              <w:shd w:val="clear" w:color="auto" w:fill="auto"/>
              <w:kinsoku/>
              <w:wordWrap/>
              <w:overflowPunct/>
              <w:topLinePunct w:val="0"/>
              <w:bidi w:val="0"/>
              <w:snapToGrid/>
              <w:spacing w:line="360" w:lineRule="auto"/>
              <w:ind w:left="105" w:leftChars="50" w:right="113"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Cs w:val="21"/>
                <w:highlight w:val="none"/>
              </w:rPr>
              <w:t>（总分100分）</w:t>
            </w:r>
          </w:p>
        </w:tc>
        <w:tc>
          <w:tcPr>
            <w:tcW w:w="7051" w:type="dxa"/>
            <w:noWrap w:val="0"/>
            <w:vAlign w:val="center"/>
          </w:tcPr>
          <w:p w14:paraId="1CA6DB90">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both"/>
              <w:rPr>
                <w:rFonts w:ascii="宋体" w:hAnsi="宋体" w:cs="宋体"/>
                <w:color w:val="auto"/>
                <w:szCs w:val="21"/>
                <w:highlight w:val="none"/>
              </w:rPr>
            </w:pPr>
            <w:r>
              <w:rPr>
                <w:rFonts w:hint="eastAsia" w:ascii="宋体" w:hAnsi="宋体" w:cs="宋体"/>
                <w:color w:val="auto"/>
                <w:szCs w:val="21"/>
                <w:highlight w:val="none"/>
                <w:lang w:val="en-US" w:eastAsia="zh-CN"/>
              </w:rPr>
              <w:t>评标价：95</w:t>
            </w:r>
            <w:r>
              <w:rPr>
                <w:rFonts w:hint="eastAsia" w:ascii="宋体" w:hAnsi="宋体" w:cs="宋体"/>
                <w:color w:val="auto"/>
                <w:szCs w:val="21"/>
                <w:highlight w:val="none"/>
              </w:rPr>
              <w:t>分</w:t>
            </w:r>
          </w:p>
          <w:p w14:paraId="00FC1FCA">
            <w:pPr>
              <w:pStyle w:val="6"/>
              <w:keepNext w:val="0"/>
              <w:keepLines w:val="0"/>
              <w:pageBreakBefore w:val="0"/>
              <w:widowControl w:val="0"/>
              <w:shd w:val="clear" w:color="auto" w:fill="auto"/>
              <w:kinsoku/>
              <w:wordWrap/>
              <w:overflowPunct/>
              <w:topLinePunct w:val="0"/>
              <w:autoSpaceDE/>
              <w:autoSpaceDN/>
              <w:bidi w:val="0"/>
              <w:snapToGrid/>
              <w:spacing w:after="0" w:line="440" w:lineRule="exact"/>
              <w:ind w:left="105" w:leftChars="50" w:right="0" w:rightChars="0" w:firstLine="0" w:firstLineChars="0"/>
              <w:jc w:val="both"/>
              <w:rPr>
                <w:rFonts w:hint="eastAsia" w:ascii="宋体" w:hAnsi="宋体" w:eastAsia="宋体" w:cs="宋体"/>
                <w:color w:val="auto"/>
                <w:spacing w:val="0"/>
                <w:kern w:val="2"/>
                <w:sz w:val="21"/>
                <w:szCs w:val="21"/>
                <w:highlight w:val="none"/>
                <w:lang w:val="en-US" w:eastAsia="zh-CN" w:bidi="ar-SA"/>
              </w:rPr>
            </w:pPr>
            <w:r>
              <w:rPr>
                <w:rFonts w:hint="eastAsia" w:ascii="宋体" w:hAnsi="宋体" w:cs="宋体"/>
                <w:color w:val="auto"/>
                <w:szCs w:val="21"/>
                <w:highlight w:val="none"/>
              </w:rPr>
              <w:t>其他因素</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5分</w:t>
            </w:r>
          </w:p>
        </w:tc>
      </w:tr>
    </w:tbl>
    <w:p w14:paraId="7BD4E046">
      <w:pPr>
        <w:keepNext w:val="0"/>
        <w:keepLines w:val="0"/>
        <w:pageBreakBefore w:val="0"/>
        <w:widowControl w:val="0"/>
        <w:shd w:val="clear" w:color="auto" w:fill="auto"/>
        <w:tabs>
          <w:tab w:val="left" w:pos="356"/>
        </w:tabs>
        <w:kinsoku/>
        <w:wordWrap/>
        <w:overflowPunct/>
        <w:topLinePunct w:val="0"/>
        <w:autoSpaceDE/>
        <w:autoSpaceDN/>
        <w:bidi w:val="0"/>
        <w:adjustRightInd w:val="0"/>
        <w:snapToGrid w:val="0"/>
        <w:spacing w:line="440" w:lineRule="exact"/>
        <w:ind w:firstLine="482" w:firstLineChars="200"/>
        <w:textAlignment w:val="baseline"/>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1.总则</w:t>
      </w:r>
    </w:p>
    <w:p w14:paraId="65B6887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1.1本次招标资格审查方式：采用资格后审方式，由评标委员会在开标后定标前对投标人进行资格审查。</w:t>
      </w:r>
    </w:p>
    <w:p w14:paraId="7E0F034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1.2评标定标方式：分两轮评审，第一轮采用综合评估法对投标文件中设计部分进行评审，计算各投标人设计部分的综合得分；第二轮采用双信封的合理低价法</w:t>
      </w:r>
      <w:r>
        <w:rPr>
          <w:rFonts w:hint="eastAsia" w:ascii="宋体" w:hAnsi="宋体" w:eastAsia="宋体" w:cs="宋体"/>
          <w:bCs/>
          <w:color w:val="auto"/>
          <w:szCs w:val="21"/>
          <w:highlight w:val="none"/>
          <w:lang w:val="en-US" w:eastAsia="zh-CN"/>
        </w:rPr>
        <w:t>对投标文件中施工部分进行评审</w:t>
      </w:r>
      <w:r>
        <w:rPr>
          <w:rFonts w:hint="eastAsia" w:ascii="宋体" w:hAnsi="宋体" w:eastAsia="宋体" w:cs="宋体"/>
          <w:bCs/>
          <w:color w:val="auto"/>
          <w:szCs w:val="21"/>
          <w:highlight w:val="none"/>
        </w:rPr>
        <w:t>，计算各投标人的施工部分综合得分；各投标人最终综合得分=设计部分的综合得分×</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0%+施工部分综合得分×</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0%，并按各投标人最终综合得分由高到低顺序取前3名中标候选人。如前3名出现总得分相同，则施工报价较低的优先，如施工报价也相等时，由评标委员会按照以下顺序确定其名次：</w:t>
      </w:r>
    </w:p>
    <w:p w14:paraId="2D27984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被广东省交通运输厅评为较高信用等级的投标人（联合体投标指牵头人）优先（对于信用等级为AA、A的企业在递交投标文件时应按要求提交使用广东省信用评价等级申请承诺书，否则，AA级信用等级企业按A级对待、A级信用等级企业按B级对待）；</w:t>
      </w:r>
    </w:p>
    <w:p w14:paraId="7B23F563">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（2）以投标人（联合体投标指牵头人）企业净资产较高的优先。</w:t>
      </w:r>
    </w:p>
    <w:p w14:paraId="7549F40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（3）由评标委员会投票确定其名次</w:t>
      </w:r>
    </w:p>
    <w:p w14:paraId="2893C013">
      <w:pPr>
        <w:keepNext w:val="0"/>
        <w:keepLines w:val="0"/>
        <w:pageBreakBefore w:val="0"/>
        <w:widowControl w:val="0"/>
        <w:shd w:val="clear" w:color="auto" w:fill="auto"/>
        <w:tabs>
          <w:tab w:val="left" w:pos="356"/>
        </w:tabs>
        <w:kinsoku/>
        <w:wordWrap/>
        <w:overflowPunct/>
        <w:topLinePunct w:val="0"/>
        <w:autoSpaceDE/>
        <w:autoSpaceDN/>
        <w:bidi w:val="0"/>
        <w:adjustRightInd w:val="0"/>
        <w:snapToGrid w:val="0"/>
        <w:spacing w:line="440" w:lineRule="exact"/>
        <w:ind w:firstLine="482" w:firstLineChars="200"/>
        <w:textAlignment w:val="baseline"/>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2.评标程序和评审标准</w:t>
      </w:r>
    </w:p>
    <w:p w14:paraId="04870FAB">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2.1评标工作按以下程序进行：</w:t>
      </w:r>
    </w:p>
    <w:p w14:paraId="0DD65C3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2.1.1  设计第一信封资格审查；</w:t>
      </w:r>
    </w:p>
    <w:p w14:paraId="7DE0152B">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设计第一信封形式评审和响应性评审；</w:t>
      </w:r>
    </w:p>
    <w:p w14:paraId="1FA82344">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设计第一信封澄清（如果需要）；</w:t>
      </w:r>
    </w:p>
    <w:p w14:paraId="6C289AC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设计第一信封详细评审。</w:t>
      </w:r>
    </w:p>
    <w:p w14:paraId="1C7185FB">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2.1.2  设计第二信封形式评审和响应性评审；</w:t>
      </w:r>
    </w:p>
    <w:p w14:paraId="560FDBA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设计第二信封算术性修正；</w:t>
      </w:r>
    </w:p>
    <w:p w14:paraId="0D2BA1F3">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设计第二信封澄清（如果需要）；</w:t>
      </w:r>
    </w:p>
    <w:p w14:paraId="444FCF5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设计第二信封详细评审。</w:t>
      </w:r>
    </w:p>
    <w:p w14:paraId="750CD8CB">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2.1.3  施工第一信封（商务文件</w:t>
      </w:r>
      <w:r>
        <w:rPr>
          <w:rFonts w:hint="eastAsia" w:ascii="宋体" w:hAnsi="宋体" w:eastAsia="宋体" w:cs="宋体"/>
          <w:bCs/>
          <w:color w:val="auto"/>
          <w:szCs w:val="21"/>
          <w:highlight w:val="none"/>
          <w:lang w:eastAsia="zh-CN"/>
        </w:rPr>
        <w:t>及</w:t>
      </w:r>
      <w:r>
        <w:rPr>
          <w:rFonts w:hint="eastAsia" w:ascii="宋体" w:hAnsi="宋体" w:eastAsia="宋体" w:cs="宋体"/>
          <w:bCs/>
          <w:color w:val="auto"/>
          <w:szCs w:val="21"/>
          <w:highlight w:val="none"/>
        </w:rPr>
        <w:t>技术文件）的评审：</w:t>
      </w:r>
    </w:p>
    <w:p w14:paraId="51276EA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施工第一信封初步评审；</w:t>
      </w:r>
    </w:p>
    <w:p w14:paraId="782EAEE3">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施工第一信封详细评审；</w:t>
      </w:r>
    </w:p>
    <w:p w14:paraId="33D84B7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施工第一信封必要的澄清和说明（如有）；</w:t>
      </w:r>
    </w:p>
    <w:p w14:paraId="03BAE40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2.1.4  施工第二信封（报价文件）的评审： </w:t>
      </w:r>
    </w:p>
    <w:p w14:paraId="52D6CBE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施工第二信封初步评审；</w:t>
      </w:r>
    </w:p>
    <w:p w14:paraId="0AD01BC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施工第二信封详细评审；</w:t>
      </w:r>
    </w:p>
    <w:p w14:paraId="76FE3775">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    施工第二信封澄清（如果需要）。</w:t>
      </w:r>
    </w:p>
    <w:p w14:paraId="10724863">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2.2  开标步骤</w:t>
      </w:r>
    </w:p>
    <w:p w14:paraId="6E7E6D2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第一步骤：随机启封设计部分的第一信封，逐一公布投标人名称、投标文件完整性、投标保证金等情况，并记录在案；</w:t>
      </w:r>
    </w:p>
    <w:p w14:paraId="740A64E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第二步骤：在设计部分的商务技术评审完成后，在评标室中评标专家、招标人代表、监标人等有关人员在场情况下，宣布通过评审的投标人名单，对其设计部分的第二信封进行启封，宣读投标报价，未通过评审的其剩余的信封将不再启封，退回投标人；</w:t>
      </w:r>
    </w:p>
    <w:p w14:paraId="68074C1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第三步骤：设计部分评审完成后，在评标室中评标专家、招标人代表、监标人等有关人员在场情况下，宣布</w:t>
      </w:r>
      <w:r>
        <w:rPr>
          <w:rFonts w:hint="eastAsia" w:ascii="宋体" w:hAnsi="宋体" w:eastAsia="宋体" w:cs="宋体"/>
          <w:bCs/>
          <w:color w:val="auto"/>
          <w:szCs w:val="21"/>
          <w:highlight w:val="none"/>
          <w:lang w:val="en-US" w:eastAsia="zh-CN"/>
        </w:rPr>
        <w:t>通过</w:t>
      </w:r>
      <w:r>
        <w:rPr>
          <w:rFonts w:hint="eastAsia" w:ascii="宋体" w:hAnsi="宋体" w:eastAsia="宋体" w:cs="宋体"/>
          <w:bCs/>
          <w:color w:val="auto"/>
          <w:szCs w:val="21"/>
          <w:highlight w:val="none"/>
        </w:rPr>
        <w:t>评审的投标人名单，启封其投标文件的施工部分的第一信封，逐一公布投标人名称、投标文件完整性等情况，并记录在案，未</w:t>
      </w:r>
      <w:r>
        <w:rPr>
          <w:rFonts w:hint="eastAsia" w:ascii="宋体" w:hAnsi="宋体" w:eastAsia="宋体" w:cs="宋体"/>
          <w:bCs/>
          <w:color w:val="auto"/>
          <w:szCs w:val="21"/>
          <w:highlight w:val="none"/>
          <w:lang w:val="en-US" w:eastAsia="zh-CN"/>
        </w:rPr>
        <w:t>通过</w:t>
      </w:r>
      <w:r>
        <w:rPr>
          <w:rFonts w:hint="eastAsia" w:ascii="宋体" w:hAnsi="宋体" w:eastAsia="宋体" w:cs="宋体"/>
          <w:bCs/>
          <w:color w:val="auto"/>
          <w:szCs w:val="21"/>
          <w:highlight w:val="none"/>
        </w:rPr>
        <w:t>评审的其剩余的信封将不再启封，退回投标人；</w:t>
      </w:r>
    </w:p>
    <w:p w14:paraId="1594FDC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第四步骤：在施工部分的商务技术评审完成后，在评标室中评标专家、招标人代表、监标人等有关人员在场情况下，宣布通过评审的投标人名单，对其施工部分的第二信封进行启封，宣读投标报价，未通过评审的其剩余的信封将不再启封，退回投标人。</w:t>
      </w:r>
    </w:p>
    <w:p w14:paraId="3096B8B7">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注：招标人或招标代理机构将在设计部分第一信封开标完成后，现场征求各投标人代表是否同意按上述约定进行开标的意见，如全体投标人代表一致同意，设计部分第二信封、施工部分第一信封、施工部分第二信封按上述约定进行开标后由招标人代表签字确认开标结果；如某一投标人代表不同意，即在各阶段评审完成后，通知各投标人代表到场参加下一步骤的开标，如投标人代表在通知的时间前未到场参加某一步骤的开标，视为默认该步骤的开标结果。</w:t>
      </w:r>
    </w:p>
    <w:p w14:paraId="074651A7">
      <w:pPr>
        <w:keepNext w:val="0"/>
        <w:keepLines w:val="0"/>
        <w:pageBreakBefore w:val="0"/>
        <w:widowControl w:val="0"/>
        <w:shd w:val="clear" w:color="auto" w:fill="auto"/>
        <w:tabs>
          <w:tab w:val="left" w:pos="356"/>
        </w:tabs>
        <w:kinsoku/>
        <w:wordWrap/>
        <w:overflowPunct/>
        <w:topLinePunct w:val="0"/>
        <w:autoSpaceDE/>
        <w:autoSpaceDN/>
        <w:bidi w:val="0"/>
        <w:adjustRightInd w:val="0"/>
        <w:snapToGrid w:val="0"/>
        <w:spacing w:line="440" w:lineRule="exact"/>
        <w:ind w:firstLine="482" w:firstLineChars="200"/>
        <w:textAlignment w:val="baseline"/>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3. 定标方式</w:t>
      </w:r>
    </w:p>
    <w:p w14:paraId="700D7E2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3.1评标委员会应当在评标工作完成后，按本招标文件规定的家数和得分高低顺序为本项目推荐第一中标候选人、第二中标候选人、第三中标候选人。</w:t>
      </w:r>
    </w:p>
    <w:p w14:paraId="03E720C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3.2评标委员会推荐的3名中标候选人，经公示后，如无异议，招标人确定排名第一位的中标候选人中标。如果推荐的第一中标候选人放弃中标、因不可抗力提出不能履行合同，或者招标文件规定应当提交履约保证金而在规定的期限内未能提交的，招标人可以根据中标候选人排名依次确定中标人</w:t>
      </w:r>
      <w:r>
        <w:rPr>
          <w:rFonts w:hint="eastAsia" w:ascii="宋体" w:hAnsi="宋体" w:eastAsia="宋体" w:cs="宋体"/>
          <w:bCs/>
          <w:color w:val="auto"/>
          <w:szCs w:val="21"/>
          <w:highlight w:val="none"/>
          <w:lang w:val="en-US" w:eastAsia="zh-CN"/>
        </w:rPr>
        <w:t>或重新组织招标</w:t>
      </w:r>
      <w:r>
        <w:rPr>
          <w:rFonts w:hint="eastAsia" w:ascii="宋体" w:hAnsi="宋体" w:eastAsia="宋体" w:cs="宋体"/>
          <w:bCs/>
          <w:color w:val="auto"/>
          <w:szCs w:val="21"/>
          <w:highlight w:val="none"/>
        </w:rPr>
        <w:t xml:space="preserve">，但被取消中标候选人资格单位的投标保证金不予退还。 </w:t>
      </w:r>
    </w:p>
    <w:p w14:paraId="6CAFF07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420" w:firstLineChars="200"/>
        <w:jc w:val="center"/>
        <w:textAlignment w:val="baseline"/>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如果推荐的中标候选人因公示被投诉并查证属实存在造假行为的，按废标处理，且没收其投标保证金；如果开标后至中标通知书发出前，中标候选人发生失信行为导致信用等级被省交通运输厅直接降为D级，或被省交通运输厅（包括转发交通运输部）通报批评而取消投标资格的，则按废标处理； 发生以上情况时，招标人按推荐中标候选人排名顺序依次确定中标人</w:t>
      </w:r>
      <w:r>
        <w:rPr>
          <w:rFonts w:hint="eastAsia" w:ascii="宋体" w:hAnsi="宋体" w:eastAsia="宋体" w:cs="宋体"/>
          <w:bCs/>
          <w:color w:val="auto"/>
          <w:szCs w:val="21"/>
          <w:highlight w:val="none"/>
          <w:lang w:val="en-US" w:eastAsia="zh-CN"/>
        </w:rPr>
        <w:t>或重新组织招标</w:t>
      </w:r>
      <w:r>
        <w:rPr>
          <w:rFonts w:hint="eastAsia" w:ascii="宋体" w:hAnsi="宋体" w:eastAsia="宋体" w:cs="宋体"/>
          <w:bCs/>
          <w:color w:val="auto"/>
          <w:szCs w:val="21"/>
          <w:highlight w:val="none"/>
        </w:rPr>
        <w:t>。</w:t>
      </w:r>
    </w:p>
    <w:p w14:paraId="4F5561D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firstLine="643" w:firstLineChars="200"/>
        <w:jc w:val="center"/>
        <w:textAlignment w:val="baseline"/>
        <w:outlineLvl w:val="9"/>
        <w:rPr>
          <w:rFonts w:hint="eastAsia" w:ascii="宋体" w:hAnsi="宋体"/>
          <w:b/>
          <w:bCs/>
          <w:color w:val="auto"/>
          <w:sz w:val="32"/>
          <w:szCs w:val="32"/>
          <w:highlight w:val="none"/>
        </w:rPr>
      </w:pPr>
      <w:r>
        <w:rPr>
          <w:rFonts w:hint="eastAsia" w:ascii="宋体" w:hAnsi="宋体"/>
          <w:b/>
          <w:bCs/>
          <w:color w:val="auto"/>
          <w:sz w:val="32"/>
          <w:szCs w:val="32"/>
          <w:highlight w:val="none"/>
          <w:lang w:val="en-US" w:eastAsia="zh-CN"/>
        </w:rPr>
        <w:br w:type="page"/>
      </w:r>
      <w:r>
        <w:rPr>
          <w:rFonts w:hint="eastAsia" w:ascii="宋体" w:hAnsi="宋体"/>
          <w:b/>
          <w:bCs/>
          <w:color w:val="auto"/>
          <w:sz w:val="32"/>
          <w:szCs w:val="32"/>
          <w:highlight w:val="none"/>
          <w:lang w:val="en-US" w:eastAsia="zh-CN"/>
        </w:rPr>
        <w:t>第二节 设计部分（综合评估法）</w:t>
      </w:r>
    </w:p>
    <w:p w14:paraId="631A8CE4">
      <w:pPr>
        <w:shd w:val="clear" w:color="auto" w:fill="auto"/>
        <w:jc w:val="center"/>
        <w:rPr>
          <w:rFonts w:hint="eastAsia" w:ascii="宋体" w:hAnsi="宋体" w:eastAsia="宋体" w:cs="宋体"/>
          <w:b/>
          <w:bCs/>
          <w:color w:val="auto"/>
          <w:highlight w:val="none"/>
        </w:rPr>
      </w:pPr>
      <w:r>
        <w:rPr>
          <w:rFonts w:hint="eastAsia" w:ascii="宋体" w:hAnsi="宋体"/>
          <w:b/>
          <w:bCs/>
          <w:color w:val="auto"/>
          <w:sz w:val="32"/>
          <w:szCs w:val="32"/>
          <w:highlight w:val="none"/>
        </w:rPr>
        <w:t>评标办法前附表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13"/>
        <w:gridCol w:w="6005"/>
      </w:tblGrid>
      <w:tr w14:paraId="48875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blHeader/>
          <w:jc w:val="center"/>
        </w:trPr>
        <w:tc>
          <w:tcPr>
            <w:tcW w:w="2519" w:type="dxa"/>
            <w:gridSpan w:val="2"/>
            <w:noWrap w:val="0"/>
            <w:vAlign w:val="center"/>
          </w:tcPr>
          <w:p w14:paraId="55FA9043">
            <w:pPr>
              <w:keepNext w:val="0"/>
              <w:keepLines w:val="0"/>
              <w:pageBreakBefore w:val="0"/>
              <w:widowControl w:val="0"/>
              <w:shd w:val="clear" w:color="auto" w:fill="auto"/>
              <w:kinsoku/>
              <w:wordWrap w:val="0"/>
              <w:overflowPunct/>
              <w:topLinePunct/>
              <w:autoSpaceDE/>
              <w:autoSpaceDN/>
              <w:bidi w:val="0"/>
              <w:adjustRightInd/>
              <w:snapToGrid/>
              <w:spacing w:line="440" w:lineRule="exact"/>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条款号</w:t>
            </w:r>
          </w:p>
        </w:tc>
        <w:tc>
          <w:tcPr>
            <w:tcW w:w="6005" w:type="dxa"/>
            <w:noWrap w:val="0"/>
            <w:vAlign w:val="center"/>
          </w:tcPr>
          <w:p w14:paraId="76C4895C">
            <w:pPr>
              <w:keepNext w:val="0"/>
              <w:keepLines w:val="0"/>
              <w:pageBreakBefore w:val="0"/>
              <w:widowControl w:val="0"/>
              <w:shd w:val="clear" w:color="auto" w:fill="auto"/>
              <w:kinsoku/>
              <w:wordWrap w:val="0"/>
              <w:overflowPunct/>
              <w:topLinePunct/>
              <w:autoSpaceDE/>
              <w:autoSpaceDN/>
              <w:bidi w:val="0"/>
              <w:adjustRightInd/>
              <w:snapToGrid/>
              <w:spacing w:line="440" w:lineRule="exact"/>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评审因素与评审标准</w:t>
            </w:r>
          </w:p>
        </w:tc>
      </w:tr>
      <w:tr w14:paraId="5FCFC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006" w:type="dxa"/>
            <w:noWrap w:val="0"/>
            <w:vAlign w:val="center"/>
          </w:tcPr>
          <w:p w14:paraId="675EEE42">
            <w:pPr>
              <w:keepNext w:val="0"/>
              <w:keepLines w:val="0"/>
              <w:pageBreakBefore w:val="0"/>
              <w:widowControl w:val="0"/>
              <w:shd w:val="clear" w:color="auto" w:fill="auto"/>
              <w:kinsoku/>
              <w:wordWrap w:val="0"/>
              <w:overflowPunct/>
              <w:topLinePunct/>
              <w:autoSpaceDE/>
              <w:autoSpaceDN/>
              <w:bidi w:val="0"/>
              <w:adjustRightInd/>
              <w:snapToGrid/>
              <w:spacing w:line="440" w:lineRule="exact"/>
              <w:jc w:val="center"/>
              <w:rPr>
                <w:rFonts w:hint="eastAsia" w:ascii="宋体" w:hAnsi="宋体" w:eastAsia="宋体" w:cs="宋体"/>
                <w:color w:val="auto"/>
                <w:szCs w:val="24"/>
                <w:highlight w:val="none"/>
              </w:rPr>
            </w:pPr>
            <w:r>
              <w:rPr>
                <w:rFonts w:hint="eastAsia" w:ascii="宋体" w:hAnsi="宋体" w:eastAsia="宋体" w:cs="宋体"/>
                <w:color w:val="auto"/>
                <w:highlight w:val="none"/>
              </w:rPr>
              <w:t>2.2.2</w:t>
            </w:r>
          </w:p>
        </w:tc>
        <w:tc>
          <w:tcPr>
            <w:tcW w:w="1513" w:type="dxa"/>
            <w:noWrap w:val="0"/>
            <w:vAlign w:val="center"/>
          </w:tcPr>
          <w:p w14:paraId="671872A0">
            <w:pPr>
              <w:keepNext w:val="0"/>
              <w:keepLines w:val="0"/>
              <w:pageBreakBefore w:val="0"/>
              <w:widowControl w:val="0"/>
              <w:shd w:val="clear" w:color="auto" w:fill="auto"/>
              <w:kinsoku/>
              <w:wordWrap w:val="0"/>
              <w:overflowPunct/>
              <w:topLinePunct/>
              <w:autoSpaceDE/>
              <w:autoSpaceDN/>
              <w:bidi w:val="0"/>
              <w:adjustRightInd/>
              <w:snapToGrid/>
              <w:spacing w:line="440" w:lineRule="exact"/>
              <w:jc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评标基准价计算方法</w:t>
            </w:r>
          </w:p>
        </w:tc>
        <w:tc>
          <w:tcPr>
            <w:tcW w:w="6005" w:type="dxa"/>
            <w:noWrap w:val="0"/>
            <w:vAlign w:val="center"/>
          </w:tcPr>
          <w:p w14:paraId="40450AC8">
            <w:pPr>
              <w:keepNext w:val="0"/>
              <w:keepLines w:val="0"/>
              <w:pageBreakBefore w:val="0"/>
              <w:widowControl w:val="0"/>
              <w:shd w:val="clear" w:color="auto" w:fill="auto"/>
              <w:kinsoku/>
              <w:overflowPunct/>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评标基准价的计算：</w:t>
            </w:r>
          </w:p>
          <w:p w14:paraId="285A6661">
            <w:pPr>
              <w:keepNext w:val="0"/>
              <w:keepLines w:val="0"/>
              <w:pageBreakBefore w:val="0"/>
              <w:widowControl w:val="0"/>
              <w:shd w:val="clear" w:color="auto" w:fill="auto"/>
              <w:kinsoku/>
              <w:overflowPunct/>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在开标现场，招标人将当场计算并宣布评标基准价。</w:t>
            </w:r>
          </w:p>
          <w:p w14:paraId="55510C84">
            <w:pPr>
              <w:keepNext w:val="0"/>
              <w:keepLines w:val="0"/>
              <w:pageBreakBefore w:val="0"/>
              <w:widowControl w:val="0"/>
              <w:shd w:val="clear" w:color="auto" w:fill="auto"/>
              <w:kinsoku/>
              <w:overflowPunct/>
              <w:autoSpaceDE/>
              <w:autoSpaceDN/>
              <w:bidi w:val="0"/>
              <w:snapToGrid/>
              <w:spacing w:line="440" w:lineRule="exact"/>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（1）评标价的确定：</w:t>
            </w:r>
          </w:p>
          <w:p w14:paraId="7222C78C">
            <w:pPr>
              <w:keepNext w:val="0"/>
              <w:keepLines w:val="0"/>
              <w:pageBreakBefore w:val="0"/>
              <w:widowControl w:val="0"/>
              <w:shd w:val="clear" w:color="auto" w:fill="auto"/>
              <w:kinsoku/>
              <w:overflowPunct/>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评标价＝投标函文字</w:t>
            </w:r>
            <w:r>
              <w:rPr>
                <w:rFonts w:hint="eastAsia" w:ascii="宋体" w:hAnsi="宋体" w:eastAsia="宋体" w:cs="宋体"/>
                <w:color w:val="auto"/>
                <w:sz w:val="21"/>
                <w:szCs w:val="21"/>
                <w:highlight w:val="none"/>
                <w:lang w:val="en-US" w:eastAsia="zh-CN"/>
              </w:rPr>
              <w:t>总</w:t>
            </w:r>
            <w:r>
              <w:rPr>
                <w:rFonts w:hint="eastAsia" w:ascii="宋体" w:hAnsi="宋体" w:eastAsia="宋体" w:cs="宋体"/>
                <w:color w:val="auto"/>
                <w:sz w:val="21"/>
                <w:szCs w:val="21"/>
                <w:highlight w:val="none"/>
              </w:rPr>
              <w:t>报价</w:t>
            </w:r>
          </w:p>
          <w:p w14:paraId="14887480">
            <w:pPr>
              <w:keepNext w:val="0"/>
              <w:keepLines w:val="0"/>
              <w:pageBreakBefore w:val="0"/>
              <w:widowControl w:val="0"/>
              <w:shd w:val="clear" w:color="auto" w:fill="auto"/>
              <w:kinsoku/>
              <w:overflowPunct/>
              <w:autoSpaceDE/>
              <w:autoSpaceDN/>
              <w:bidi w:val="0"/>
              <w:snapToGrid/>
              <w:spacing w:line="440" w:lineRule="exact"/>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（2）评标价的平均值的计算：</w:t>
            </w:r>
          </w:p>
          <w:p w14:paraId="7C43C913">
            <w:pPr>
              <w:keepNext w:val="0"/>
              <w:keepLines w:val="0"/>
              <w:pageBreakBefore w:val="0"/>
              <w:widowControl w:val="0"/>
              <w:shd w:val="clear" w:color="auto" w:fill="auto"/>
              <w:kinsoku/>
              <w:overflowPunct/>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除按第二章“投标人须知”第5.2.4项规定开标现场被宣布为不进入评标基准价计算的投标报价之外，所有投标人的评标价去掉一个最高值和一个最低值后的算术平均值即为评标价平均值（如果参与评标价平均值计算的有效投标人少于5家时，则计算评标价平均值时不去掉最高值和最低值）。</w:t>
            </w:r>
          </w:p>
          <w:p w14:paraId="5FEF1C97">
            <w:pPr>
              <w:keepNext w:val="0"/>
              <w:keepLines w:val="0"/>
              <w:pageBreakBefore w:val="0"/>
              <w:widowControl w:val="0"/>
              <w:shd w:val="clear" w:color="auto" w:fill="auto"/>
              <w:kinsoku/>
              <w:overflowPunct/>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参与评标价平均值计算的评标价范围：最高投标限价的85%≤参与评标价平均值计算的评标价≤最高投标限价的100%；（注：小于最高投标限价的85%的评标价不参与评标价平均值的计算，但仍参与评标价的得分计算。）</w:t>
            </w:r>
          </w:p>
          <w:p w14:paraId="25E6BAB0">
            <w:pPr>
              <w:keepNext w:val="0"/>
              <w:keepLines w:val="0"/>
              <w:pageBreakBefore w:val="0"/>
              <w:widowControl w:val="0"/>
              <w:shd w:val="clear" w:color="auto" w:fill="auto"/>
              <w:kinsoku/>
              <w:overflowPunct/>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③若投标人的评标价均小于最高投标限价的85%时，则以最高投标限价的85%为评标价平均值。</w:t>
            </w:r>
          </w:p>
          <w:p w14:paraId="7F562C6B">
            <w:pPr>
              <w:keepNext w:val="0"/>
              <w:keepLines w:val="0"/>
              <w:pageBreakBefore w:val="0"/>
              <w:widowControl w:val="0"/>
              <w:shd w:val="clear" w:color="auto" w:fill="auto"/>
              <w:kinsoku/>
              <w:overflowPunct/>
              <w:autoSpaceDE/>
              <w:autoSpaceDN/>
              <w:bidi w:val="0"/>
              <w:snapToGrid/>
              <w:spacing w:line="440" w:lineRule="exact"/>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（3）评标基准价的确定：</w:t>
            </w:r>
          </w:p>
          <w:p w14:paraId="2AD9F72F">
            <w:pPr>
              <w:keepNext w:val="0"/>
              <w:keepLines w:val="0"/>
              <w:pageBreakBefore w:val="0"/>
              <w:widowControl w:val="0"/>
              <w:shd w:val="clear" w:color="auto" w:fill="auto"/>
              <w:kinsoku/>
              <w:overflowPunct/>
              <w:autoSpaceDE/>
              <w:autoSpaceDN/>
              <w:bidi w:val="0"/>
              <w:snapToGrid/>
              <w:spacing w:line="4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将评标价平均值直接作为评标基准价</w:t>
            </w:r>
          </w:p>
          <w:p w14:paraId="3910FA27">
            <w:pPr>
              <w:keepNext w:val="0"/>
              <w:keepLines w:val="0"/>
              <w:pageBreakBefore w:val="0"/>
              <w:widowControl w:val="0"/>
              <w:shd w:val="clear" w:color="auto" w:fill="auto"/>
              <w:kinsoku/>
              <w:overflowPunct/>
              <w:autoSpaceDE/>
              <w:autoSpaceDN/>
              <w:bidi w:val="0"/>
              <w:snapToGrid/>
              <w:spacing w:line="440" w:lineRule="exact"/>
              <w:ind w:firstLine="420" w:firstLineChars="200"/>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注：评标价平均值、评标基准价的计算均四舍五入至个位整数。</w:t>
            </w:r>
          </w:p>
        </w:tc>
      </w:tr>
      <w:tr w14:paraId="15B5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jc w:val="center"/>
        </w:trPr>
        <w:tc>
          <w:tcPr>
            <w:tcW w:w="1006" w:type="dxa"/>
            <w:noWrap w:val="0"/>
            <w:vAlign w:val="center"/>
          </w:tcPr>
          <w:p w14:paraId="6C321725">
            <w:pPr>
              <w:keepNext w:val="0"/>
              <w:keepLines w:val="0"/>
              <w:pageBreakBefore w:val="0"/>
              <w:widowControl w:val="0"/>
              <w:shd w:val="clear" w:color="auto" w:fill="auto"/>
              <w:kinsoku/>
              <w:wordWrap w:val="0"/>
              <w:overflowPunct/>
              <w:topLinePunct/>
              <w:autoSpaceDE/>
              <w:autoSpaceDN/>
              <w:bidi w:val="0"/>
              <w:adjustRightInd/>
              <w:snapToGrid/>
              <w:spacing w:line="440" w:lineRule="exact"/>
              <w:jc w:val="center"/>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highlight w:val="none"/>
              </w:rPr>
              <w:t>2.2.3</w:t>
            </w:r>
          </w:p>
        </w:tc>
        <w:tc>
          <w:tcPr>
            <w:tcW w:w="1513" w:type="dxa"/>
            <w:noWrap w:val="0"/>
            <w:vAlign w:val="center"/>
          </w:tcPr>
          <w:p w14:paraId="382AFDC5">
            <w:pPr>
              <w:keepNext w:val="0"/>
              <w:keepLines w:val="0"/>
              <w:pageBreakBefore w:val="0"/>
              <w:widowControl w:val="0"/>
              <w:shd w:val="clear" w:color="auto" w:fill="auto"/>
              <w:kinsoku/>
              <w:wordWrap w:val="0"/>
              <w:overflowPunct/>
              <w:topLinePunct/>
              <w:autoSpaceDE/>
              <w:autoSpaceDN/>
              <w:bidi w:val="0"/>
              <w:adjustRightInd/>
              <w:snapToGrid/>
              <w:spacing w:line="44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评标价的偏差率计算公式</w:t>
            </w:r>
          </w:p>
        </w:tc>
        <w:tc>
          <w:tcPr>
            <w:tcW w:w="6005" w:type="dxa"/>
            <w:noWrap w:val="0"/>
            <w:vAlign w:val="center"/>
          </w:tcPr>
          <w:p w14:paraId="5E953F9D">
            <w:pPr>
              <w:keepNext w:val="0"/>
              <w:keepLines w:val="0"/>
              <w:pageBreakBefore w:val="0"/>
              <w:widowControl w:val="0"/>
              <w:shd w:val="clear" w:color="auto" w:fill="auto"/>
              <w:kinsoku/>
              <w:overflowPunct/>
              <w:autoSpaceDE/>
              <w:autoSpaceDN/>
              <w:bidi w:val="0"/>
              <w:snapToGrid/>
              <w:spacing w:line="440" w:lineRule="exac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偏差率=100% ×（投标人评标价－评标基准价）/评标基准价</w:t>
            </w:r>
          </w:p>
        </w:tc>
      </w:tr>
    </w:tbl>
    <w:p w14:paraId="017DB5AF">
      <w:pPr>
        <w:shd w:val="clear" w:color="auto" w:fill="auto"/>
        <w:jc w:val="right"/>
        <w:rPr>
          <w:rFonts w:hint="eastAsia" w:ascii="宋体" w:hAnsi="宋体" w:eastAsia="宋体" w:cs="宋体"/>
          <w:color w:val="auto"/>
          <w:highlight w:val="none"/>
        </w:rPr>
      </w:pPr>
    </w:p>
    <w:p w14:paraId="7AEA63E3">
      <w:pPr>
        <w:shd w:val="clear" w:color="auto" w:fill="auto"/>
        <w:jc w:val="right"/>
        <w:rPr>
          <w:rFonts w:hint="eastAsia" w:ascii="宋体" w:hAnsi="宋体" w:eastAsia="宋体" w:cs="宋体"/>
          <w:color w:val="auto"/>
          <w:highlight w:val="none"/>
        </w:rPr>
      </w:pPr>
    </w:p>
    <w:p w14:paraId="32340389">
      <w:pPr>
        <w:shd w:val="clear" w:color="auto" w:fill="auto"/>
        <w:jc w:val="right"/>
        <w:rPr>
          <w:rFonts w:hint="eastAsia" w:ascii="宋体" w:hAnsi="宋体" w:eastAsia="宋体" w:cs="宋体"/>
          <w:color w:val="auto"/>
          <w:highlight w:val="none"/>
        </w:rPr>
      </w:pPr>
    </w:p>
    <w:p w14:paraId="0AD18F3D">
      <w:pPr>
        <w:shd w:val="clear" w:color="auto" w:fill="auto"/>
        <w:jc w:val="right"/>
        <w:rPr>
          <w:rFonts w:hint="eastAsia" w:ascii="宋体" w:hAnsi="宋体" w:eastAsia="宋体" w:cs="宋体"/>
          <w:color w:val="auto"/>
          <w:highlight w:val="none"/>
        </w:rPr>
      </w:pPr>
    </w:p>
    <w:p w14:paraId="5EB4E5E3">
      <w:pPr>
        <w:shd w:val="clear" w:color="auto" w:fill="auto"/>
        <w:jc w:val="right"/>
        <w:rPr>
          <w:rFonts w:hint="eastAsia" w:ascii="宋体" w:hAnsi="宋体" w:eastAsia="宋体" w:cs="宋体"/>
          <w:color w:val="auto"/>
          <w:highlight w:val="none"/>
        </w:rPr>
      </w:pPr>
    </w:p>
    <w:tbl>
      <w:tblPr>
        <w:tblStyle w:val="7"/>
        <w:tblW w:w="93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
        <w:gridCol w:w="638"/>
        <w:gridCol w:w="166"/>
        <w:gridCol w:w="483"/>
        <w:gridCol w:w="497"/>
        <w:gridCol w:w="234"/>
        <w:gridCol w:w="381"/>
        <w:gridCol w:w="317"/>
        <w:gridCol w:w="752"/>
        <w:gridCol w:w="463"/>
        <w:gridCol w:w="323"/>
        <w:gridCol w:w="376"/>
        <w:gridCol w:w="4441"/>
        <w:gridCol w:w="143"/>
      </w:tblGrid>
      <w:tr w14:paraId="1405A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3" w:type="dxa"/>
          <w:cantSplit/>
          <w:trHeight w:val="585" w:hRule="atLeast"/>
          <w:jc w:val="center"/>
        </w:trPr>
        <w:tc>
          <w:tcPr>
            <w:tcW w:w="4630" w:type="dxa"/>
            <w:gridSpan w:val="11"/>
            <w:noWrap w:val="0"/>
            <w:vAlign w:val="center"/>
          </w:tcPr>
          <w:p w14:paraId="3065819E">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color w:val="auto"/>
                <w:sz w:val="21"/>
                <w:szCs w:val="21"/>
                <w:highlight w:val="none"/>
              </w:rPr>
            </w:pPr>
            <w:bookmarkStart w:id="4" w:name="OLE_LINK1" w:colFirst="0" w:colLast="5"/>
            <w:r>
              <w:rPr>
                <w:rFonts w:hint="eastAsia" w:ascii="宋体" w:hAnsi="宋体" w:eastAsia="宋体" w:cs="宋体"/>
                <w:b/>
                <w:color w:val="auto"/>
                <w:sz w:val="21"/>
                <w:szCs w:val="21"/>
                <w:highlight w:val="none"/>
              </w:rPr>
              <w:t>评审因素与评分值</w:t>
            </w:r>
          </w:p>
        </w:tc>
        <w:tc>
          <w:tcPr>
            <w:tcW w:w="4584" w:type="dxa"/>
            <w:gridSpan w:val="2"/>
            <w:vMerge w:val="restart"/>
            <w:noWrap w:val="0"/>
            <w:vAlign w:val="center"/>
          </w:tcPr>
          <w:p w14:paraId="3306B27C">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评分标准</w:t>
            </w:r>
          </w:p>
        </w:tc>
      </w:tr>
      <w:tr w14:paraId="6A3FF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3" w:type="dxa"/>
          <w:cantSplit/>
          <w:trHeight w:val="1578" w:hRule="atLeast"/>
          <w:jc w:val="center"/>
        </w:trPr>
        <w:tc>
          <w:tcPr>
            <w:tcW w:w="804" w:type="dxa"/>
            <w:gridSpan w:val="2"/>
            <w:noWrap w:val="0"/>
            <w:vAlign w:val="center"/>
          </w:tcPr>
          <w:p w14:paraId="787B17B9">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条</w:t>
            </w:r>
          </w:p>
          <w:p w14:paraId="1AD55DB5">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款</w:t>
            </w:r>
          </w:p>
          <w:p w14:paraId="4561D444">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号</w:t>
            </w:r>
          </w:p>
        </w:tc>
        <w:tc>
          <w:tcPr>
            <w:tcW w:w="980" w:type="dxa"/>
            <w:gridSpan w:val="2"/>
            <w:noWrap w:val="0"/>
            <w:vAlign w:val="center"/>
          </w:tcPr>
          <w:p w14:paraId="4138FE83">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w:t>
            </w:r>
          </w:p>
          <w:p w14:paraId="755FECED">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因素</w:t>
            </w:r>
          </w:p>
        </w:tc>
        <w:tc>
          <w:tcPr>
            <w:tcW w:w="615" w:type="dxa"/>
            <w:gridSpan w:val="2"/>
            <w:noWrap w:val="0"/>
            <w:vAlign w:val="center"/>
          </w:tcPr>
          <w:p w14:paraId="73E0F96D">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color w:val="auto"/>
                <w:sz w:val="21"/>
                <w:szCs w:val="21"/>
                <w:highlight w:val="none"/>
                <w:u w:val="single"/>
              </w:rPr>
            </w:pPr>
            <w:r>
              <w:rPr>
                <w:rFonts w:hint="eastAsia" w:ascii="宋体" w:hAnsi="宋体" w:eastAsia="宋体" w:cs="宋体"/>
                <w:b/>
                <w:color w:val="auto"/>
                <w:sz w:val="21"/>
                <w:szCs w:val="21"/>
                <w:highlight w:val="none"/>
              </w:rPr>
              <w:t>评分因素权重分值</w:t>
            </w:r>
          </w:p>
        </w:tc>
        <w:tc>
          <w:tcPr>
            <w:tcW w:w="1532" w:type="dxa"/>
            <w:gridSpan w:val="3"/>
            <w:noWrap w:val="0"/>
            <w:vAlign w:val="center"/>
          </w:tcPr>
          <w:p w14:paraId="22DF8ABD">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各评审因素细分项</w:t>
            </w:r>
          </w:p>
        </w:tc>
        <w:tc>
          <w:tcPr>
            <w:tcW w:w="699" w:type="dxa"/>
            <w:gridSpan w:val="2"/>
            <w:noWrap w:val="0"/>
            <w:vAlign w:val="center"/>
          </w:tcPr>
          <w:p w14:paraId="0530EB79">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分值</w:t>
            </w:r>
          </w:p>
        </w:tc>
        <w:tc>
          <w:tcPr>
            <w:tcW w:w="4584" w:type="dxa"/>
            <w:gridSpan w:val="2"/>
            <w:vMerge w:val="continue"/>
            <w:noWrap w:val="0"/>
            <w:vAlign w:val="center"/>
          </w:tcPr>
          <w:p w14:paraId="5E4A49DE">
            <w:pPr>
              <w:keepNext w:val="0"/>
              <w:keepLines w:val="0"/>
              <w:pageBreakBefore w:val="0"/>
              <w:widowControl w:val="0"/>
              <w:shd w:val="clear" w:color="auto" w:fill="auto"/>
              <w:kinsoku/>
              <w:wordWrap/>
              <w:overflowPunct/>
              <w:topLinePunct w:val="0"/>
              <w:autoSpaceDE/>
              <w:autoSpaceDN/>
              <w:bidi w:val="0"/>
              <w:adjustRightInd w:val="0"/>
              <w:snapToGrid/>
              <w:spacing w:line="240" w:lineRule="auto"/>
              <w:jc w:val="both"/>
              <w:textAlignment w:val="baseline"/>
              <w:rPr>
                <w:rFonts w:hint="eastAsia" w:ascii="宋体" w:hAnsi="宋体" w:eastAsia="宋体" w:cs="宋体"/>
                <w:color w:val="auto"/>
                <w:sz w:val="21"/>
                <w:szCs w:val="21"/>
                <w:highlight w:val="none"/>
              </w:rPr>
            </w:pPr>
          </w:p>
        </w:tc>
      </w:tr>
      <w:bookmarkEnd w:id="4"/>
      <w:tr w14:paraId="4132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3" w:type="dxa"/>
          <w:cantSplit/>
          <w:trHeight w:val="25" w:hRule="atLeast"/>
          <w:jc w:val="center"/>
        </w:trPr>
        <w:tc>
          <w:tcPr>
            <w:tcW w:w="804" w:type="dxa"/>
            <w:gridSpan w:val="2"/>
            <w:vMerge w:val="restart"/>
            <w:noWrap w:val="0"/>
            <w:vAlign w:val="center"/>
          </w:tcPr>
          <w:p w14:paraId="605DBD19">
            <w:pPr>
              <w:keepNext w:val="0"/>
              <w:keepLines w:val="0"/>
              <w:pageBreakBefore w:val="0"/>
              <w:widowControl w:val="0"/>
              <w:shd w:val="clear" w:color="auto" w:fill="auto"/>
              <w:kinsoku/>
              <w:wordWrap/>
              <w:overflowPunct/>
              <w:autoSpaceDE/>
              <w:autoSpaceDN/>
              <w:bidi w:val="0"/>
              <w:snapToGrid/>
              <w:spacing w:line="440" w:lineRule="exact"/>
              <w:jc w:val="center"/>
              <w:textAlignment w:val="baseline"/>
              <w:rPr>
                <w:rFonts w:hint="eastAsia" w:ascii="宋体" w:hAnsi="宋体" w:eastAsia="宋体" w:cs="宋体"/>
                <w:color w:val="auto"/>
                <w:szCs w:val="24"/>
                <w:highlight w:val="none"/>
              </w:rPr>
            </w:pPr>
            <w:r>
              <w:rPr>
                <w:rFonts w:hint="eastAsia" w:ascii="宋体" w:hAnsi="宋体" w:eastAsia="宋体" w:cs="宋体"/>
                <w:color w:val="auto"/>
                <w:szCs w:val="24"/>
                <w:highlight w:val="none"/>
              </w:rPr>
              <w:t>2.2.4</w:t>
            </w:r>
          </w:p>
          <w:p w14:paraId="5548F8D3">
            <w:pPr>
              <w:keepNext w:val="0"/>
              <w:keepLines w:val="0"/>
              <w:pageBreakBefore w:val="0"/>
              <w:widowControl w:val="0"/>
              <w:shd w:val="clear" w:color="auto" w:fill="auto"/>
              <w:kinsoku/>
              <w:wordWrap/>
              <w:overflowPunct/>
              <w:autoSpaceDE/>
              <w:autoSpaceDN/>
              <w:bidi w:val="0"/>
              <w:snapToGrid/>
              <w:spacing w:line="440" w:lineRule="exact"/>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980" w:type="dxa"/>
            <w:gridSpan w:val="2"/>
            <w:vMerge w:val="restart"/>
            <w:noWrap w:val="0"/>
            <w:vAlign w:val="center"/>
          </w:tcPr>
          <w:p w14:paraId="5FFB6D55">
            <w:pPr>
              <w:keepNext w:val="0"/>
              <w:keepLines w:val="0"/>
              <w:pageBreakBefore w:val="0"/>
              <w:widowControl w:val="0"/>
              <w:shd w:val="clear" w:color="auto" w:fill="auto"/>
              <w:kinsoku/>
              <w:wordWrap/>
              <w:overflowPunct/>
              <w:autoSpaceDE/>
              <w:autoSpaceDN/>
              <w:bidi w:val="0"/>
              <w:adjustRightInd/>
              <w:snapToGrid/>
              <w:spacing w:line="440" w:lineRule="exact"/>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技术建议书</w:t>
            </w:r>
          </w:p>
        </w:tc>
        <w:tc>
          <w:tcPr>
            <w:tcW w:w="615" w:type="dxa"/>
            <w:gridSpan w:val="2"/>
            <w:vMerge w:val="restart"/>
            <w:noWrap w:val="0"/>
            <w:vAlign w:val="center"/>
          </w:tcPr>
          <w:p w14:paraId="5F3CF34B">
            <w:pPr>
              <w:keepNext w:val="0"/>
              <w:keepLines w:val="0"/>
              <w:pageBreakBefore w:val="0"/>
              <w:widowControl w:val="0"/>
              <w:shd w:val="clear" w:color="auto" w:fill="auto"/>
              <w:kinsoku/>
              <w:wordWrap/>
              <w:overflowPunct/>
              <w:autoSpaceDE/>
              <w:autoSpaceDN/>
              <w:bidi w:val="0"/>
              <w:adjustRightInd/>
              <w:snapToGrid/>
              <w:spacing w:line="440" w:lineRule="exact"/>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35</w:t>
            </w:r>
            <w:r>
              <w:rPr>
                <w:rFonts w:hint="eastAsia" w:ascii="宋体" w:hAnsi="宋体" w:eastAsia="宋体" w:cs="宋体"/>
                <w:color w:val="auto"/>
                <w:sz w:val="21"/>
                <w:szCs w:val="21"/>
                <w:highlight w:val="none"/>
              </w:rPr>
              <w:t>分</w:t>
            </w:r>
          </w:p>
        </w:tc>
        <w:tc>
          <w:tcPr>
            <w:tcW w:w="1532" w:type="dxa"/>
            <w:gridSpan w:val="3"/>
            <w:noWrap w:val="0"/>
            <w:vAlign w:val="center"/>
          </w:tcPr>
          <w:p w14:paraId="6832FDAE">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对招标项目设计的理解和总体设计思路</w:t>
            </w:r>
          </w:p>
        </w:tc>
        <w:tc>
          <w:tcPr>
            <w:tcW w:w="699" w:type="dxa"/>
            <w:gridSpan w:val="2"/>
            <w:noWrap w:val="0"/>
            <w:vAlign w:val="center"/>
          </w:tcPr>
          <w:p w14:paraId="6647924B">
            <w:pPr>
              <w:keepNext w:val="0"/>
              <w:keepLines w:val="0"/>
              <w:pageBreakBefore w:val="0"/>
              <w:widowControl w:val="0"/>
              <w:shd w:val="clear" w:color="auto" w:fill="auto"/>
              <w:kinsoku/>
              <w:wordWrap/>
              <w:overflowPunct/>
              <w:autoSpaceDE/>
              <w:autoSpaceDN/>
              <w:bidi w:val="0"/>
              <w:adjustRightInd/>
              <w:snapToGrid/>
              <w:spacing w:line="440" w:lineRule="exact"/>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10</w:t>
            </w:r>
            <w:r>
              <w:rPr>
                <w:rFonts w:hint="eastAsia" w:ascii="宋体" w:hAnsi="宋体" w:eastAsia="宋体" w:cs="宋体"/>
                <w:color w:val="auto"/>
                <w:sz w:val="21"/>
                <w:szCs w:val="21"/>
                <w:highlight w:val="none"/>
              </w:rPr>
              <w:t>分</w:t>
            </w:r>
          </w:p>
        </w:tc>
        <w:tc>
          <w:tcPr>
            <w:tcW w:w="4584" w:type="dxa"/>
            <w:gridSpan w:val="2"/>
            <w:noWrap w:val="0"/>
            <w:vAlign w:val="center"/>
          </w:tcPr>
          <w:p w14:paraId="32499843">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根据对设计工作范围和任务描述准确程度和总体设计思路清晰、切实可行程度</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得</w:t>
            </w:r>
            <w:r>
              <w:rPr>
                <w:rFonts w:hint="eastAsia" w:ascii="宋体" w:hAnsi="宋体" w:cs="宋体"/>
                <w:color w:val="auto"/>
                <w:sz w:val="21"/>
                <w:szCs w:val="21"/>
                <w:highlight w:val="none"/>
                <w:u w:val="singl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10</w:t>
            </w:r>
            <w:r>
              <w:rPr>
                <w:rFonts w:hint="eastAsia" w:ascii="宋体" w:hAnsi="宋体" w:eastAsia="宋体" w:cs="宋体"/>
                <w:color w:val="auto"/>
                <w:sz w:val="21"/>
                <w:szCs w:val="21"/>
                <w:highlight w:val="none"/>
              </w:rPr>
              <w:t>分。</w:t>
            </w:r>
          </w:p>
        </w:tc>
      </w:tr>
      <w:tr w14:paraId="01DF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3" w:type="dxa"/>
          <w:cantSplit/>
          <w:trHeight w:val="25" w:hRule="atLeast"/>
          <w:jc w:val="center"/>
        </w:trPr>
        <w:tc>
          <w:tcPr>
            <w:tcW w:w="804" w:type="dxa"/>
            <w:gridSpan w:val="2"/>
            <w:vMerge w:val="continue"/>
            <w:noWrap w:val="0"/>
            <w:vAlign w:val="center"/>
          </w:tcPr>
          <w:p w14:paraId="7BD1EEB7">
            <w:pPr>
              <w:keepNext w:val="0"/>
              <w:keepLines w:val="0"/>
              <w:pageBreakBefore w:val="0"/>
              <w:widowControl w:val="0"/>
              <w:shd w:val="clear" w:color="auto" w:fill="auto"/>
              <w:kinsoku/>
              <w:wordWrap/>
              <w:overflowPunct/>
              <w:autoSpaceDE/>
              <w:autoSpaceDN/>
              <w:bidi w:val="0"/>
              <w:snapToGrid/>
              <w:spacing w:line="440" w:lineRule="exact"/>
              <w:jc w:val="both"/>
              <w:textAlignment w:val="baseline"/>
              <w:rPr>
                <w:rFonts w:hint="eastAsia" w:ascii="宋体" w:hAnsi="宋体" w:eastAsia="宋体" w:cs="宋体"/>
                <w:color w:val="auto"/>
                <w:sz w:val="21"/>
                <w:szCs w:val="21"/>
                <w:highlight w:val="none"/>
              </w:rPr>
            </w:pPr>
          </w:p>
        </w:tc>
        <w:tc>
          <w:tcPr>
            <w:tcW w:w="980" w:type="dxa"/>
            <w:gridSpan w:val="2"/>
            <w:vMerge w:val="continue"/>
            <w:noWrap w:val="0"/>
            <w:vAlign w:val="center"/>
          </w:tcPr>
          <w:p w14:paraId="7A1F380A">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p>
        </w:tc>
        <w:tc>
          <w:tcPr>
            <w:tcW w:w="615" w:type="dxa"/>
            <w:gridSpan w:val="2"/>
            <w:vMerge w:val="continue"/>
            <w:noWrap w:val="0"/>
            <w:vAlign w:val="center"/>
          </w:tcPr>
          <w:p w14:paraId="1EADAD7C">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p>
        </w:tc>
        <w:tc>
          <w:tcPr>
            <w:tcW w:w="1532" w:type="dxa"/>
            <w:gridSpan w:val="3"/>
            <w:noWrap w:val="0"/>
            <w:vAlign w:val="center"/>
          </w:tcPr>
          <w:p w14:paraId="07487BE2">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招标项目设计的特点、关键技术问题的认识及其对策措施</w:t>
            </w:r>
          </w:p>
        </w:tc>
        <w:tc>
          <w:tcPr>
            <w:tcW w:w="699" w:type="dxa"/>
            <w:gridSpan w:val="2"/>
            <w:noWrap w:val="0"/>
            <w:vAlign w:val="center"/>
          </w:tcPr>
          <w:p w14:paraId="5A459087">
            <w:pPr>
              <w:keepNext w:val="0"/>
              <w:keepLines w:val="0"/>
              <w:pageBreakBefore w:val="0"/>
              <w:widowControl w:val="0"/>
              <w:shd w:val="clear" w:color="auto" w:fill="auto"/>
              <w:kinsoku/>
              <w:wordWrap/>
              <w:overflowPunct/>
              <w:autoSpaceDE/>
              <w:autoSpaceDN/>
              <w:bidi w:val="0"/>
              <w:adjustRightInd/>
              <w:snapToGrid/>
              <w:spacing w:line="440" w:lineRule="exact"/>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10</w:t>
            </w:r>
            <w:r>
              <w:rPr>
                <w:rFonts w:hint="eastAsia" w:ascii="宋体" w:hAnsi="宋体" w:eastAsia="宋体" w:cs="宋体"/>
                <w:color w:val="auto"/>
                <w:sz w:val="21"/>
                <w:szCs w:val="21"/>
                <w:highlight w:val="none"/>
              </w:rPr>
              <w:t>分</w:t>
            </w:r>
          </w:p>
        </w:tc>
        <w:tc>
          <w:tcPr>
            <w:tcW w:w="4584" w:type="dxa"/>
            <w:gridSpan w:val="2"/>
            <w:noWrap w:val="0"/>
            <w:vAlign w:val="center"/>
          </w:tcPr>
          <w:p w14:paraId="10B0DCF7">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根据对项目特点、关键技术问题的把握程度和初步设计、施工图设计应着重解决的技术问题所提出处理措施的可行性程度</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得</w:t>
            </w:r>
            <w:r>
              <w:rPr>
                <w:rFonts w:hint="eastAsia" w:ascii="宋体" w:hAnsi="宋体" w:cs="宋体"/>
                <w:color w:val="auto"/>
                <w:sz w:val="21"/>
                <w:szCs w:val="21"/>
                <w:highlight w:val="none"/>
                <w:u w:val="single"/>
                <w:lang w:val="en-US" w:eastAsia="zh-CN"/>
              </w:rPr>
              <w:t>6</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10</w:t>
            </w:r>
            <w:r>
              <w:rPr>
                <w:rFonts w:hint="eastAsia" w:ascii="宋体" w:hAnsi="宋体" w:eastAsia="宋体" w:cs="宋体"/>
                <w:color w:val="auto"/>
                <w:sz w:val="21"/>
                <w:szCs w:val="21"/>
                <w:highlight w:val="none"/>
              </w:rPr>
              <w:t>分。</w:t>
            </w:r>
          </w:p>
        </w:tc>
      </w:tr>
      <w:tr w14:paraId="34E38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3" w:type="dxa"/>
          <w:cantSplit/>
          <w:trHeight w:val="25" w:hRule="atLeast"/>
          <w:jc w:val="center"/>
        </w:trPr>
        <w:tc>
          <w:tcPr>
            <w:tcW w:w="804" w:type="dxa"/>
            <w:gridSpan w:val="2"/>
            <w:vMerge w:val="continue"/>
            <w:noWrap w:val="0"/>
            <w:vAlign w:val="center"/>
          </w:tcPr>
          <w:p w14:paraId="6353B82D">
            <w:pPr>
              <w:keepNext w:val="0"/>
              <w:keepLines w:val="0"/>
              <w:pageBreakBefore w:val="0"/>
              <w:widowControl w:val="0"/>
              <w:shd w:val="clear" w:color="auto" w:fill="auto"/>
              <w:kinsoku/>
              <w:wordWrap/>
              <w:overflowPunct/>
              <w:autoSpaceDE/>
              <w:autoSpaceDN/>
              <w:bidi w:val="0"/>
              <w:snapToGrid/>
              <w:spacing w:line="440" w:lineRule="exact"/>
              <w:jc w:val="both"/>
              <w:textAlignment w:val="baseline"/>
              <w:rPr>
                <w:rFonts w:hint="eastAsia" w:ascii="宋体" w:hAnsi="宋体" w:eastAsia="宋体" w:cs="宋体"/>
                <w:color w:val="auto"/>
                <w:sz w:val="21"/>
                <w:szCs w:val="21"/>
                <w:highlight w:val="none"/>
              </w:rPr>
            </w:pPr>
          </w:p>
        </w:tc>
        <w:tc>
          <w:tcPr>
            <w:tcW w:w="980" w:type="dxa"/>
            <w:gridSpan w:val="2"/>
            <w:vMerge w:val="continue"/>
            <w:noWrap w:val="0"/>
            <w:vAlign w:val="center"/>
          </w:tcPr>
          <w:p w14:paraId="39F9C929">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p>
        </w:tc>
        <w:tc>
          <w:tcPr>
            <w:tcW w:w="615" w:type="dxa"/>
            <w:gridSpan w:val="2"/>
            <w:vMerge w:val="continue"/>
            <w:noWrap w:val="0"/>
            <w:vAlign w:val="center"/>
          </w:tcPr>
          <w:p w14:paraId="2EBE78B2">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p>
        </w:tc>
        <w:tc>
          <w:tcPr>
            <w:tcW w:w="1532" w:type="dxa"/>
            <w:gridSpan w:val="3"/>
            <w:noWrap w:val="0"/>
            <w:vAlign w:val="center"/>
          </w:tcPr>
          <w:p w14:paraId="30B5133A">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设计工作量及计划安排</w:t>
            </w:r>
          </w:p>
        </w:tc>
        <w:tc>
          <w:tcPr>
            <w:tcW w:w="699" w:type="dxa"/>
            <w:gridSpan w:val="2"/>
            <w:noWrap w:val="0"/>
            <w:vAlign w:val="center"/>
          </w:tcPr>
          <w:p w14:paraId="71C4678B">
            <w:pPr>
              <w:keepNext w:val="0"/>
              <w:keepLines w:val="0"/>
              <w:pageBreakBefore w:val="0"/>
              <w:widowControl w:val="0"/>
              <w:shd w:val="clear" w:color="auto" w:fill="auto"/>
              <w:kinsoku/>
              <w:wordWrap/>
              <w:overflowPunct/>
              <w:autoSpaceDE/>
              <w:autoSpaceDN/>
              <w:bidi w:val="0"/>
              <w:adjustRightInd/>
              <w:snapToGrid/>
              <w:spacing w:line="440" w:lineRule="exact"/>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分</w:t>
            </w:r>
          </w:p>
        </w:tc>
        <w:tc>
          <w:tcPr>
            <w:tcW w:w="4584" w:type="dxa"/>
            <w:gridSpan w:val="2"/>
            <w:noWrap w:val="0"/>
            <w:vAlign w:val="center"/>
          </w:tcPr>
          <w:p w14:paraId="7AD14E94">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根据工作计划实施、安排的合理程度，得</w:t>
            </w:r>
            <w:r>
              <w:rPr>
                <w:rFonts w:hint="eastAsia" w:ascii="宋体" w:hAnsi="宋体" w:cs="宋体"/>
                <w:color w:val="auto"/>
                <w:sz w:val="21"/>
                <w:szCs w:val="21"/>
                <w:highlight w:val="none"/>
                <w:u w:val="singl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分。</w:t>
            </w:r>
          </w:p>
        </w:tc>
      </w:tr>
      <w:tr w14:paraId="318D8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3" w:type="dxa"/>
          <w:cantSplit/>
          <w:trHeight w:val="1471" w:hRule="atLeast"/>
          <w:jc w:val="center"/>
        </w:trPr>
        <w:tc>
          <w:tcPr>
            <w:tcW w:w="804" w:type="dxa"/>
            <w:gridSpan w:val="2"/>
            <w:vMerge w:val="continue"/>
            <w:noWrap w:val="0"/>
            <w:vAlign w:val="center"/>
          </w:tcPr>
          <w:p w14:paraId="58BC9B63">
            <w:pPr>
              <w:keepNext w:val="0"/>
              <w:keepLines w:val="0"/>
              <w:pageBreakBefore w:val="0"/>
              <w:widowControl w:val="0"/>
              <w:shd w:val="clear" w:color="auto" w:fill="auto"/>
              <w:kinsoku/>
              <w:wordWrap/>
              <w:overflowPunct/>
              <w:autoSpaceDE/>
              <w:autoSpaceDN/>
              <w:bidi w:val="0"/>
              <w:snapToGrid/>
              <w:spacing w:line="440" w:lineRule="exact"/>
              <w:jc w:val="both"/>
              <w:textAlignment w:val="baseline"/>
              <w:rPr>
                <w:rFonts w:hint="eastAsia" w:ascii="宋体" w:hAnsi="宋体" w:eastAsia="宋体" w:cs="宋体"/>
                <w:color w:val="auto"/>
                <w:sz w:val="21"/>
                <w:szCs w:val="21"/>
                <w:highlight w:val="none"/>
              </w:rPr>
            </w:pPr>
          </w:p>
        </w:tc>
        <w:tc>
          <w:tcPr>
            <w:tcW w:w="980" w:type="dxa"/>
            <w:gridSpan w:val="2"/>
            <w:vMerge w:val="continue"/>
            <w:noWrap w:val="0"/>
            <w:vAlign w:val="center"/>
          </w:tcPr>
          <w:p w14:paraId="134A43AD">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p>
        </w:tc>
        <w:tc>
          <w:tcPr>
            <w:tcW w:w="615" w:type="dxa"/>
            <w:gridSpan w:val="2"/>
            <w:vMerge w:val="continue"/>
            <w:noWrap w:val="0"/>
            <w:vAlign w:val="center"/>
          </w:tcPr>
          <w:p w14:paraId="5699B189">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u w:val="single"/>
              </w:rPr>
            </w:pPr>
          </w:p>
        </w:tc>
        <w:tc>
          <w:tcPr>
            <w:tcW w:w="1532" w:type="dxa"/>
            <w:gridSpan w:val="3"/>
            <w:noWrap w:val="0"/>
            <w:vAlign w:val="center"/>
          </w:tcPr>
          <w:p w14:paraId="4B95934B">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设计的质量保证措施、进度保证措施</w:t>
            </w:r>
          </w:p>
        </w:tc>
        <w:tc>
          <w:tcPr>
            <w:tcW w:w="699" w:type="dxa"/>
            <w:gridSpan w:val="2"/>
            <w:noWrap w:val="0"/>
            <w:vAlign w:val="center"/>
          </w:tcPr>
          <w:p w14:paraId="0ADD4BD5">
            <w:pPr>
              <w:keepNext w:val="0"/>
              <w:keepLines w:val="0"/>
              <w:pageBreakBefore w:val="0"/>
              <w:widowControl w:val="0"/>
              <w:shd w:val="clear" w:color="auto" w:fill="auto"/>
              <w:kinsoku/>
              <w:wordWrap/>
              <w:overflowPunct/>
              <w:autoSpaceDE/>
              <w:autoSpaceDN/>
              <w:bidi w:val="0"/>
              <w:adjustRightInd/>
              <w:snapToGrid/>
              <w:spacing w:line="440" w:lineRule="exact"/>
              <w:jc w:val="center"/>
              <w:textAlignment w:val="baseline"/>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分</w:t>
            </w:r>
          </w:p>
        </w:tc>
        <w:tc>
          <w:tcPr>
            <w:tcW w:w="4584" w:type="dxa"/>
            <w:gridSpan w:val="2"/>
            <w:noWrap w:val="0"/>
            <w:vAlign w:val="center"/>
          </w:tcPr>
          <w:p w14:paraId="64680D47">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根据进度和质量保证措施的可实施性，得</w:t>
            </w:r>
            <w:r>
              <w:rPr>
                <w:rFonts w:hint="eastAsia" w:ascii="宋体" w:hAnsi="宋体" w:cs="宋体"/>
                <w:color w:val="auto"/>
                <w:sz w:val="21"/>
                <w:szCs w:val="21"/>
                <w:highlight w:val="none"/>
                <w:u w:val="singl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分。</w:t>
            </w:r>
          </w:p>
        </w:tc>
      </w:tr>
      <w:tr w14:paraId="7EF4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3" w:type="dxa"/>
          <w:cantSplit/>
          <w:trHeight w:val="1324" w:hRule="atLeast"/>
          <w:jc w:val="center"/>
        </w:trPr>
        <w:tc>
          <w:tcPr>
            <w:tcW w:w="804" w:type="dxa"/>
            <w:gridSpan w:val="2"/>
            <w:vMerge w:val="continue"/>
            <w:noWrap w:val="0"/>
            <w:vAlign w:val="center"/>
          </w:tcPr>
          <w:p w14:paraId="1697E901">
            <w:pPr>
              <w:keepNext w:val="0"/>
              <w:keepLines w:val="0"/>
              <w:pageBreakBefore w:val="0"/>
              <w:widowControl w:val="0"/>
              <w:shd w:val="clear" w:color="auto" w:fill="auto"/>
              <w:kinsoku/>
              <w:wordWrap/>
              <w:overflowPunct/>
              <w:autoSpaceDE/>
              <w:autoSpaceDN/>
              <w:bidi w:val="0"/>
              <w:snapToGrid/>
              <w:spacing w:line="440" w:lineRule="exact"/>
              <w:jc w:val="both"/>
              <w:textAlignment w:val="baseline"/>
              <w:rPr>
                <w:rFonts w:hint="eastAsia" w:ascii="宋体" w:hAnsi="宋体" w:eastAsia="宋体" w:cs="宋体"/>
                <w:color w:val="auto"/>
                <w:sz w:val="21"/>
                <w:szCs w:val="21"/>
                <w:highlight w:val="none"/>
              </w:rPr>
            </w:pPr>
          </w:p>
        </w:tc>
        <w:tc>
          <w:tcPr>
            <w:tcW w:w="980" w:type="dxa"/>
            <w:gridSpan w:val="2"/>
            <w:vMerge w:val="continue"/>
            <w:noWrap w:val="0"/>
            <w:vAlign w:val="center"/>
          </w:tcPr>
          <w:p w14:paraId="5E7603ED">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p>
        </w:tc>
        <w:tc>
          <w:tcPr>
            <w:tcW w:w="615" w:type="dxa"/>
            <w:gridSpan w:val="2"/>
            <w:vMerge w:val="continue"/>
            <w:noWrap w:val="0"/>
            <w:vAlign w:val="center"/>
          </w:tcPr>
          <w:p w14:paraId="75833A12">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u w:val="single"/>
              </w:rPr>
            </w:pPr>
          </w:p>
        </w:tc>
        <w:tc>
          <w:tcPr>
            <w:tcW w:w="1532" w:type="dxa"/>
            <w:gridSpan w:val="3"/>
            <w:noWrap w:val="0"/>
            <w:vAlign w:val="center"/>
          </w:tcPr>
          <w:p w14:paraId="55AC3F6A">
            <w:pPr>
              <w:keepNext w:val="0"/>
              <w:keepLines w:val="0"/>
              <w:pageBreakBefore w:val="0"/>
              <w:widowControl w:val="0"/>
              <w:shd w:val="clear" w:color="auto" w:fill="auto"/>
              <w:kinsoku/>
              <w:wordWrap/>
              <w:overflow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后续服务的安排及保证措施</w:t>
            </w:r>
          </w:p>
        </w:tc>
        <w:tc>
          <w:tcPr>
            <w:tcW w:w="699" w:type="dxa"/>
            <w:gridSpan w:val="2"/>
            <w:noWrap w:val="0"/>
            <w:vAlign w:val="center"/>
          </w:tcPr>
          <w:p w14:paraId="506C62CC">
            <w:pPr>
              <w:keepNext w:val="0"/>
              <w:keepLines w:val="0"/>
              <w:pageBreakBefore w:val="0"/>
              <w:widowControl w:val="0"/>
              <w:shd w:val="clear" w:color="auto" w:fill="auto"/>
              <w:kinsoku/>
              <w:wordWrap/>
              <w:overflowPunct/>
              <w:autoSpaceDE/>
              <w:autoSpaceDN/>
              <w:bidi w:val="0"/>
              <w:adjustRightInd/>
              <w:snapToGrid/>
              <w:spacing w:line="440" w:lineRule="exact"/>
              <w:jc w:val="center"/>
              <w:textAlignment w:val="baseline"/>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分</w:t>
            </w:r>
          </w:p>
        </w:tc>
        <w:tc>
          <w:tcPr>
            <w:tcW w:w="4584" w:type="dxa"/>
            <w:gridSpan w:val="2"/>
            <w:noWrap w:val="0"/>
            <w:vAlign w:val="center"/>
          </w:tcPr>
          <w:p w14:paraId="179D68B1">
            <w:pPr>
              <w:keepNext w:val="0"/>
              <w:keepLines w:val="0"/>
              <w:pageBreakBefore w:val="0"/>
              <w:widowControl w:val="0"/>
              <w:shd w:val="clear" w:color="auto" w:fill="auto"/>
              <w:kinsoku/>
              <w:wordWrap/>
              <w:overflowPunct/>
              <w:topLinePunct/>
              <w:autoSpaceDE/>
              <w:autoSpaceDN/>
              <w:bidi w:val="0"/>
              <w:adjustRightInd/>
              <w:snapToGrid/>
              <w:spacing w:line="440" w:lineRule="exact"/>
              <w:jc w:val="both"/>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根据承诺的后续服务机构人员的完善程度，得</w:t>
            </w:r>
            <w:r>
              <w:rPr>
                <w:rFonts w:hint="eastAsia" w:ascii="宋体" w:hAnsi="宋体" w:cs="宋体"/>
                <w:color w:val="auto"/>
                <w:sz w:val="21"/>
                <w:szCs w:val="21"/>
                <w:highlight w:val="none"/>
                <w:u w:val="singl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分。</w:t>
            </w:r>
          </w:p>
        </w:tc>
      </w:tr>
      <w:tr w14:paraId="4CC9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63" w:type="dxa"/>
          <w:trHeight w:val="2407" w:hRule="atLeast"/>
          <w:jc w:val="center"/>
        </w:trPr>
        <w:tc>
          <w:tcPr>
            <w:tcW w:w="804" w:type="dxa"/>
            <w:gridSpan w:val="2"/>
            <w:noWrap w:val="0"/>
            <w:vAlign w:val="center"/>
          </w:tcPr>
          <w:p w14:paraId="5B946986">
            <w:pPr>
              <w:keepNext w:val="0"/>
              <w:keepLines w:val="0"/>
              <w:pageBreakBefore w:val="0"/>
              <w:widowControl w:val="0"/>
              <w:shd w:val="clear" w:color="auto" w:fill="auto"/>
              <w:kinsoku/>
              <w:wordWrap/>
              <w:overflowPunct/>
              <w:topLinePunct w:val="0"/>
              <w:bidi w:val="0"/>
              <w:adjustRightInd/>
              <w:snapToGrid/>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w:t>
            </w:r>
          </w:p>
          <w:p w14:paraId="14B479AE">
            <w:pPr>
              <w:keepNext w:val="0"/>
              <w:keepLines w:val="0"/>
              <w:pageBreakBefore w:val="0"/>
              <w:widowControl w:val="0"/>
              <w:shd w:val="clear" w:color="auto" w:fill="auto"/>
              <w:kinsoku/>
              <w:wordWrap/>
              <w:overflowPunct/>
              <w:topLinePunct w:val="0"/>
              <w:bidi w:val="0"/>
              <w:adjustRightInd/>
              <w:snapToGrid/>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980" w:type="dxa"/>
            <w:gridSpan w:val="2"/>
            <w:noWrap w:val="0"/>
            <w:vAlign w:val="center"/>
          </w:tcPr>
          <w:p w14:paraId="725DF6FC">
            <w:pPr>
              <w:keepNext w:val="0"/>
              <w:keepLines w:val="0"/>
              <w:pageBreakBefore w:val="0"/>
              <w:widowControl w:val="0"/>
              <w:shd w:val="clear" w:color="auto" w:fill="auto"/>
              <w:kinsoku/>
              <w:wordWrap/>
              <w:overflowPunct/>
              <w:topLinePunct w:val="0"/>
              <w:bidi w:val="0"/>
              <w:adjustRightInd/>
              <w:snapToGrid/>
              <w:spacing w:line="44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w:t>
            </w:r>
          </w:p>
          <w:p w14:paraId="0D765241">
            <w:pPr>
              <w:keepNext w:val="0"/>
              <w:keepLines w:val="0"/>
              <w:pageBreakBefore w:val="0"/>
              <w:widowControl w:val="0"/>
              <w:shd w:val="clear" w:color="auto" w:fill="auto"/>
              <w:kinsoku/>
              <w:wordWrap/>
              <w:overflowPunct/>
              <w:topLinePunct w:val="0"/>
              <w:bidi w:val="0"/>
              <w:adjustRightInd/>
              <w:snapToGrid/>
              <w:spacing w:line="44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w:t>
            </w:r>
          </w:p>
        </w:tc>
        <w:tc>
          <w:tcPr>
            <w:tcW w:w="615" w:type="dxa"/>
            <w:gridSpan w:val="2"/>
            <w:noWrap w:val="0"/>
            <w:vAlign w:val="center"/>
          </w:tcPr>
          <w:p w14:paraId="2FA14BEC">
            <w:pPr>
              <w:keepNext w:val="0"/>
              <w:keepLines w:val="0"/>
              <w:pageBreakBefore w:val="0"/>
              <w:widowControl w:val="0"/>
              <w:shd w:val="clear" w:color="auto" w:fill="auto"/>
              <w:kinsoku/>
              <w:wordWrap/>
              <w:overflowPunct/>
              <w:topLinePunct w:val="0"/>
              <w:bidi w:val="0"/>
              <w:adjustRightInd/>
              <w:snapToGrid/>
              <w:spacing w:line="440" w:lineRule="exact"/>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20</w:t>
            </w:r>
            <w:r>
              <w:rPr>
                <w:rFonts w:hint="eastAsia" w:ascii="宋体" w:hAnsi="宋体" w:eastAsia="宋体" w:cs="宋体"/>
                <w:color w:val="auto"/>
                <w:sz w:val="21"/>
                <w:szCs w:val="21"/>
                <w:highlight w:val="none"/>
              </w:rPr>
              <w:t>分</w:t>
            </w:r>
          </w:p>
        </w:tc>
        <w:tc>
          <w:tcPr>
            <w:tcW w:w="1532" w:type="dxa"/>
            <w:gridSpan w:val="3"/>
            <w:noWrap w:val="0"/>
            <w:vAlign w:val="center"/>
          </w:tcPr>
          <w:p w14:paraId="58B5B263">
            <w:pPr>
              <w:keepNext w:val="0"/>
              <w:keepLines w:val="0"/>
              <w:pageBreakBefore w:val="0"/>
              <w:widowControl w:val="0"/>
              <w:shd w:val="clear" w:color="auto" w:fill="auto"/>
              <w:kinsoku/>
              <w:wordWrap/>
              <w:overflowPunct/>
              <w:topLinePunct w:val="0"/>
              <w:bidi w:val="0"/>
              <w:adjustRightInd/>
              <w:snapToGrid/>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项目负责人</w:t>
            </w:r>
          </w:p>
          <w:p w14:paraId="0356D5BF">
            <w:pPr>
              <w:keepNext w:val="0"/>
              <w:keepLines w:val="0"/>
              <w:pageBreakBefore w:val="0"/>
              <w:widowControl w:val="0"/>
              <w:shd w:val="clear" w:color="auto" w:fill="auto"/>
              <w:kinsoku/>
              <w:wordWrap/>
              <w:overflowPunct/>
              <w:topLinePunct w:val="0"/>
              <w:bidi w:val="0"/>
              <w:adjustRightInd/>
              <w:snapToGrid/>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任职资格</w:t>
            </w:r>
          </w:p>
          <w:p w14:paraId="04579E42">
            <w:pPr>
              <w:keepNext w:val="0"/>
              <w:keepLines w:val="0"/>
              <w:pageBreakBefore w:val="0"/>
              <w:widowControl w:val="0"/>
              <w:shd w:val="clear" w:color="auto" w:fill="auto"/>
              <w:kinsoku/>
              <w:wordWrap/>
              <w:overflowPunct/>
              <w:topLinePunct w:val="0"/>
              <w:bidi w:val="0"/>
              <w:adjustRightInd/>
              <w:snapToGrid/>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与业绩</w:t>
            </w:r>
          </w:p>
        </w:tc>
        <w:tc>
          <w:tcPr>
            <w:tcW w:w="699" w:type="dxa"/>
            <w:gridSpan w:val="2"/>
            <w:noWrap w:val="0"/>
            <w:vAlign w:val="center"/>
          </w:tcPr>
          <w:p w14:paraId="054F5740">
            <w:pPr>
              <w:keepNext w:val="0"/>
              <w:keepLines w:val="0"/>
              <w:pageBreakBefore w:val="0"/>
              <w:widowControl w:val="0"/>
              <w:shd w:val="clear" w:color="auto" w:fill="auto"/>
              <w:kinsoku/>
              <w:wordWrap/>
              <w:overflowPunct/>
              <w:topLinePunct w:val="0"/>
              <w:bidi w:val="0"/>
              <w:adjustRightInd/>
              <w:snapToGrid/>
              <w:spacing w:line="44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20</w:t>
            </w:r>
            <w:r>
              <w:rPr>
                <w:rFonts w:hint="eastAsia" w:ascii="宋体" w:hAnsi="宋体" w:eastAsia="宋体" w:cs="宋体"/>
                <w:color w:val="auto"/>
                <w:sz w:val="21"/>
                <w:szCs w:val="21"/>
                <w:highlight w:val="none"/>
              </w:rPr>
              <w:t>分</w:t>
            </w:r>
          </w:p>
        </w:tc>
        <w:tc>
          <w:tcPr>
            <w:tcW w:w="4584" w:type="dxa"/>
            <w:gridSpan w:val="2"/>
            <w:noWrap w:val="0"/>
            <w:vAlign w:val="center"/>
          </w:tcPr>
          <w:p w14:paraId="2CF489AF">
            <w:pPr>
              <w:keepNext w:val="0"/>
              <w:keepLines w:val="0"/>
              <w:pageBreakBefore w:val="0"/>
              <w:widowControl w:val="0"/>
              <w:shd w:val="clear" w:color="auto" w:fill="auto"/>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满足资格审查条件（项目负责人最低要求）得</w:t>
            </w:r>
            <w:r>
              <w:rPr>
                <w:rFonts w:hint="eastAsia" w:ascii="宋体" w:hAnsi="宋体" w:eastAsia="宋体" w:cs="宋体"/>
                <w:color w:val="auto"/>
                <w:kern w:val="2"/>
                <w:sz w:val="21"/>
                <w:szCs w:val="21"/>
                <w:highlight w:val="none"/>
                <w:lang w:eastAsia="zh-CN"/>
              </w:rPr>
              <w:t>基本法</w:t>
            </w:r>
            <w:r>
              <w:rPr>
                <w:rFonts w:hint="eastAsia" w:ascii="宋体" w:hAnsi="宋体" w:eastAsia="宋体" w:cs="宋体"/>
                <w:color w:val="auto"/>
                <w:kern w:val="2"/>
                <w:sz w:val="21"/>
                <w:szCs w:val="21"/>
                <w:highlight w:val="none"/>
              </w:rPr>
              <w:t>12分，</w:t>
            </w:r>
            <w:r>
              <w:rPr>
                <w:rFonts w:hint="eastAsia" w:ascii="宋体" w:hAnsi="宋体" w:eastAsia="宋体" w:cs="宋体"/>
                <w:color w:val="auto"/>
                <w:kern w:val="2"/>
                <w:sz w:val="21"/>
                <w:szCs w:val="21"/>
                <w:highlight w:val="none"/>
                <w:lang w:eastAsia="zh-CN"/>
              </w:rPr>
              <w:t>此外，满足资格审查最低条件基础上</w:t>
            </w:r>
            <w:r>
              <w:rPr>
                <w:rFonts w:hint="eastAsia" w:ascii="宋体" w:hAnsi="宋体" w:eastAsia="宋体" w:cs="宋体"/>
                <w:color w:val="auto"/>
                <w:kern w:val="2"/>
                <w:sz w:val="21"/>
                <w:szCs w:val="21"/>
                <w:highlight w:val="none"/>
              </w:rPr>
              <w:t>：</w:t>
            </w:r>
          </w:p>
          <w:p w14:paraId="2CCC6C57">
            <w:pPr>
              <w:keepNext w:val="0"/>
              <w:keepLines w:val="0"/>
              <w:pageBreakBefore w:val="0"/>
              <w:widowControl w:val="0"/>
              <w:shd w:val="clear" w:color="auto" w:fill="auto"/>
              <w:kinsoku/>
              <w:wordWrap/>
              <w:overflowPunct/>
              <w:topLinePunct w:val="0"/>
              <w:autoSpaceDE w:val="0"/>
              <w:autoSpaceDN w:val="0"/>
              <w:bidi w:val="0"/>
              <w:adjustRightInd/>
              <w:snapToGrid/>
              <w:spacing w:line="440" w:lineRule="exac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项目负责人每增加担任过1个合同段类似工程的设计工作的项目负责人岗位工作经验的加</w:t>
            </w:r>
            <w:r>
              <w:rPr>
                <w:rFonts w:hint="eastAsia" w:ascii="宋体" w:hAnsi="宋体" w:cs="宋体"/>
                <w:color w:val="auto"/>
                <w:kern w:val="2"/>
                <w:sz w:val="21"/>
                <w:szCs w:val="21"/>
                <w:highlight w:val="none"/>
                <w:lang w:val="en-US" w:eastAsia="zh-CN"/>
              </w:rPr>
              <w:t>8</w:t>
            </w:r>
            <w:r>
              <w:rPr>
                <w:rFonts w:hint="eastAsia" w:ascii="宋体" w:hAnsi="宋体" w:eastAsia="宋体" w:cs="宋体"/>
                <w:color w:val="auto"/>
                <w:kern w:val="2"/>
                <w:sz w:val="21"/>
                <w:szCs w:val="21"/>
                <w:highlight w:val="none"/>
              </w:rPr>
              <w:t>分，最高加8分。</w:t>
            </w:r>
          </w:p>
        </w:tc>
      </w:tr>
      <w:tr w14:paraId="4489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3" w:type="dxa"/>
          <w:trHeight w:val="3731" w:hRule="atLeast"/>
          <w:jc w:val="center"/>
        </w:trPr>
        <w:tc>
          <w:tcPr>
            <w:tcW w:w="801" w:type="dxa"/>
            <w:gridSpan w:val="2"/>
            <w:noWrap w:val="0"/>
            <w:vAlign w:val="center"/>
          </w:tcPr>
          <w:p w14:paraId="5C064504">
            <w:pPr>
              <w:keepNext w:val="0"/>
              <w:keepLines w:val="0"/>
              <w:pageBreakBefore w:val="0"/>
              <w:widowControl w:val="0"/>
              <w:shd w:val="clear" w:color="auto" w:fill="auto"/>
              <w:kinsoku/>
              <w:wordWrap/>
              <w:overflowPunct/>
              <w:topLinePunct w:val="0"/>
              <w:bidi w:val="0"/>
              <w:adjustRightInd/>
              <w:snapToGrid/>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2.2.4（3）</w:t>
            </w:r>
          </w:p>
        </w:tc>
        <w:tc>
          <w:tcPr>
            <w:tcW w:w="1380" w:type="dxa"/>
            <w:gridSpan w:val="4"/>
            <w:noWrap w:val="0"/>
            <w:vAlign w:val="center"/>
          </w:tcPr>
          <w:p w14:paraId="54375192">
            <w:pPr>
              <w:keepNext w:val="0"/>
              <w:keepLines w:val="0"/>
              <w:pageBreakBefore w:val="0"/>
              <w:widowControl w:val="0"/>
              <w:shd w:val="clear" w:color="auto" w:fill="auto"/>
              <w:kinsoku/>
              <w:wordWrap/>
              <w:overflowPunct/>
              <w:topLinePunct w:val="0"/>
              <w:bidi w:val="0"/>
              <w:adjustRightInd/>
              <w:snapToGrid/>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w:t>
            </w:r>
          </w:p>
        </w:tc>
        <w:tc>
          <w:tcPr>
            <w:tcW w:w="698" w:type="dxa"/>
            <w:gridSpan w:val="2"/>
            <w:noWrap w:val="0"/>
            <w:vAlign w:val="center"/>
          </w:tcPr>
          <w:p w14:paraId="40B752DB">
            <w:pPr>
              <w:keepNext w:val="0"/>
              <w:keepLines w:val="0"/>
              <w:pageBreakBefore w:val="0"/>
              <w:widowControl w:val="0"/>
              <w:shd w:val="clear" w:color="auto" w:fill="auto"/>
              <w:kinsoku/>
              <w:wordWrap/>
              <w:overflowPunct/>
              <w:topLinePunct w:val="0"/>
              <w:bidi w:val="0"/>
              <w:adjustRightInd/>
              <w:snapToGrid/>
              <w:spacing w:line="4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10</w:t>
            </w:r>
            <w:r>
              <w:rPr>
                <w:rFonts w:hint="eastAsia" w:ascii="宋体" w:hAnsi="宋体" w:eastAsia="宋体" w:cs="宋体"/>
                <w:color w:val="auto"/>
                <w:sz w:val="21"/>
                <w:szCs w:val="21"/>
                <w:highlight w:val="none"/>
              </w:rPr>
              <w:t>分</w:t>
            </w:r>
          </w:p>
        </w:tc>
        <w:tc>
          <w:tcPr>
            <w:tcW w:w="6355" w:type="dxa"/>
            <w:gridSpan w:val="5"/>
            <w:noWrap w:val="0"/>
            <w:vAlign w:val="center"/>
          </w:tcPr>
          <w:p w14:paraId="7CBE3404">
            <w:pPr>
              <w:keepNext w:val="0"/>
              <w:keepLines w:val="0"/>
              <w:pageBreakBefore w:val="0"/>
              <w:widowControl w:val="0"/>
              <w:shd w:val="clear" w:color="auto" w:fill="auto"/>
              <w:kinsoku/>
              <w:wordWrap/>
              <w:overflowPunct/>
              <w:topLinePunct w:val="0"/>
              <w:bidi w:val="0"/>
              <w:adjustRightInd/>
              <w:snapToGrid/>
              <w:spacing w:line="440" w:lineRule="exact"/>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评标价得分计算公式示例：</w:t>
            </w:r>
          </w:p>
          <w:p w14:paraId="23787FD4">
            <w:pPr>
              <w:keepNext w:val="0"/>
              <w:keepLines w:val="0"/>
              <w:pageBreakBefore w:val="0"/>
              <w:widowControl w:val="0"/>
              <w:shd w:val="clear" w:color="auto" w:fill="auto"/>
              <w:kinsoku/>
              <w:wordWrap/>
              <w:overflowPunct/>
              <w:topLinePunct w:val="0"/>
              <w:bidi w:val="0"/>
              <w:adjustRightInd/>
              <w:snapToGrid/>
              <w:spacing w:line="440" w:lineRule="exact"/>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（1）如果投标人的评标价&gt;评标基准价，则评标价得分＝10－偏差率×100× E</w:t>
            </w:r>
            <w:r>
              <w:rPr>
                <w:rFonts w:hint="eastAsia" w:ascii="宋体" w:hAnsi="宋体" w:eastAsia="宋体" w:cs="宋体"/>
                <w:color w:val="auto"/>
                <w:kern w:val="2"/>
                <w:sz w:val="21"/>
                <w:szCs w:val="21"/>
                <w:highlight w:val="none"/>
                <w:vertAlign w:val="subscript"/>
              </w:rPr>
              <w:t>1</w:t>
            </w:r>
            <w:r>
              <w:rPr>
                <w:rFonts w:hint="eastAsia" w:ascii="宋体" w:hAnsi="宋体" w:eastAsia="宋体" w:cs="宋体"/>
                <w:color w:val="auto"/>
                <w:kern w:val="2"/>
                <w:sz w:val="21"/>
                <w:szCs w:val="21"/>
                <w:highlight w:val="none"/>
              </w:rPr>
              <w:t>；</w:t>
            </w:r>
          </w:p>
          <w:p w14:paraId="196D4E1E">
            <w:pPr>
              <w:keepNext w:val="0"/>
              <w:keepLines w:val="0"/>
              <w:pageBreakBefore w:val="0"/>
              <w:widowControl w:val="0"/>
              <w:shd w:val="clear" w:color="auto" w:fill="auto"/>
              <w:kinsoku/>
              <w:wordWrap/>
              <w:overflowPunct/>
              <w:topLinePunct w:val="0"/>
              <w:bidi w:val="0"/>
              <w:adjustRightInd/>
              <w:snapToGrid/>
              <w:spacing w:line="440" w:lineRule="exact"/>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（2）如果投标人的评标价≤评标基准价，则评标价得分＝10＋偏差率× 100× E</w:t>
            </w:r>
            <w:r>
              <w:rPr>
                <w:rFonts w:hint="eastAsia" w:ascii="宋体" w:hAnsi="宋体" w:eastAsia="宋体" w:cs="宋体"/>
                <w:color w:val="auto"/>
                <w:kern w:val="2"/>
                <w:sz w:val="21"/>
                <w:szCs w:val="21"/>
                <w:highlight w:val="none"/>
                <w:vertAlign w:val="subscript"/>
              </w:rPr>
              <w:t>2</w:t>
            </w:r>
            <w:r>
              <w:rPr>
                <w:rFonts w:hint="eastAsia" w:ascii="宋体" w:hAnsi="宋体" w:eastAsia="宋体" w:cs="宋体"/>
                <w:color w:val="auto"/>
                <w:kern w:val="2"/>
                <w:sz w:val="21"/>
                <w:szCs w:val="21"/>
                <w:highlight w:val="none"/>
              </w:rPr>
              <w:t>。</w:t>
            </w:r>
          </w:p>
          <w:p w14:paraId="77065251">
            <w:pPr>
              <w:keepNext w:val="0"/>
              <w:keepLines w:val="0"/>
              <w:pageBreakBefore w:val="0"/>
              <w:widowControl w:val="0"/>
              <w:shd w:val="clear" w:color="auto" w:fill="auto"/>
              <w:kinsoku/>
              <w:wordWrap/>
              <w:overflowPunct/>
              <w:topLinePunct w:val="0"/>
              <w:bidi w:val="0"/>
              <w:adjustRightInd/>
              <w:snapToGrid/>
              <w:spacing w:before="120" w:beforeLines="50" w:line="440" w:lineRule="exact"/>
              <w:ind w:firstLine="159" w:firstLineChars="76"/>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其中： </w:t>
            </w:r>
          </w:p>
          <w:p w14:paraId="2A4448C4">
            <w:pPr>
              <w:keepNext w:val="0"/>
              <w:keepLines w:val="0"/>
              <w:pageBreakBefore w:val="0"/>
              <w:widowControl w:val="0"/>
              <w:shd w:val="clear" w:color="auto" w:fill="auto"/>
              <w:kinsoku/>
              <w:wordWrap/>
              <w:overflowPunct/>
              <w:topLinePunct w:val="0"/>
              <w:bidi w:val="0"/>
              <w:adjustRightInd/>
              <w:snapToGrid/>
              <w:spacing w:line="440" w:lineRule="exact"/>
              <w:ind w:firstLine="159" w:firstLineChars="76"/>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E</w:t>
            </w:r>
            <w:r>
              <w:rPr>
                <w:rFonts w:hint="eastAsia" w:ascii="宋体" w:hAnsi="宋体" w:eastAsia="宋体" w:cs="宋体"/>
                <w:color w:val="auto"/>
                <w:kern w:val="2"/>
                <w:sz w:val="21"/>
                <w:szCs w:val="21"/>
                <w:highlight w:val="none"/>
                <w:vertAlign w:val="subscript"/>
              </w:rPr>
              <w:t>1</w:t>
            </w:r>
            <w:r>
              <w:rPr>
                <w:rFonts w:hint="eastAsia" w:ascii="宋体" w:hAnsi="宋体" w:eastAsia="宋体" w:cs="宋体"/>
                <w:color w:val="auto"/>
                <w:kern w:val="2"/>
                <w:sz w:val="21"/>
                <w:szCs w:val="21"/>
                <w:highlight w:val="none"/>
              </w:rPr>
              <w:t>=0.6 是评标价每高于评标基准价一个百分点的扣分值；</w:t>
            </w:r>
          </w:p>
          <w:p w14:paraId="02D2036C">
            <w:pPr>
              <w:keepNext w:val="0"/>
              <w:keepLines w:val="0"/>
              <w:pageBreakBefore w:val="0"/>
              <w:widowControl w:val="0"/>
              <w:shd w:val="clear" w:color="auto" w:fill="auto"/>
              <w:kinsoku/>
              <w:wordWrap/>
              <w:overflowPunct/>
              <w:topLinePunct w:val="0"/>
              <w:bidi w:val="0"/>
              <w:adjustRightInd/>
              <w:snapToGrid/>
              <w:spacing w:line="440" w:lineRule="exact"/>
              <w:ind w:firstLine="159" w:firstLineChars="76"/>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E</w:t>
            </w:r>
            <w:r>
              <w:rPr>
                <w:rFonts w:hint="eastAsia" w:ascii="宋体" w:hAnsi="宋体" w:eastAsia="宋体" w:cs="宋体"/>
                <w:color w:val="auto"/>
                <w:kern w:val="2"/>
                <w:sz w:val="21"/>
                <w:szCs w:val="21"/>
                <w:highlight w:val="none"/>
                <w:vertAlign w:val="subscript"/>
              </w:rPr>
              <w:t>2</w:t>
            </w:r>
            <w:r>
              <w:rPr>
                <w:rFonts w:hint="eastAsia" w:ascii="宋体" w:hAnsi="宋体" w:eastAsia="宋体" w:cs="宋体"/>
                <w:color w:val="auto"/>
                <w:kern w:val="2"/>
                <w:sz w:val="21"/>
                <w:szCs w:val="21"/>
                <w:highlight w:val="none"/>
              </w:rPr>
              <w:t>=0.3 是评标价每低于评标基准价一个百分点的扣分值；</w:t>
            </w:r>
          </w:p>
          <w:p w14:paraId="491B5EF3">
            <w:pPr>
              <w:keepNext w:val="0"/>
              <w:keepLines w:val="0"/>
              <w:pageBreakBefore w:val="0"/>
              <w:widowControl w:val="0"/>
              <w:shd w:val="clear" w:color="auto" w:fill="auto"/>
              <w:kinsoku/>
              <w:wordWrap/>
              <w:overflowPunct/>
              <w:topLinePunct w:val="0"/>
              <w:bidi w:val="0"/>
              <w:adjustRightInd/>
              <w:snapToGrid/>
              <w:spacing w:before="120" w:beforeLines="50" w:line="440" w:lineRule="exact"/>
              <w:ind w:firstLine="160" w:firstLineChars="76"/>
              <w:jc w:val="both"/>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评标价最低得分为0分，</w:t>
            </w:r>
            <w:r>
              <w:rPr>
                <w:rFonts w:hint="eastAsia" w:ascii="宋体" w:hAnsi="宋体" w:eastAsia="宋体" w:cs="宋体"/>
                <w:color w:val="auto"/>
                <w:kern w:val="2"/>
                <w:sz w:val="21"/>
                <w:szCs w:val="21"/>
                <w:highlight w:val="none"/>
              </w:rPr>
              <w:t>评标价得分四舍五入至小数点后四位。</w:t>
            </w:r>
          </w:p>
        </w:tc>
      </w:tr>
      <w:tr w14:paraId="5C1F5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3" w:type="dxa"/>
          <w:trHeight w:val="813" w:hRule="atLeast"/>
          <w:jc w:val="center"/>
        </w:trPr>
        <w:tc>
          <w:tcPr>
            <w:tcW w:w="801" w:type="dxa"/>
            <w:gridSpan w:val="2"/>
            <w:vMerge w:val="restart"/>
            <w:noWrap w:val="0"/>
            <w:vAlign w:val="center"/>
          </w:tcPr>
          <w:p w14:paraId="295BA739">
            <w:pPr>
              <w:shd w:val="clear" w:color="auto" w:fill="auto"/>
              <w:adjustRightInd/>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2.2.4（3）</w:t>
            </w:r>
          </w:p>
        </w:tc>
        <w:tc>
          <w:tcPr>
            <w:tcW w:w="649" w:type="dxa"/>
            <w:gridSpan w:val="2"/>
            <w:vMerge w:val="restart"/>
            <w:noWrap w:val="0"/>
            <w:vAlign w:val="center"/>
          </w:tcPr>
          <w:p w14:paraId="03CCED0D">
            <w:pPr>
              <w:shd w:val="clear" w:color="auto" w:fill="auto"/>
              <w:adjustRightInd/>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其他因素</w:t>
            </w:r>
          </w:p>
          <w:p w14:paraId="253AD518">
            <w:pPr>
              <w:shd w:val="clear" w:color="auto" w:fill="auto"/>
              <w:adjustRightInd/>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其他因素</w:t>
            </w:r>
          </w:p>
        </w:tc>
        <w:tc>
          <w:tcPr>
            <w:tcW w:w="731" w:type="dxa"/>
            <w:gridSpan w:val="2"/>
            <w:noWrap w:val="0"/>
            <w:vAlign w:val="center"/>
          </w:tcPr>
          <w:p w14:paraId="02128422">
            <w:pPr>
              <w:shd w:val="clear" w:color="auto" w:fill="auto"/>
              <w:adjustRightInd/>
              <w:spacing w:line="276"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业绩</w:t>
            </w:r>
          </w:p>
        </w:tc>
        <w:tc>
          <w:tcPr>
            <w:tcW w:w="698" w:type="dxa"/>
            <w:gridSpan w:val="2"/>
            <w:noWrap w:val="0"/>
            <w:vAlign w:val="center"/>
          </w:tcPr>
          <w:p w14:paraId="23FAA861">
            <w:pPr>
              <w:shd w:val="clear" w:color="auto" w:fill="auto"/>
              <w:adjustRightInd/>
              <w:spacing w:line="276" w:lineRule="auto"/>
              <w:jc w:val="center"/>
              <w:rPr>
                <w:rFonts w:hint="eastAsia"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sz w:val="21"/>
                <w:szCs w:val="21"/>
                <w:highlight w:val="none"/>
                <w:u w:val="single"/>
              </w:rPr>
              <w:t>25</w:t>
            </w:r>
            <w:r>
              <w:rPr>
                <w:rFonts w:hint="eastAsia" w:ascii="宋体" w:hAnsi="宋体" w:eastAsia="宋体" w:cs="宋体"/>
                <w:color w:val="auto"/>
                <w:sz w:val="21"/>
                <w:szCs w:val="21"/>
                <w:highlight w:val="none"/>
              </w:rPr>
              <w:t>分</w:t>
            </w:r>
          </w:p>
        </w:tc>
        <w:tc>
          <w:tcPr>
            <w:tcW w:w="6355" w:type="dxa"/>
            <w:gridSpan w:val="5"/>
            <w:noWrap w:val="0"/>
            <w:vAlign w:val="center"/>
          </w:tcPr>
          <w:p w14:paraId="35F05128">
            <w:pPr>
              <w:shd w:val="clear" w:color="auto" w:fill="auto"/>
              <w:autoSpaceDE w:val="0"/>
              <w:autoSpaceDN w:val="0"/>
              <w:adjustRightInd/>
              <w:spacing w:line="360" w:lineRule="auto"/>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满足资格审查条件（业绩最低要求），得15分，在此基础上：</w:t>
            </w:r>
          </w:p>
          <w:p w14:paraId="1AD8FD7E">
            <w:pPr>
              <w:shd w:val="clear" w:color="auto" w:fill="auto"/>
              <w:autoSpaceDE w:val="0"/>
              <w:autoSpaceDN w:val="0"/>
              <w:adjustRightInd/>
              <w:spacing w:line="360" w:lineRule="auto"/>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近5年内，每累计增加完成</w:t>
            </w:r>
            <w:r>
              <w:rPr>
                <w:rFonts w:hint="eastAsia" w:ascii="宋体" w:hAnsi="宋体" w:cs="宋体"/>
                <w:color w:val="auto"/>
                <w:kern w:val="2"/>
                <w:sz w:val="21"/>
                <w:szCs w:val="21"/>
                <w:highlight w:val="none"/>
                <w:lang w:val="en-US" w:eastAsia="zh-CN"/>
              </w:rPr>
              <w:t>5</w:t>
            </w:r>
            <w:r>
              <w:rPr>
                <w:rFonts w:hint="eastAsia" w:ascii="宋体" w:hAnsi="宋体" w:eastAsia="宋体" w:cs="宋体"/>
                <w:color w:val="auto"/>
                <w:kern w:val="2"/>
                <w:sz w:val="21"/>
                <w:szCs w:val="21"/>
                <w:highlight w:val="none"/>
              </w:rPr>
              <w:t>km（尾数不计）类似工程</w:t>
            </w:r>
            <w:r>
              <w:rPr>
                <w:rFonts w:hint="eastAsia" w:ascii="宋体" w:hAnsi="宋体" w:eastAsia="宋体" w:cs="宋体"/>
                <w:color w:val="auto"/>
                <w:kern w:val="2"/>
                <w:sz w:val="21"/>
                <w:szCs w:val="21"/>
                <w:highlight w:val="none"/>
                <w:lang w:eastAsia="zh-CN"/>
              </w:rPr>
              <w:t>的土建工程</w:t>
            </w:r>
            <w:r>
              <w:rPr>
                <w:rFonts w:hint="eastAsia" w:ascii="宋体" w:hAnsi="宋体" w:eastAsia="宋体" w:cs="宋体"/>
                <w:color w:val="auto"/>
                <w:kern w:val="2"/>
                <w:sz w:val="21"/>
                <w:szCs w:val="21"/>
                <w:highlight w:val="none"/>
              </w:rPr>
              <w:t>设计</w:t>
            </w:r>
            <w:r>
              <w:rPr>
                <w:rFonts w:hint="eastAsia" w:ascii="宋体" w:hAnsi="宋体" w:eastAsia="宋体" w:cs="宋体"/>
                <w:color w:val="auto"/>
                <w:kern w:val="2"/>
                <w:sz w:val="21"/>
                <w:szCs w:val="21"/>
                <w:highlight w:val="none"/>
                <w:lang w:eastAsia="zh-CN"/>
              </w:rPr>
              <w:t>加</w:t>
            </w:r>
            <w:r>
              <w:rPr>
                <w:rFonts w:hint="eastAsia" w:ascii="宋体" w:hAnsi="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分，</w:t>
            </w:r>
            <w:r>
              <w:rPr>
                <w:rFonts w:hint="eastAsia" w:ascii="宋体" w:hAnsi="宋体" w:eastAsia="宋体" w:cs="宋体"/>
                <w:color w:val="auto"/>
                <w:kern w:val="2"/>
                <w:sz w:val="21"/>
                <w:szCs w:val="21"/>
                <w:highlight w:val="none"/>
                <w:lang w:eastAsia="zh-CN"/>
              </w:rPr>
              <w:t>最多加</w:t>
            </w:r>
            <w:r>
              <w:rPr>
                <w:rFonts w:hint="eastAsia" w:ascii="宋体" w:hAnsi="宋体" w:eastAsia="宋体" w:cs="宋体"/>
                <w:color w:val="auto"/>
                <w:kern w:val="2"/>
                <w:sz w:val="21"/>
                <w:szCs w:val="21"/>
                <w:highlight w:val="none"/>
              </w:rPr>
              <w:t>10分。</w:t>
            </w:r>
          </w:p>
        </w:tc>
      </w:tr>
      <w:tr w14:paraId="0233D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3" w:type="dxa"/>
          <w:trHeight w:val="2776" w:hRule="atLeast"/>
          <w:jc w:val="center"/>
        </w:trPr>
        <w:tc>
          <w:tcPr>
            <w:tcW w:w="801" w:type="dxa"/>
            <w:gridSpan w:val="2"/>
            <w:vMerge w:val="continue"/>
            <w:noWrap w:val="0"/>
            <w:vAlign w:val="center"/>
          </w:tcPr>
          <w:p w14:paraId="1B6E4060">
            <w:pPr>
              <w:shd w:val="clear" w:color="auto" w:fill="auto"/>
              <w:adjustRightInd/>
              <w:spacing w:line="276" w:lineRule="auto"/>
              <w:jc w:val="center"/>
              <w:rPr>
                <w:rFonts w:hint="eastAsia" w:ascii="宋体" w:hAnsi="宋体" w:eastAsia="宋体" w:cs="宋体"/>
                <w:color w:val="auto"/>
                <w:sz w:val="18"/>
                <w:szCs w:val="18"/>
                <w:highlight w:val="none"/>
              </w:rPr>
            </w:pPr>
          </w:p>
        </w:tc>
        <w:tc>
          <w:tcPr>
            <w:tcW w:w="649" w:type="dxa"/>
            <w:gridSpan w:val="2"/>
            <w:vMerge w:val="continue"/>
            <w:noWrap w:val="0"/>
            <w:vAlign w:val="center"/>
          </w:tcPr>
          <w:p w14:paraId="0E88688C">
            <w:pPr>
              <w:shd w:val="clear" w:color="auto" w:fill="auto"/>
              <w:adjustRightInd/>
              <w:spacing w:line="276" w:lineRule="auto"/>
              <w:jc w:val="center"/>
              <w:rPr>
                <w:rFonts w:hint="eastAsia" w:ascii="宋体" w:hAnsi="宋体" w:eastAsia="宋体" w:cs="宋体"/>
                <w:color w:val="auto"/>
                <w:sz w:val="18"/>
                <w:szCs w:val="18"/>
                <w:highlight w:val="none"/>
              </w:rPr>
            </w:pPr>
          </w:p>
        </w:tc>
        <w:tc>
          <w:tcPr>
            <w:tcW w:w="731" w:type="dxa"/>
            <w:gridSpan w:val="2"/>
            <w:vMerge w:val="restart"/>
            <w:noWrap w:val="0"/>
            <w:vAlign w:val="center"/>
          </w:tcPr>
          <w:p w14:paraId="0B40A0ED">
            <w:pPr>
              <w:shd w:val="clear" w:color="auto" w:fill="auto"/>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履约信誉</w:t>
            </w:r>
          </w:p>
        </w:tc>
        <w:tc>
          <w:tcPr>
            <w:tcW w:w="698" w:type="dxa"/>
            <w:gridSpan w:val="2"/>
            <w:vMerge w:val="restart"/>
            <w:noWrap w:val="0"/>
            <w:vAlign w:val="center"/>
          </w:tcPr>
          <w:p w14:paraId="51A26943">
            <w:pPr>
              <w:shd w:val="clear" w:color="auto" w:fill="auto"/>
              <w:adjustRightInd/>
              <w:spacing w:line="276"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10</w:t>
            </w:r>
            <w:r>
              <w:rPr>
                <w:rFonts w:hint="eastAsia" w:ascii="宋体" w:hAnsi="宋体" w:eastAsia="宋体" w:cs="宋体"/>
                <w:color w:val="auto"/>
                <w:sz w:val="21"/>
                <w:szCs w:val="21"/>
                <w:highlight w:val="none"/>
              </w:rPr>
              <w:t>分</w:t>
            </w:r>
          </w:p>
        </w:tc>
        <w:tc>
          <w:tcPr>
            <w:tcW w:w="752" w:type="dxa"/>
            <w:noWrap w:val="0"/>
            <w:vAlign w:val="center"/>
          </w:tcPr>
          <w:p w14:paraId="472FC3DF">
            <w:pPr>
              <w:shd w:val="clear" w:color="auto" w:fill="auto"/>
              <w:adjustRightInd/>
              <w:spacing w:line="276"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履约情况</w:t>
            </w:r>
          </w:p>
        </w:tc>
        <w:tc>
          <w:tcPr>
            <w:tcW w:w="786" w:type="dxa"/>
            <w:gridSpan w:val="2"/>
            <w:noWrap w:val="0"/>
            <w:vAlign w:val="center"/>
          </w:tcPr>
          <w:p w14:paraId="6221216B">
            <w:pPr>
              <w:shd w:val="clear" w:color="auto" w:fill="auto"/>
              <w:adjustRightInd/>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分</w:t>
            </w:r>
          </w:p>
        </w:tc>
        <w:tc>
          <w:tcPr>
            <w:tcW w:w="4817" w:type="dxa"/>
            <w:gridSpan w:val="2"/>
            <w:noWrap w:val="0"/>
            <w:vAlign w:val="center"/>
          </w:tcPr>
          <w:p w14:paraId="6337715F">
            <w:pPr>
              <w:shd w:val="clear" w:color="auto" w:fill="auto"/>
              <w:autoSpaceDE w:val="0"/>
              <w:autoSpaceDN w:val="0"/>
              <w:adjustRightInd/>
              <w:spacing w:line="360" w:lineRule="auto"/>
              <w:textAlignment w:val="auto"/>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u w:val="none"/>
              </w:rPr>
              <w:t>若没出现下述情形得满分</w:t>
            </w:r>
            <w:r>
              <w:rPr>
                <w:rFonts w:hint="eastAsia" w:ascii="宋体" w:hAnsi="宋体" w:eastAsia="宋体" w:cs="宋体"/>
                <w:color w:val="auto"/>
                <w:sz w:val="21"/>
                <w:szCs w:val="21"/>
                <w:highlight w:val="none"/>
                <w:u w:val="none"/>
                <w:lang w:val="zh-CN"/>
              </w:rPr>
              <w:t>（5分）</w:t>
            </w:r>
            <w:r>
              <w:rPr>
                <w:rFonts w:hint="eastAsia" w:ascii="宋体" w:hAnsi="宋体" w:eastAsia="宋体" w:cs="宋体"/>
                <w:color w:val="auto"/>
                <w:kern w:val="2"/>
                <w:sz w:val="21"/>
                <w:szCs w:val="21"/>
                <w:highlight w:val="none"/>
                <w:u w:val="none"/>
              </w:rPr>
              <w:t>；</w:t>
            </w:r>
          </w:p>
          <w:p w14:paraId="3C2EC1C5">
            <w:pPr>
              <w:shd w:val="clear" w:color="auto" w:fill="auto"/>
              <w:autoSpaceDE w:val="0"/>
              <w:autoSpaceDN w:val="0"/>
              <w:adjustRightInd/>
              <w:spacing w:line="360" w:lineRule="auto"/>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kern w:val="2"/>
                <w:sz w:val="21"/>
                <w:szCs w:val="21"/>
                <w:highlight w:val="none"/>
                <w:u w:val="none"/>
              </w:rPr>
              <w:t>投标文件递交截止日前1年内，因公路工程设计原因、履约或招标投标问题等原因被：</w:t>
            </w:r>
          </w:p>
          <w:p w14:paraId="7E531238">
            <w:pPr>
              <w:shd w:val="clear" w:color="auto" w:fill="auto"/>
              <w:autoSpaceDE w:val="0"/>
              <w:autoSpaceDN w:val="0"/>
              <w:adjustRightInd/>
              <w:spacing w:line="360" w:lineRule="auto"/>
              <w:textAlignment w:val="auto"/>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u w:val="none"/>
              </w:rPr>
              <w:t>（1）交通运输部通报批评的</w:t>
            </w:r>
            <w:r>
              <w:rPr>
                <w:rFonts w:hint="eastAsia" w:ascii="宋体" w:hAnsi="宋体" w:eastAsia="宋体" w:cs="宋体"/>
                <w:color w:val="auto"/>
                <w:sz w:val="21"/>
                <w:szCs w:val="21"/>
                <w:highlight w:val="none"/>
                <w:u w:val="none"/>
              </w:rPr>
              <w:t>，</w:t>
            </w:r>
            <w:r>
              <w:rPr>
                <w:rFonts w:hint="eastAsia" w:ascii="宋体" w:hAnsi="宋体" w:eastAsia="宋体" w:cs="宋体"/>
                <w:color w:val="auto"/>
                <w:kern w:val="2"/>
                <w:sz w:val="21"/>
                <w:szCs w:val="21"/>
                <w:highlight w:val="none"/>
                <w:u w:val="none"/>
              </w:rPr>
              <w:t>扣5分/次；</w:t>
            </w:r>
          </w:p>
          <w:p w14:paraId="56463410">
            <w:pPr>
              <w:shd w:val="clear" w:color="auto" w:fill="auto"/>
              <w:adjustRightInd/>
              <w:spacing w:line="360" w:lineRule="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（2）广东省交通运输厅通报批评的，扣4分</w:t>
            </w:r>
            <w:r>
              <w:rPr>
                <w:rFonts w:hint="eastAsia" w:ascii="宋体" w:hAnsi="宋体" w:eastAsia="宋体" w:cs="宋体"/>
                <w:color w:val="auto"/>
                <w:kern w:val="2"/>
                <w:sz w:val="21"/>
                <w:szCs w:val="21"/>
                <w:highlight w:val="none"/>
                <w:u w:val="none"/>
              </w:rPr>
              <w:t>/次；</w:t>
            </w:r>
          </w:p>
          <w:p w14:paraId="7F5ADC94">
            <w:pPr>
              <w:shd w:val="clear" w:color="auto" w:fill="auto"/>
              <w:adjustRightInd/>
              <w:spacing w:line="360" w:lineRule="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（3）汕头市交通运输局报批评一次的，扣1分</w:t>
            </w:r>
            <w:r>
              <w:rPr>
                <w:rFonts w:hint="eastAsia" w:ascii="宋体" w:hAnsi="宋体" w:eastAsia="宋体" w:cs="宋体"/>
                <w:color w:val="auto"/>
                <w:kern w:val="2"/>
                <w:sz w:val="21"/>
                <w:szCs w:val="21"/>
                <w:highlight w:val="none"/>
                <w:u w:val="none"/>
              </w:rPr>
              <w:t>/次</w:t>
            </w:r>
            <w:r>
              <w:rPr>
                <w:rFonts w:hint="eastAsia" w:ascii="宋体" w:hAnsi="宋体" w:eastAsia="宋体" w:cs="宋体"/>
                <w:color w:val="auto"/>
                <w:sz w:val="21"/>
                <w:szCs w:val="21"/>
                <w:highlight w:val="none"/>
                <w:u w:val="none"/>
              </w:rPr>
              <w:t>。</w:t>
            </w:r>
          </w:p>
          <w:p w14:paraId="6621232B">
            <w:pPr>
              <w:shd w:val="clear" w:color="auto" w:fill="auto"/>
              <w:adjustRightInd/>
              <w:spacing w:line="360" w:lineRule="auto"/>
              <w:jc w:val="both"/>
              <w:rPr>
                <w:rFonts w:hint="eastAsia" w:ascii="宋体" w:hAnsi="宋体" w:eastAsia="宋体" w:cs="宋体"/>
                <w:color w:val="auto"/>
                <w:sz w:val="18"/>
                <w:szCs w:val="18"/>
                <w:highlight w:val="none"/>
                <w:u w:val="none"/>
              </w:rPr>
            </w:pPr>
            <w:r>
              <w:rPr>
                <w:rFonts w:hint="eastAsia" w:ascii="宋体" w:hAnsi="宋体" w:eastAsia="宋体" w:cs="宋体"/>
                <w:color w:val="auto"/>
                <w:sz w:val="18"/>
                <w:szCs w:val="18"/>
                <w:highlight w:val="none"/>
                <w:u w:val="none"/>
              </w:rPr>
              <w:t>注：同一事项同时被多个部门通报批评只按最高的扣分计算1次。如果扣完本项分值，可以从总分中扣。以联合体形式投标的，若各联合体成员均有上述情形的，对联合体各成员进行累计扣分。</w:t>
            </w:r>
          </w:p>
        </w:tc>
      </w:tr>
      <w:tr w14:paraId="5B79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43" w:type="dxa"/>
          <w:trHeight w:val="543" w:hRule="atLeast"/>
          <w:jc w:val="center"/>
        </w:trPr>
        <w:tc>
          <w:tcPr>
            <w:tcW w:w="801" w:type="dxa"/>
            <w:gridSpan w:val="2"/>
            <w:vMerge w:val="continue"/>
            <w:noWrap w:val="0"/>
            <w:vAlign w:val="center"/>
          </w:tcPr>
          <w:p w14:paraId="25E60095">
            <w:pPr>
              <w:shd w:val="clear" w:color="auto" w:fill="auto"/>
              <w:adjustRightInd/>
              <w:spacing w:line="276" w:lineRule="auto"/>
              <w:jc w:val="center"/>
              <w:rPr>
                <w:rFonts w:hint="eastAsia" w:ascii="宋体" w:hAnsi="宋体" w:eastAsia="宋体" w:cs="宋体"/>
                <w:color w:val="auto"/>
                <w:sz w:val="18"/>
                <w:szCs w:val="18"/>
                <w:highlight w:val="none"/>
              </w:rPr>
            </w:pPr>
          </w:p>
        </w:tc>
        <w:tc>
          <w:tcPr>
            <w:tcW w:w="649" w:type="dxa"/>
            <w:gridSpan w:val="2"/>
            <w:vMerge w:val="continue"/>
            <w:noWrap w:val="0"/>
            <w:vAlign w:val="center"/>
          </w:tcPr>
          <w:p w14:paraId="7D65C83E">
            <w:pPr>
              <w:shd w:val="clear" w:color="auto" w:fill="auto"/>
              <w:adjustRightInd/>
              <w:spacing w:line="276" w:lineRule="auto"/>
              <w:jc w:val="center"/>
              <w:rPr>
                <w:rFonts w:hint="eastAsia" w:ascii="宋体" w:hAnsi="宋体" w:eastAsia="宋体" w:cs="宋体"/>
                <w:color w:val="auto"/>
                <w:sz w:val="18"/>
                <w:szCs w:val="18"/>
                <w:highlight w:val="none"/>
              </w:rPr>
            </w:pPr>
          </w:p>
        </w:tc>
        <w:tc>
          <w:tcPr>
            <w:tcW w:w="731" w:type="dxa"/>
            <w:gridSpan w:val="2"/>
            <w:vMerge w:val="continue"/>
            <w:noWrap w:val="0"/>
            <w:vAlign w:val="center"/>
          </w:tcPr>
          <w:p w14:paraId="4BB1B04B">
            <w:pPr>
              <w:shd w:val="clear" w:color="auto" w:fill="auto"/>
              <w:adjustRightInd/>
              <w:spacing w:line="276" w:lineRule="auto"/>
              <w:jc w:val="center"/>
              <w:rPr>
                <w:rFonts w:hint="eastAsia" w:ascii="宋体" w:hAnsi="宋体" w:eastAsia="宋体" w:cs="宋体"/>
                <w:color w:val="auto"/>
                <w:sz w:val="21"/>
                <w:szCs w:val="21"/>
                <w:highlight w:val="none"/>
              </w:rPr>
            </w:pPr>
          </w:p>
        </w:tc>
        <w:tc>
          <w:tcPr>
            <w:tcW w:w="698" w:type="dxa"/>
            <w:gridSpan w:val="2"/>
            <w:vMerge w:val="continue"/>
            <w:noWrap w:val="0"/>
            <w:vAlign w:val="center"/>
          </w:tcPr>
          <w:p w14:paraId="63E745CA">
            <w:pPr>
              <w:shd w:val="clear" w:color="auto" w:fill="auto"/>
              <w:adjustRightInd/>
              <w:spacing w:line="276" w:lineRule="auto"/>
              <w:jc w:val="center"/>
              <w:rPr>
                <w:rFonts w:hint="eastAsia" w:ascii="宋体" w:hAnsi="宋体" w:eastAsia="宋体" w:cs="宋体"/>
                <w:color w:val="auto"/>
                <w:sz w:val="21"/>
                <w:szCs w:val="21"/>
                <w:highlight w:val="none"/>
                <w:u w:val="single"/>
              </w:rPr>
            </w:pPr>
          </w:p>
        </w:tc>
        <w:tc>
          <w:tcPr>
            <w:tcW w:w="752" w:type="dxa"/>
            <w:noWrap w:val="0"/>
            <w:vAlign w:val="center"/>
          </w:tcPr>
          <w:p w14:paraId="0248D759">
            <w:pPr>
              <w:shd w:val="clear" w:color="auto" w:fill="auto"/>
              <w:adjustRightInd/>
              <w:spacing w:line="276"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信用评价</w:t>
            </w:r>
          </w:p>
        </w:tc>
        <w:tc>
          <w:tcPr>
            <w:tcW w:w="786" w:type="dxa"/>
            <w:gridSpan w:val="2"/>
            <w:noWrap w:val="0"/>
            <w:vAlign w:val="center"/>
          </w:tcPr>
          <w:p w14:paraId="32E8137F">
            <w:pPr>
              <w:shd w:val="clear" w:color="auto" w:fill="auto"/>
              <w:adjustRightInd/>
              <w:spacing w:line="276"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分</w:t>
            </w:r>
          </w:p>
        </w:tc>
        <w:tc>
          <w:tcPr>
            <w:tcW w:w="4817" w:type="dxa"/>
            <w:gridSpan w:val="2"/>
            <w:noWrap w:val="0"/>
            <w:vAlign w:val="center"/>
          </w:tcPr>
          <w:p w14:paraId="1B1B2463">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u w:val="none"/>
                <w:lang w:val="zh-CN"/>
              </w:rPr>
            </w:pPr>
            <w:r>
              <w:rPr>
                <w:rFonts w:hint="eastAsia" w:ascii="宋体" w:hAnsi="宋体" w:eastAsia="宋体" w:cs="宋体"/>
                <w:color w:val="auto"/>
                <w:sz w:val="21"/>
                <w:szCs w:val="21"/>
                <w:highlight w:val="none"/>
                <w:u w:val="none"/>
                <w:lang w:val="zh-CN"/>
              </w:rPr>
              <w:t>信用等级分值（5分）</w:t>
            </w:r>
          </w:p>
          <w:p w14:paraId="0D4F1BC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lang w:val="zh-CN"/>
              </w:rPr>
              <w:t>信用等级为AA、A、B、C级的得分分别为5分、4.75分、4.45分、3.65分。</w:t>
            </w:r>
          </w:p>
          <w:p w14:paraId="40894CA3">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rPr>
                <w:rFonts w:hint="eastAsia" w:ascii="宋体" w:hAnsi="宋体" w:eastAsia="宋体" w:cs="宋体"/>
                <w:color w:val="auto"/>
                <w:sz w:val="18"/>
                <w:szCs w:val="18"/>
                <w:highlight w:val="none"/>
                <w:u w:val="none"/>
              </w:rPr>
            </w:pPr>
            <w:r>
              <w:rPr>
                <w:rFonts w:hint="eastAsia" w:ascii="宋体" w:hAnsi="宋体" w:eastAsia="宋体" w:cs="宋体"/>
                <w:color w:val="auto"/>
                <w:sz w:val="21"/>
                <w:szCs w:val="21"/>
                <w:highlight w:val="none"/>
                <w:u w:val="none"/>
              </w:rPr>
              <w:t>注：信用等级的确定原则遵循投标人须知前附表10.2款的规定。</w:t>
            </w:r>
          </w:p>
        </w:tc>
      </w:tr>
    </w:tbl>
    <w:p w14:paraId="1CB395E3">
      <w:pPr>
        <w:shd w:val="clear" w:color="auto" w:fill="auto"/>
        <w:spacing w:line="360" w:lineRule="auto"/>
        <w:rPr>
          <w:b/>
          <w:bCs/>
          <w:color w:val="auto"/>
          <w:highlight w:val="none"/>
        </w:rPr>
      </w:pPr>
    </w:p>
    <w:p w14:paraId="185E9DA6">
      <w:pPr>
        <w:shd w:val="clear" w:color="auto" w:fill="auto"/>
        <w:spacing w:line="360" w:lineRule="auto"/>
        <w:rPr>
          <w:b/>
          <w:bCs/>
          <w:color w:val="auto"/>
          <w:highlight w:val="none"/>
        </w:rPr>
      </w:pPr>
    </w:p>
    <w:p w14:paraId="0D96D605">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1.设计第一信封资格审查</w:t>
      </w:r>
    </w:p>
    <w:p w14:paraId="5001B8ED">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评标委员会首先对投标人提交的资格审查材料进行审查，有一项不符合评审标准的，作废标处理。通过资格审查的标准见“评标办法前附表”。</w:t>
      </w:r>
    </w:p>
    <w:p w14:paraId="17441908">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2.设计第一信封形式评审和响应性评审</w:t>
      </w:r>
    </w:p>
    <w:p w14:paraId="7BC9F58B">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评标委员会对通过资格审查的投标文件设计部分第一信封（商务及技术文件）进行初步评审，有一项不符合评审标准的，作废标处理。通过初步评审的标准见“评标办法前附表”。</w:t>
      </w:r>
    </w:p>
    <w:p w14:paraId="57354D69">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3.设计第一信封澄清</w:t>
      </w:r>
    </w:p>
    <w:p w14:paraId="57E3FE51">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在评标过程中，评标委员会可以书面形式要求投标人对所提交投标文件中含义不明确、对同类问题表述不一致或者有明显文字错误的内容作必要的澄清、说明或者补正。评标委员会不接受投标人主动提出的澄清、说明或补正。</w:t>
      </w:r>
    </w:p>
    <w:p w14:paraId="19C70568">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澄清、说明或者补正应以书面方式进行，并不得超出投标文件的范围或者改变投标文件的实质性内容。投标人的书面澄清、说明和补正属于投标文件的组成部分。</w:t>
      </w:r>
    </w:p>
    <w:p w14:paraId="70BEFD46">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评标委员会对投标人提交的澄清、说明或补正有疑问的，可以要求投标人进一步澄清、说明或补正，直至满足评标委员会的要求。凡超出招标文件规定的或给发包人带来未曾要求的利益的变化、偏差或其他因素在评标时不予考虑。</w:t>
      </w:r>
    </w:p>
    <w:p w14:paraId="7E5D659B">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4.设计第一信封详细评审</w:t>
      </w:r>
    </w:p>
    <w:p w14:paraId="3040D4D8">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2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评标委员会只对通过初步评审的投标文件设计部分第一信封（商务及技术文件）进行详细评审。评标委员会按“设计部分评标办法前附表”规定的评审因素和评分值进行评分，并计算出各投标人的商务和技术得分。</w:t>
      </w:r>
    </w:p>
    <w:p w14:paraId="5B40A4C4">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2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计算投标人技术得分时:首先在评委技术评分中，同一评委对各投标人评分总分的差值最大的评委评分进行取舍（当一位或两位评委评分差值最大时均取消其评委评分，当多于两位评分差值均最大时，不取消任一评委评分），再对各评分因素细分项中取消一个最高、一个最低分后计算算术平均值的和为投标人的最终技术得分，平均值计算四舍五入保留小数点后三位。</w:t>
      </w:r>
    </w:p>
    <w:p w14:paraId="727F9093">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5.设计第二信封开标</w:t>
      </w:r>
    </w:p>
    <w:p w14:paraId="0A5F5A96">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设计第一信封（商务及技术文件）评审结束后，在有关部门监督下，由评标委员会对通过投标文件设计第一信封（商务及技术文件）评审的设计第二信封（</w:t>
      </w:r>
      <w:r>
        <w:rPr>
          <w:rFonts w:hint="eastAsia" w:ascii="宋体" w:hAnsi="宋体" w:eastAsia="宋体" w:cs="宋体"/>
          <w:color w:val="auto"/>
          <w:highlight w:val="none"/>
          <w:lang w:val="en-US" w:eastAsia="zh-CN"/>
        </w:rPr>
        <w:t>投标报价文件</w:t>
      </w:r>
      <w:r>
        <w:rPr>
          <w:rFonts w:hint="eastAsia" w:ascii="宋体" w:hAnsi="宋体" w:eastAsia="宋体" w:cs="宋体"/>
          <w:color w:val="auto"/>
          <w:highlight w:val="none"/>
        </w:rPr>
        <w:t>）进行开标。</w:t>
      </w:r>
    </w:p>
    <w:p w14:paraId="3AE7C632">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6.设计第二信封初步评审</w:t>
      </w:r>
    </w:p>
    <w:p w14:paraId="0A0A99CE">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评标委员会对通过投标文件设计第一信封（商务及技术文件）评审的投标文件设计第二信封（</w:t>
      </w:r>
      <w:r>
        <w:rPr>
          <w:rFonts w:hint="eastAsia" w:ascii="宋体" w:hAnsi="宋体" w:eastAsia="宋体" w:cs="宋体"/>
          <w:color w:val="auto"/>
          <w:highlight w:val="none"/>
          <w:lang w:val="en-US" w:eastAsia="zh-CN"/>
        </w:rPr>
        <w:t>投标报价文件</w:t>
      </w:r>
      <w:r>
        <w:rPr>
          <w:rFonts w:hint="eastAsia" w:ascii="宋体" w:hAnsi="宋体" w:eastAsia="宋体" w:cs="宋体"/>
          <w:color w:val="auto"/>
          <w:highlight w:val="none"/>
        </w:rPr>
        <w:t>）进行初步评审，有一项不符合评审标准的，作废标处理。通过初步评审的标准见“评标办法前附表”。</w:t>
      </w:r>
    </w:p>
    <w:p w14:paraId="4BBD98D1">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7.设计第二信封算术性修正</w:t>
      </w:r>
    </w:p>
    <w:p w14:paraId="572B0C91">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评标委员会对通过投标文件设计第二信封（</w:t>
      </w:r>
      <w:r>
        <w:rPr>
          <w:rFonts w:hint="eastAsia" w:ascii="宋体" w:hAnsi="宋体" w:eastAsia="宋体" w:cs="宋体"/>
          <w:color w:val="auto"/>
          <w:highlight w:val="none"/>
          <w:lang w:val="en-US" w:eastAsia="zh-CN"/>
        </w:rPr>
        <w:t>投标报价文件</w:t>
      </w:r>
      <w:r>
        <w:rPr>
          <w:rFonts w:hint="eastAsia" w:ascii="宋体" w:hAnsi="宋体" w:eastAsia="宋体" w:cs="宋体"/>
          <w:color w:val="auto"/>
          <w:highlight w:val="none"/>
        </w:rPr>
        <w:t>）初步评审的投标人的投标报价迸行校核，并对其中的算术性错误予以修正。修正的原则如下：</w:t>
      </w:r>
    </w:p>
    <w:p w14:paraId="06EF51B7">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(1)大写金额与小写金额不一致的，以大写金额为准；</w:t>
      </w:r>
    </w:p>
    <w:p w14:paraId="5E2EEBAD">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(2)单价金额与数量相乘与合价金额不一致的，以单价金额为准；如果单价金额有明显的小数点位置差错，应以标出的合价金额为准，同时对单价金额予以修正；</w:t>
      </w:r>
    </w:p>
    <w:p w14:paraId="0CC17121">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(3)合价金额累计与总价金额不一致的，以合价金额为准，修正总价金额。</w:t>
      </w:r>
    </w:p>
    <w:p w14:paraId="4F4EC445">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8.设计第二信封澄清</w:t>
      </w:r>
    </w:p>
    <w:p w14:paraId="38A24D26">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算术性修正后的报价如果与投标人原报价不同，评标时将书面通知投标人进行澄清，投标人应确认算术性修正后的报价；如投标人拒绝确认，则其投标文件将不予评审，作废标处理，同时没收其投标担保。修正后的最终投标报价仅作为签订合同的一个依据，不参与投标价得分的计算。</w:t>
      </w:r>
    </w:p>
    <w:p w14:paraId="136BFC8B">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修正后的最终投标报价若超过最高投标限价（如有），投标人的投标文件作废标处理。</w:t>
      </w:r>
    </w:p>
    <w:p w14:paraId="29731081">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textAlignment w:val="baseline"/>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9.设计第二信封详细评审</w:t>
      </w:r>
    </w:p>
    <w:p w14:paraId="593BA4E3">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jc w:val="left"/>
        <w:textAlignment w:val="baseline"/>
        <w:rPr>
          <w:rFonts w:hint="eastAsia" w:ascii="宋体" w:hAnsi="宋体" w:eastAsia="宋体" w:cs="宋体"/>
          <w:b/>
          <w:color w:val="auto"/>
          <w:highlight w:val="none"/>
        </w:rPr>
      </w:pPr>
      <w:r>
        <w:rPr>
          <w:rFonts w:hint="eastAsia" w:ascii="宋体" w:hAnsi="宋体" w:eastAsia="宋体" w:cs="宋体"/>
          <w:color w:val="auto"/>
          <w:highlight w:val="none"/>
        </w:rPr>
        <w:t xml:space="preserve">    计算所有通过设计第二信封（</w:t>
      </w:r>
      <w:r>
        <w:rPr>
          <w:rFonts w:hint="eastAsia" w:ascii="宋体" w:hAnsi="宋体" w:eastAsia="宋体" w:cs="宋体"/>
          <w:color w:val="auto"/>
          <w:highlight w:val="none"/>
          <w:lang w:val="en-US" w:eastAsia="zh-CN"/>
        </w:rPr>
        <w:t>投标报价文件</w:t>
      </w:r>
      <w:r>
        <w:rPr>
          <w:rFonts w:hint="eastAsia" w:ascii="宋体" w:hAnsi="宋体" w:eastAsia="宋体" w:cs="宋体"/>
          <w:color w:val="auto"/>
          <w:highlight w:val="none"/>
        </w:rPr>
        <w:t>）初步评审以及算术性修正后的投标人的投标价得分及综合得分。计算方法见“设计部分评标办法前附表”。</w:t>
      </w:r>
    </w:p>
    <w:p w14:paraId="27A44465">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jc w:val="center"/>
        <w:textAlignment w:val="baseline"/>
        <w:rPr>
          <w:rFonts w:hint="eastAsia" w:ascii="宋体" w:hAnsi="宋体"/>
          <w:b/>
          <w:bCs/>
          <w:color w:val="auto"/>
          <w:sz w:val="32"/>
          <w:szCs w:val="32"/>
          <w:highlight w:val="none"/>
          <w:lang w:val="en-US" w:eastAsia="zh-CN"/>
        </w:rPr>
      </w:pPr>
    </w:p>
    <w:p w14:paraId="35227C02">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spacing w:line="360" w:lineRule="auto"/>
        <w:jc w:val="center"/>
        <w:textAlignment w:val="baseline"/>
        <w:rPr>
          <w:rFonts w:hint="eastAsia" w:ascii="宋体" w:hAnsi="宋体"/>
          <w:b/>
          <w:bCs/>
          <w:color w:val="auto"/>
          <w:sz w:val="32"/>
          <w:szCs w:val="32"/>
          <w:highlight w:val="none"/>
        </w:rPr>
      </w:pPr>
      <w:r>
        <w:rPr>
          <w:rFonts w:hint="eastAsia" w:ascii="宋体" w:hAnsi="宋体"/>
          <w:b/>
          <w:bCs/>
          <w:color w:val="auto"/>
          <w:sz w:val="32"/>
          <w:szCs w:val="32"/>
          <w:highlight w:val="none"/>
          <w:lang w:val="en-US" w:eastAsia="zh-CN"/>
        </w:rPr>
        <w:br w:type="page"/>
      </w:r>
      <w:r>
        <w:rPr>
          <w:rFonts w:hint="eastAsia" w:ascii="宋体" w:hAnsi="宋体"/>
          <w:b/>
          <w:bCs/>
          <w:color w:val="auto"/>
          <w:sz w:val="32"/>
          <w:szCs w:val="32"/>
          <w:highlight w:val="none"/>
          <w:lang w:val="en-US" w:eastAsia="zh-CN"/>
        </w:rPr>
        <w:t>第三节 施工部分（双信封的合理低价法）</w:t>
      </w:r>
    </w:p>
    <w:p w14:paraId="44D14815">
      <w:pPr>
        <w:keepNext w:val="0"/>
        <w:keepLines w:val="0"/>
        <w:pageBreakBefore w:val="0"/>
        <w:widowControl w:val="0"/>
        <w:shd w:val="clear" w:color="auto" w:fill="auto"/>
        <w:kinsoku/>
        <w:wordWrap/>
        <w:overflowPunct/>
        <w:topLinePunct w:val="0"/>
        <w:autoSpaceDE/>
        <w:autoSpaceDN/>
        <w:bidi w:val="0"/>
        <w:adjustRightInd w:val="0"/>
        <w:snapToGrid/>
        <w:spacing w:line="360" w:lineRule="auto"/>
        <w:jc w:val="center"/>
        <w:textAlignment w:val="baseline"/>
        <w:outlineLvl w:val="9"/>
        <w:rPr>
          <w:rFonts w:hint="eastAsia" w:ascii="宋体" w:hAnsi="宋体"/>
          <w:b/>
          <w:bCs/>
          <w:color w:val="auto"/>
          <w:sz w:val="32"/>
          <w:szCs w:val="32"/>
          <w:highlight w:val="none"/>
        </w:rPr>
      </w:pPr>
      <w:r>
        <w:rPr>
          <w:rFonts w:hint="eastAsia" w:ascii="宋体" w:hAnsi="宋体"/>
          <w:b/>
          <w:bCs/>
          <w:color w:val="auto"/>
          <w:sz w:val="32"/>
          <w:szCs w:val="32"/>
          <w:highlight w:val="none"/>
        </w:rPr>
        <w:t>评标办法前附表</w:t>
      </w: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07"/>
        <w:gridCol w:w="1582"/>
        <w:gridCol w:w="6383"/>
      </w:tblGrid>
      <w:tr w14:paraId="0C88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07" w:type="dxa"/>
            <w:noWrap w:val="0"/>
            <w:vAlign w:val="center"/>
          </w:tcPr>
          <w:p w14:paraId="5F3E8FC4">
            <w:pPr>
              <w:pStyle w:val="9"/>
              <w:keepNext w:val="0"/>
              <w:keepLines w:val="0"/>
              <w:pageBreakBefore w:val="0"/>
              <w:widowControl w:val="0"/>
              <w:shd w:val="clear" w:color="auto" w:fill="auto"/>
              <w:kinsoku/>
              <w:wordWrap/>
              <w:overflowPunct/>
              <w:topLinePunct w:val="0"/>
              <w:bidi w:val="0"/>
              <w:adjustRightInd w:val="0"/>
              <w:snapToGrid/>
              <w:spacing w:line="360" w:lineRule="auto"/>
              <w:ind w:left="105" w:leftChars="50"/>
              <w:jc w:val="center"/>
              <w:outlineLvl w:val="9"/>
              <w:rPr>
                <w:rFonts w:ascii="宋体" w:hAnsi="宋体" w:cs="宋体"/>
                <w:color w:val="auto"/>
                <w:szCs w:val="21"/>
                <w:highlight w:val="none"/>
              </w:rPr>
            </w:pPr>
            <w:r>
              <w:rPr>
                <w:rFonts w:hint="eastAsia" w:ascii="宋体" w:hAnsi="宋体"/>
                <w:b/>
                <w:bCs/>
                <w:color w:val="auto"/>
                <w:sz w:val="32"/>
                <w:szCs w:val="32"/>
                <w:highlight w:val="none"/>
              </w:rPr>
              <w:br w:type="page"/>
            </w:r>
            <w:r>
              <w:rPr>
                <w:rFonts w:hint="eastAsia" w:ascii="宋体" w:hAnsi="宋体" w:cs="宋体"/>
                <w:b/>
                <w:color w:val="auto"/>
                <w:szCs w:val="21"/>
                <w:highlight w:val="none"/>
              </w:rPr>
              <w:t>条款号</w:t>
            </w:r>
          </w:p>
        </w:tc>
        <w:tc>
          <w:tcPr>
            <w:tcW w:w="1582" w:type="dxa"/>
            <w:noWrap w:val="0"/>
            <w:vAlign w:val="center"/>
          </w:tcPr>
          <w:p w14:paraId="2F7B39C3">
            <w:pPr>
              <w:keepNext w:val="0"/>
              <w:keepLines w:val="0"/>
              <w:pageBreakBefore w:val="0"/>
              <w:widowControl w:val="0"/>
              <w:shd w:val="clear" w:color="auto" w:fill="auto"/>
              <w:kinsoku/>
              <w:wordWrap/>
              <w:overflowPunct/>
              <w:topLinePunct w:val="0"/>
              <w:bidi w:val="0"/>
              <w:snapToGrid/>
              <w:spacing w:line="360" w:lineRule="auto"/>
              <w:ind w:left="105" w:leftChars="50"/>
              <w:jc w:val="center"/>
              <w:rPr>
                <w:rFonts w:ascii="宋体" w:hAnsi="宋体" w:cs="宋体"/>
                <w:b/>
                <w:bCs/>
                <w:color w:val="auto"/>
                <w:szCs w:val="21"/>
                <w:highlight w:val="none"/>
              </w:rPr>
            </w:pPr>
            <w:r>
              <w:rPr>
                <w:rFonts w:hint="eastAsia" w:ascii="宋体" w:hAnsi="宋体" w:cs="宋体"/>
                <w:b/>
                <w:bCs/>
                <w:color w:val="auto"/>
                <w:szCs w:val="21"/>
                <w:highlight w:val="none"/>
              </w:rPr>
              <w:t>条款内容</w:t>
            </w:r>
          </w:p>
        </w:tc>
        <w:tc>
          <w:tcPr>
            <w:tcW w:w="6383" w:type="dxa"/>
            <w:noWrap w:val="0"/>
            <w:vAlign w:val="center"/>
          </w:tcPr>
          <w:p w14:paraId="33BBE019">
            <w:pPr>
              <w:keepNext w:val="0"/>
              <w:keepLines w:val="0"/>
              <w:pageBreakBefore w:val="0"/>
              <w:widowControl w:val="0"/>
              <w:shd w:val="clear" w:color="auto" w:fill="auto"/>
              <w:kinsoku/>
              <w:wordWrap/>
              <w:overflowPunct/>
              <w:topLinePunct w:val="0"/>
              <w:bidi w:val="0"/>
              <w:snapToGrid/>
              <w:spacing w:line="360" w:lineRule="auto"/>
              <w:ind w:left="105" w:leftChars="50"/>
              <w:jc w:val="center"/>
              <w:rPr>
                <w:rFonts w:ascii="宋体" w:hAnsi="宋体" w:cs="宋体"/>
                <w:b/>
                <w:bCs/>
                <w:color w:val="auto"/>
                <w:szCs w:val="21"/>
                <w:highlight w:val="none"/>
              </w:rPr>
            </w:pPr>
            <w:r>
              <w:rPr>
                <w:rFonts w:hint="eastAsia" w:ascii="宋体" w:hAnsi="宋体" w:cs="宋体"/>
                <w:b/>
                <w:bCs/>
                <w:color w:val="auto"/>
                <w:szCs w:val="21"/>
                <w:highlight w:val="none"/>
              </w:rPr>
              <w:t>编列内容</w:t>
            </w:r>
          </w:p>
        </w:tc>
      </w:tr>
      <w:tr w14:paraId="7E52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07" w:type="dxa"/>
            <w:noWrap w:val="0"/>
            <w:vAlign w:val="center"/>
          </w:tcPr>
          <w:p w14:paraId="17E12D49">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auto"/>
                <w:szCs w:val="21"/>
                <w:highlight w:val="none"/>
              </w:rPr>
            </w:pPr>
            <w:r>
              <w:rPr>
                <w:rFonts w:hint="eastAsia" w:ascii="宋体" w:hAnsi="宋体" w:cs="宋体"/>
                <w:color w:val="auto"/>
                <w:szCs w:val="21"/>
                <w:highlight w:val="none"/>
              </w:rPr>
              <w:t>2.2.1</w:t>
            </w:r>
          </w:p>
        </w:tc>
        <w:tc>
          <w:tcPr>
            <w:tcW w:w="1582" w:type="dxa"/>
            <w:noWrap w:val="0"/>
            <w:vAlign w:val="center"/>
          </w:tcPr>
          <w:p w14:paraId="232C8181">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auto"/>
                <w:szCs w:val="21"/>
                <w:highlight w:val="none"/>
              </w:rPr>
            </w:pPr>
            <w:r>
              <w:rPr>
                <w:rFonts w:hint="eastAsia" w:ascii="宋体" w:hAnsi="宋体" w:cs="宋体"/>
                <w:color w:val="auto"/>
                <w:szCs w:val="21"/>
                <w:highlight w:val="none"/>
              </w:rPr>
              <w:t>分值构成</w:t>
            </w:r>
          </w:p>
          <w:p w14:paraId="2A33CE25">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ascii="宋体" w:hAnsi="宋体" w:cs="宋体"/>
                <w:color w:val="auto"/>
                <w:szCs w:val="21"/>
                <w:highlight w:val="none"/>
              </w:rPr>
            </w:pPr>
            <w:r>
              <w:rPr>
                <w:rFonts w:hint="eastAsia" w:ascii="宋体" w:hAnsi="宋体" w:cs="宋体"/>
                <w:color w:val="auto"/>
                <w:szCs w:val="21"/>
                <w:highlight w:val="none"/>
              </w:rPr>
              <w:t>（总分100分）</w:t>
            </w:r>
          </w:p>
        </w:tc>
        <w:tc>
          <w:tcPr>
            <w:tcW w:w="6383" w:type="dxa"/>
            <w:noWrap w:val="0"/>
            <w:vAlign w:val="center"/>
          </w:tcPr>
          <w:p w14:paraId="1EFA6E24">
            <w:pPr>
              <w:keepNext w:val="0"/>
              <w:keepLines w:val="0"/>
              <w:pageBreakBefore w:val="0"/>
              <w:widowControl w:val="0"/>
              <w:shd w:val="clear" w:color="auto" w:fill="auto"/>
              <w:kinsoku/>
              <w:wordWrap/>
              <w:overflowPunct/>
              <w:topLinePunct w:val="0"/>
              <w:autoSpaceDE/>
              <w:autoSpaceDN/>
              <w:bidi w:val="0"/>
              <w:snapToGrid/>
              <w:spacing w:line="440" w:lineRule="exact"/>
              <w:ind w:left="105" w:leftChars="50" w:right="0"/>
              <w:jc w:val="both"/>
              <w:rPr>
                <w:rFonts w:ascii="宋体" w:hAnsi="宋体" w:cs="宋体"/>
                <w:color w:val="auto"/>
                <w:szCs w:val="21"/>
                <w:highlight w:val="none"/>
              </w:rPr>
            </w:pPr>
            <w:r>
              <w:rPr>
                <w:rFonts w:hint="eastAsia" w:ascii="宋体" w:hAnsi="宋体" w:cs="宋体"/>
                <w:color w:val="auto"/>
                <w:szCs w:val="21"/>
                <w:highlight w:val="none"/>
                <w:lang w:val="en-US" w:eastAsia="zh-CN"/>
              </w:rPr>
              <w:t>评标价：95</w:t>
            </w:r>
            <w:r>
              <w:rPr>
                <w:rFonts w:hint="eastAsia" w:ascii="宋体" w:hAnsi="宋体" w:cs="宋体"/>
                <w:color w:val="auto"/>
                <w:szCs w:val="21"/>
                <w:highlight w:val="none"/>
              </w:rPr>
              <w:t>分</w:t>
            </w:r>
          </w:p>
          <w:p w14:paraId="34A4DE03">
            <w:pPr>
              <w:pStyle w:val="6"/>
              <w:keepNext w:val="0"/>
              <w:keepLines w:val="0"/>
              <w:pageBreakBefore w:val="0"/>
              <w:widowControl w:val="0"/>
              <w:shd w:val="clear" w:color="auto" w:fill="auto"/>
              <w:kinsoku/>
              <w:wordWrap/>
              <w:overflowPunct/>
              <w:topLinePunct w:val="0"/>
              <w:autoSpaceDE/>
              <w:autoSpaceDN/>
              <w:bidi w:val="0"/>
              <w:snapToGrid/>
              <w:spacing w:after="0" w:line="440" w:lineRule="exact"/>
              <w:ind w:left="105" w:leftChars="50" w:right="0" w:firstLine="0" w:firstLineChars="0"/>
              <w:jc w:val="both"/>
              <w:rPr>
                <w:rFonts w:hint="default" w:ascii="宋体" w:hAnsi="宋体" w:eastAsia="宋体" w:cs="宋体"/>
                <w:color w:val="auto"/>
                <w:sz w:val="21"/>
                <w:szCs w:val="21"/>
                <w:highlight w:val="none"/>
                <w:lang w:val="en-US" w:eastAsia="zh-CN"/>
              </w:rPr>
            </w:pPr>
            <w:r>
              <w:rPr>
                <w:rFonts w:hint="eastAsia" w:ascii="宋体" w:hAnsi="宋体" w:cs="宋体"/>
                <w:color w:val="auto"/>
                <w:szCs w:val="21"/>
                <w:highlight w:val="none"/>
              </w:rPr>
              <w:t>其他因素</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5分</w:t>
            </w:r>
          </w:p>
        </w:tc>
      </w:tr>
      <w:tr w14:paraId="664F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07" w:type="dxa"/>
            <w:noWrap w:val="0"/>
            <w:vAlign w:val="center"/>
          </w:tcPr>
          <w:p w14:paraId="00464644">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2.2.</w:t>
            </w:r>
            <w:r>
              <w:rPr>
                <w:rFonts w:hint="eastAsia" w:ascii="宋体" w:hAnsi="宋体" w:cs="宋体"/>
                <w:color w:val="auto"/>
                <w:szCs w:val="21"/>
                <w:highlight w:val="none"/>
                <w:lang w:val="en-US" w:eastAsia="zh-CN"/>
              </w:rPr>
              <w:t>2</w:t>
            </w:r>
          </w:p>
        </w:tc>
        <w:tc>
          <w:tcPr>
            <w:tcW w:w="1582" w:type="dxa"/>
            <w:noWrap w:val="0"/>
            <w:vAlign w:val="center"/>
          </w:tcPr>
          <w:p w14:paraId="1CB80B2A">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评标基准价计算方法</w:t>
            </w:r>
          </w:p>
        </w:tc>
        <w:tc>
          <w:tcPr>
            <w:tcW w:w="6383" w:type="dxa"/>
            <w:noWrap w:val="0"/>
            <w:vAlign w:val="center"/>
          </w:tcPr>
          <w:p w14:paraId="3BACCC4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评标基准价的计算：</w:t>
            </w:r>
          </w:p>
          <w:p w14:paraId="185D7AB4">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在开标现场，招标人将当场计算并宣布评标基准价。</w:t>
            </w:r>
          </w:p>
          <w:p w14:paraId="628CE91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 评标价的确定：评标价=投标函文字报价</w:t>
            </w:r>
            <w:r>
              <w:rPr>
                <w:rFonts w:hint="eastAsia" w:ascii="宋体" w:hAnsi="宋体" w:eastAsia="宋体" w:cs="宋体"/>
                <w:color w:val="auto"/>
                <w:sz w:val="21"/>
                <w:szCs w:val="21"/>
                <w:highlight w:val="none"/>
                <w:lang w:val="en-US" w:eastAsia="zh-CN"/>
              </w:rPr>
              <w:t>-安全生产费</w:t>
            </w:r>
          </w:p>
          <w:p w14:paraId="2523DFF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(2)最高评标限价的确定</w:t>
            </w:r>
          </w:p>
          <w:p w14:paraId="3222938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最高投标限价下浮率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以下简称“下浮率”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在开标前在开标现场采取逐标段摇珠方式确定。</w:t>
            </w:r>
          </w:p>
          <w:p w14:paraId="075AC81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方法的选择：1号球代表方法一，2号球代表方法二，采用随机摇珠的方式摇取1个球，摇出球对应的方法即为下一步采取的下浮率摇珠操作方法。</w:t>
            </w:r>
          </w:p>
          <w:p w14:paraId="480C3E0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下浮率摇珠操作方法如下：</w:t>
            </w:r>
          </w:p>
          <w:p w14:paraId="78BD609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方法一：在下浮率摇珠范围内，以0.1%为一档次增序确定摇珠号码，不少于31个球，每个标段各一次性摇取1个球，摇出球对应的下浮率即为本标段招标的下浮率。</w:t>
            </w:r>
          </w:p>
          <w:p w14:paraId="2F90DA8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方法二</w:t>
            </w:r>
            <w:r>
              <w:rPr>
                <w:rFonts w:hint="eastAsia" w:ascii="宋体" w:hAnsi="宋体" w:eastAsia="宋体" w:cs="宋体"/>
                <w:color w:val="auto"/>
                <w:sz w:val="21"/>
                <w:szCs w:val="21"/>
                <w:highlight w:val="none"/>
              </w:rPr>
              <w:t>：在下浮率摇珠范围内，以0.1%为一档次增序确定摇珠号码，不少于31个球，一次性摇出3个球（摇出的珠不放回），摇出3个球对应的下浮率的平均值即为本</w:t>
            </w:r>
            <w:r>
              <w:rPr>
                <w:rFonts w:hint="eastAsia" w:ascii="宋体" w:hAnsi="宋体" w:eastAsia="宋体" w:cs="宋体"/>
                <w:color w:val="auto"/>
                <w:sz w:val="21"/>
                <w:szCs w:val="21"/>
                <w:highlight w:val="none"/>
                <w:lang w:val="en-US" w:eastAsia="zh-CN"/>
              </w:rPr>
              <w:t>标段</w:t>
            </w:r>
            <w:r>
              <w:rPr>
                <w:rFonts w:hint="eastAsia" w:ascii="宋体" w:hAnsi="宋体" w:eastAsia="宋体" w:cs="宋体"/>
                <w:color w:val="auto"/>
                <w:sz w:val="21"/>
                <w:szCs w:val="21"/>
                <w:highlight w:val="none"/>
              </w:rPr>
              <w:t>招标的下浮率。（注：三个下浮率的平均值四舍五入取整到0.001%）</w:t>
            </w:r>
          </w:p>
          <w:p w14:paraId="7293FCD3">
            <w:pPr>
              <w:shd w:val="clear" w:color="auto" w:fill="auto"/>
              <w:jc w:val="center"/>
              <w:rPr>
                <w:rFonts w:hint="eastAsia" w:ascii="宋体" w:hAnsi="宋体" w:eastAsia="宋体" w:cs="宋体"/>
                <w:b/>
                <w:bCs/>
                <w:color w:val="auto"/>
                <w:sz w:val="21"/>
                <w:szCs w:val="21"/>
                <w:highlight w:val="none"/>
              </w:rPr>
            </w:pPr>
          </w:p>
          <w:p w14:paraId="392814E0">
            <w:pPr>
              <w:shd w:val="clear" w:color="auto" w:fill="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随机抽中的号码球与下浮系数(%)的对应表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67"/>
              <w:gridCol w:w="567"/>
              <w:gridCol w:w="567"/>
              <w:gridCol w:w="567"/>
              <w:gridCol w:w="567"/>
              <w:gridCol w:w="567"/>
              <w:gridCol w:w="567"/>
              <w:gridCol w:w="567"/>
              <w:gridCol w:w="567"/>
              <w:gridCol w:w="567"/>
              <w:gridCol w:w="567"/>
            </w:tblGrid>
            <w:tr w14:paraId="6C5C45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 w:hRule="atLeast"/>
                <w:jc w:val="center"/>
              </w:trPr>
              <w:tc>
                <w:tcPr>
                  <w:tcW w:w="567" w:type="dxa"/>
                  <w:noWrap w:val="0"/>
                  <w:vAlign w:val="center"/>
                </w:tcPr>
                <w:p w14:paraId="6AC1E2DC">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抽中号码</w:t>
                  </w:r>
                </w:p>
              </w:tc>
              <w:tc>
                <w:tcPr>
                  <w:tcW w:w="567" w:type="dxa"/>
                  <w:noWrap w:val="0"/>
                  <w:vAlign w:val="center"/>
                </w:tcPr>
                <w:p w14:paraId="17AA32AD">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w:t>
                  </w:r>
                </w:p>
              </w:tc>
              <w:tc>
                <w:tcPr>
                  <w:tcW w:w="567" w:type="dxa"/>
                  <w:noWrap w:val="0"/>
                  <w:vAlign w:val="center"/>
                </w:tcPr>
                <w:p w14:paraId="7A5F762C">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w:t>
                  </w:r>
                </w:p>
              </w:tc>
              <w:tc>
                <w:tcPr>
                  <w:tcW w:w="567" w:type="dxa"/>
                  <w:noWrap w:val="0"/>
                  <w:vAlign w:val="center"/>
                </w:tcPr>
                <w:p w14:paraId="7408B52C">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3</w:t>
                  </w:r>
                </w:p>
              </w:tc>
              <w:tc>
                <w:tcPr>
                  <w:tcW w:w="567" w:type="dxa"/>
                  <w:noWrap w:val="0"/>
                  <w:vAlign w:val="center"/>
                </w:tcPr>
                <w:p w14:paraId="5B298AD6">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4</w:t>
                  </w:r>
                </w:p>
              </w:tc>
              <w:tc>
                <w:tcPr>
                  <w:tcW w:w="567" w:type="dxa"/>
                  <w:noWrap w:val="0"/>
                  <w:vAlign w:val="center"/>
                </w:tcPr>
                <w:p w14:paraId="7AED8580">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5</w:t>
                  </w:r>
                </w:p>
              </w:tc>
              <w:tc>
                <w:tcPr>
                  <w:tcW w:w="567" w:type="dxa"/>
                  <w:noWrap w:val="0"/>
                  <w:vAlign w:val="center"/>
                </w:tcPr>
                <w:p w14:paraId="6D6C8067">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6</w:t>
                  </w:r>
                </w:p>
              </w:tc>
              <w:tc>
                <w:tcPr>
                  <w:tcW w:w="567" w:type="dxa"/>
                  <w:noWrap w:val="0"/>
                  <w:vAlign w:val="center"/>
                </w:tcPr>
                <w:p w14:paraId="5424718C">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7</w:t>
                  </w:r>
                </w:p>
              </w:tc>
              <w:tc>
                <w:tcPr>
                  <w:tcW w:w="567" w:type="dxa"/>
                  <w:noWrap w:val="0"/>
                  <w:vAlign w:val="center"/>
                </w:tcPr>
                <w:p w14:paraId="50BD06CE">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8</w:t>
                  </w:r>
                </w:p>
              </w:tc>
              <w:tc>
                <w:tcPr>
                  <w:tcW w:w="567" w:type="dxa"/>
                  <w:noWrap w:val="0"/>
                  <w:vAlign w:val="center"/>
                </w:tcPr>
                <w:p w14:paraId="0104AF35">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9</w:t>
                  </w:r>
                </w:p>
              </w:tc>
              <w:tc>
                <w:tcPr>
                  <w:tcW w:w="567" w:type="dxa"/>
                  <w:noWrap w:val="0"/>
                  <w:vAlign w:val="center"/>
                </w:tcPr>
                <w:p w14:paraId="0A216E41">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10</w:t>
                  </w:r>
                </w:p>
              </w:tc>
            </w:tr>
            <w:tr w14:paraId="02B8605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 w:hRule="atLeast"/>
                <w:jc w:val="center"/>
              </w:trPr>
              <w:tc>
                <w:tcPr>
                  <w:tcW w:w="567" w:type="dxa"/>
                  <w:noWrap w:val="0"/>
                  <w:vAlign w:val="center"/>
                </w:tcPr>
                <w:p w14:paraId="43238F27">
                  <w:pPr>
                    <w:shd w:val="clear" w:color="auto" w:fill="auto"/>
                    <w:snapToGrid w:val="0"/>
                    <w:jc w:val="center"/>
                    <w:rPr>
                      <w:rFonts w:hint="eastAsia" w:ascii="宋体" w:hAnsi="宋体" w:eastAsia="宋体" w:cs="宋体"/>
                      <w:b/>
                      <w:bCs/>
                      <w:color w:val="auto"/>
                      <w:spacing w:val="-16"/>
                      <w:sz w:val="16"/>
                      <w:szCs w:val="16"/>
                      <w:highlight w:val="none"/>
                    </w:rPr>
                  </w:pPr>
                  <w:r>
                    <w:rPr>
                      <w:rFonts w:hint="eastAsia" w:ascii="宋体" w:hAnsi="宋体" w:eastAsia="宋体" w:cs="宋体"/>
                      <w:b/>
                      <w:bCs/>
                      <w:color w:val="auto"/>
                      <w:spacing w:val="-16"/>
                      <w:sz w:val="16"/>
                      <w:szCs w:val="16"/>
                      <w:highlight w:val="none"/>
                    </w:rPr>
                    <w:t>下浮系数</w:t>
                  </w:r>
                </w:p>
              </w:tc>
              <w:tc>
                <w:tcPr>
                  <w:tcW w:w="567" w:type="dxa"/>
                  <w:noWrap w:val="0"/>
                  <w:vAlign w:val="center"/>
                </w:tcPr>
                <w:p w14:paraId="392E620E">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0.00</w:t>
                  </w:r>
                </w:p>
              </w:tc>
              <w:tc>
                <w:tcPr>
                  <w:tcW w:w="567" w:type="dxa"/>
                  <w:noWrap w:val="0"/>
                  <w:vAlign w:val="center"/>
                </w:tcPr>
                <w:p w14:paraId="084ED862">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0.10</w:t>
                  </w:r>
                </w:p>
              </w:tc>
              <w:tc>
                <w:tcPr>
                  <w:tcW w:w="567" w:type="dxa"/>
                  <w:noWrap w:val="0"/>
                  <w:vAlign w:val="center"/>
                </w:tcPr>
                <w:p w14:paraId="5A3BE308">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0.20</w:t>
                  </w:r>
                </w:p>
              </w:tc>
              <w:tc>
                <w:tcPr>
                  <w:tcW w:w="567" w:type="dxa"/>
                  <w:noWrap w:val="0"/>
                  <w:vAlign w:val="center"/>
                </w:tcPr>
                <w:p w14:paraId="18A2687C">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0.30</w:t>
                  </w:r>
                </w:p>
              </w:tc>
              <w:tc>
                <w:tcPr>
                  <w:tcW w:w="567" w:type="dxa"/>
                  <w:noWrap w:val="0"/>
                  <w:vAlign w:val="center"/>
                </w:tcPr>
                <w:p w14:paraId="136A12BC">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0.40</w:t>
                  </w:r>
                </w:p>
              </w:tc>
              <w:tc>
                <w:tcPr>
                  <w:tcW w:w="567" w:type="dxa"/>
                  <w:noWrap w:val="0"/>
                  <w:vAlign w:val="center"/>
                </w:tcPr>
                <w:p w14:paraId="6B88015C">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0.50</w:t>
                  </w:r>
                </w:p>
              </w:tc>
              <w:tc>
                <w:tcPr>
                  <w:tcW w:w="567" w:type="dxa"/>
                  <w:noWrap w:val="0"/>
                  <w:vAlign w:val="center"/>
                </w:tcPr>
                <w:p w14:paraId="056472F5">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0.60</w:t>
                  </w:r>
                </w:p>
              </w:tc>
              <w:tc>
                <w:tcPr>
                  <w:tcW w:w="567" w:type="dxa"/>
                  <w:noWrap w:val="0"/>
                  <w:vAlign w:val="center"/>
                </w:tcPr>
                <w:p w14:paraId="542F16DB">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0.70</w:t>
                  </w:r>
                </w:p>
              </w:tc>
              <w:tc>
                <w:tcPr>
                  <w:tcW w:w="567" w:type="dxa"/>
                  <w:noWrap w:val="0"/>
                  <w:vAlign w:val="center"/>
                </w:tcPr>
                <w:p w14:paraId="64AAFC3A">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0.80</w:t>
                  </w:r>
                </w:p>
              </w:tc>
              <w:tc>
                <w:tcPr>
                  <w:tcW w:w="567" w:type="dxa"/>
                  <w:noWrap w:val="0"/>
                  <w:vAlign w:val="center"/>
                </w:tcPr>
                <w:p w14:paraId="58995A62">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0.90</w:t>
                  </w:r>
                </w:p>
              </w:tc>
            </w:tr>
            <w:tr w14:paraId="59EA46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 w:hRule="atLeast"/>
                <w:jc w:val="center"/>
              </w:trPr>
              <w:tc>
                <w:tcPr>
                  <w:tcW w:w="567" w:type="dxa"/>
                  <w:noWrap w:val="0"/>
                  <w:vAlign w:val="center"/>
                </w:tcPr>
                <w:p w14:paraId="2CD7373F">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抽中号码</w:t>
                  </w:r>
                </w:p>
              </w:tc>
              <w:tc>
                <w:tcPr>
                  <w:tcW w:w="567" w:type="dxa"/>
                  <w:noWrap w:val="0"/>
                  <w:vAlign w:val="center"/>
                </w:tcPr>
                <w:p w14:paraId="13FC70B3">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11</w:t>
                  </w:r>
                </w:p>
              </w:tc>
              <w:tc>
                <w:tcPr>
                  <w:tcW w:w="567" w:type="dxa"/>
                  <w:noWrap w:val="0"/>
                  <w:vAlign w:val="center"/>
                </w:tcPr>
                <w:p w14:paraId="41A223A6">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12</w:t>
                  </w:r>
                </w:p>
              </w:tc>
              <w:tc>
                <w:tcPr>
                  <w:tcW w:w="567" w:type="dxa"/>
                  <w:noWrap w:val="0"/>
                  <w:vAlign w:val="center"/>
                </w:tcPr>
                <w:p w14:paraId="32E185E2">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13</w:t>
                  </w:r>
                </w:p>
              </w:tc>
              <w:tc>
                <w:tcPr>
                  <w:tcW w:w="567" w:type="dxa"/>
                  <w:noWrap w:val="0"/>
                  <w:vAlign w:val="center"/>
                </w:tcPr>
                <w:p w14:paraId="0F7EAA87">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14</w:t>
                  </w:r>
                </w:p>
              </w:tc>
              <w:tc>
                <w:tcPr>
                  <w:tcW w:w="567" w:type="dxa"/>
                  <w:noWrap w:val="0"/>
                  <w:vAlign w:val="center"/>
                </w:tcPr>
                <w:p w14:paraId="0C79587B">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15</w:t>
                  </w:r>
                </w:p>
              </w:tc>
              <w:tc>
                <w:tcPr>
                  <w:tcW w:w="567" w:type="dxa"/>
                  <w:noWrap w:val="0"/>
                  <w:vAlign w:val="center"/>
                </w:tcPr>
                <w:p w14:paraId="170D782C">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16</w:t>
                  </w:r>
                </w:p>
              </w:tc>
              <w:tc>
                <w:tcPr>
                  <w:tcW w:w="567" w:type="dxa"/>
                  <w:noWrap w:val="0"/>
                  <w:vAlign w:val="center"/>
                </w:tcPr>
                <w:p w14:paraId="57F8A6BA">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17</w:t>
                  </w:r>
                </w:p>
              </w:tc>
              <w:tc>
                <w:tcPr>
                  <w:tcW w:w="567" w:type="dxa"/>
                  <w:noWrap w:val="0"/>
                  <w:vAlign w:val="center"/>
                </w:tcPr>
                <w:p w14:paraId="694164A9">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18</w:t>
                  </w:r>
                </w:p>
              </w:tc>
              <w:tc>
                <w:tcPr>
                  <w:tcW w:w="567" w:type="dxa"/>
                  <w:noWrap w:val="0"/>
                  <w:vAlign w:val="center"/>
                </w:tcPr>
                <w:p w14:paraId="5A49781C">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19</w:t>
                  </w:r>
                </w:p>
              </w:tc>
              <w:tc>
                <w:tcPr>
                  <w:tcW w:w="567" w:type="dxa"/>
                  <w:noWrap w:val="0"/>
                  <w:vAlign w:val="center"/>
                </w:tcPr>
                <w:p w14:paraId="18F76457">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20</w:t>
                  </w:r>
                </w:p>
              </w:tc>
            </w:tr>
            <w:tr w14:paraId="10739B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 w:hRule="atLeast"/>
                <w:jc w:val="center"/>
              </w:trPr>
              <w:tc>
                <w:tcPr>
                  <w:tcW w:w="567" w:type="dxa"/>
                  <w:noWrap w:val="0"/>
                  <w:vAlign w:val="center"/>
                </w:tcPr>
                <w:p w14:paraId="597EC836">
                  <w:pPr>
                    <w:shd w:val="clear" w:color="auto" w:fill="auto"/>
                    <w:snapToGrid w:val="0"/>
                    <w:jc w:val="center"/>
                    <w:rPr>
                      <w:rFonts w:hint="eastAsia" w:ascii="宋体" w:hAnsi="宋体" w:eastAsia="宋体" w:cs="宋体"/>
                      <w:b/>
                      <w:bCs/>
                      <w:color w:val="auto"/>
                      <w:spacing w:val="-16"/>
                      <w:sz w:val="16"/>
                      <w:szCs w:val="16"/>
                      <w:highlight w:val="none"/>
                    </w:rPr>
                  </w:pPr>
                  <w:r>
                    <w:rPr>
                      <w:rFonts w:hint="eastAsia" w:ascii="宋体" w:hAnsi="宋体" w:eastAsia="宋体" w:cs="宋体"/>
                      <w:b/>
                      <w:bCs/>
                      <w:color w:val="auto"/>
                      <w:spacing w:val="-16"/>
                      <w:sz w:val="16"/>
                      <w:szCs w:val="16"/>
                      <w:highlight w:val="none"/>
                    </w:rPr>
                    <w:t>下浮系数</w:t>
                  </w:r>
                </w:p>
              </w:tc>
              <w:tc>
                <w:tcPr>
                  <w:tcW w:w="567" w:type="dxa"/>
                  <w:noWrap w:val="0"/>
                  <w:vAlign w:val="center"/>
                </w:tcPr>
                <w:p w14:paraId="43A702B0">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1.00</w:t>
                  </w:r>
                </w:p>
              </w:tc>
              <w:tc>
                <w:tcPr>
                  <w:tcW w:w="567" w:type="dxa"/>
                  <w:noWrap w:val="0"/>
                  <w:vAlign w:val="center"/>
                </w:tcPr>
                <w:p w14:paraId="75CD142B">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1.10</w:t>
                  </w:r>
                </w:p>
              </w:tc>
              <w:tc>
                <w:tcPr>
                  <w:tcW w:w="567" w:type="dxa"/>
                  <w:noWrap w:val="0"/>
                  <w:vAlign w:val="center"/>
                </w:tcPr>
                <w:p w14:paraId="3D3E6673">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1.20</w:t>
                  </w:r>
                </w:p>
              </w:tc>
              <w:tc>
                <w:tcPr>
                  <w:tcW w:w="567" w:type="dxa"/>
                  <w:noWrap w:val="0"/>
                  <w:vAlign w:val="center"/>
                </w:tcPr>
                <w:p w14:paraId="7C24D976">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1.30</w:t>
                  </w:r>
                </w:p>
              </w:tc>
              <w:tc>
                <w:tcPr>
                  <w:tcW w:w="567" w:type="dxa"/>
                  <w:noWrap w:val="0"/>
                  <w:vAlign w:val="center"/>
                </w:tcPr>
                <w:p w14:paraId="5DC25CEF">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1.40</w:t>
                  </w:r>
                </w:p>
              </w:tc>
              <w:tc>
                <w:tcPr>
                  <w:tcW w:w="567" w:type="dxa"/>
                  <w:noWrap w:val="0"/>
                  <w:vAlign w:val="center"/>
                </w:tcPr>
                <w:p w14:paraId="212C6998">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1.50</w:t>
                  </w:r>
                </w:p>
              </w:tc>
              <w:tc>
                <w:tcPr>
                  <w:tcW w:w="567" w:type="dxa"/>
                  <w:noWrap w:val="0"/>
                  <w:vAlign w:val="center"/>
                </w:tcPr>
                <w:p w14:paraId="1DCEE3ED">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1.60</w:t>
                  </w:r>
                </w:p>
              </w:tc>
              <w:tc>
                <w:tcPr>
                  <w:tcW w:w="567" w:type="dxa"/>
                  <w:noWrap w:val="0"/>
                  <w:vAlign w:val="center"/>
                </w:tcPr>
                <w:p w14:paraId="018156E1">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1.70</w:t>
                  </w:r>
                </w:p>
              </w:tc>
              <w:tc>
                <w:tcPr>
                  <w:tcW w:w="567" w:type="dxa"/>
                  <w:noWrap w:val="0"/>
                  <w:vAlign w:val="center"/>
                </w:tcPr>
                <w:p w14:paraId="7C91ADA1">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1.80</w:t>
                  </w:r>
                </w:p>
              </w:tc>
              <w:tc>
                <w:tcPr>
                  <w:tcW w:w="567" w:type="dxa"/>
                  <w:noWrap w:val="0"/>
                  <w:vAlign w:val="center"/>
                </w:tcPr>
                <w:p w14:paraId="3799F699">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1.90</w:t>
                  </w:r>
                </w:p>
              </w:tc>
            </w:tr>
            <w:tr w14:paraId="4B2C2C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 w:hRule="atLeast"/>
                <w:jc w:val="center"/>
              </w:trPr>
              <w:tc>
                <w:tcPr>
                  <w:tcW w:w="567" w:type="dxa"/>
                  <w:noWrap w:val="0"/>
                  <w:vAlign w:val="center"/>
                </w:tcPr>
                <w:p w14:paraId="24CC67E1">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抽中号码</w:t>
                  </w:r>
                </w:p>
              </w:tc>
              <w:tc>
                <w:tcPr>
                  <w:tcW w:w="567" w:type="dxa"/>
                  <w:noWrap w:val="0"/>
                  <w:vAlign w:val="center"/>
                </w:tcPr>
                <w:p w14:paraId="37E973C1">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21</w:t>
                  </w:r>
                </w:p>
              </w:tc>
              <w:tc>
                <w:tcPr>
                  <w:tcW w:w="567" w:type="dxa"/>
                  <w:noWrap w:val="0"/>
                  <w:vAlign w:val="center"/>
                </w:tcPr>
                <w:p w14:paraId="0DA00DDA">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22</w:t>
                  </w:r>
                </w:p>
              </w:tc>
              <w:tc>
                <w:tcPr>
                  <w:tcW w:w="567" w:type="dxa"/>
                  <w:noWrap w:val="0"/>
                  <w:vAlign w:val="center"/>
                </w:tcPr>
                <w:p w14:paraId="74CE68FA">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23</w:t>
                  </w:r>
                </w:p>
              </w:tc>
              <w:tc>
                <w:tcPr>
                  <w:tcW w:w="567" w:type="dxa"/>
                  <w:noWrap w:val="0"/>
                  <w:vAlign w:val="center"/>
                </w:tcPr>
                <w:p w14:paraId="374A829E">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24</w:t>
                  </w:r>
                </w:p>
              </w:tc>
              <w:tc>
                <w:tcPr>
                  <w:tcW w:w="567" w:type="dxa"/>
                  <w:noWrap w:val="0"/>
                  <w:vAlign w:val="center"/>
                </w:tcPr>
                <w:p w14:paraId="7288F718">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25</w:t>
                  </w:r>
                </w:p>
              </w:tc>
              <w:tc>
                <w:tcPr>
                  <w:tcW w:w="567" w:type="dxa"/>
                  <w:noWrap w:val="0"/>
                  <w:vAlign w:val="center"/>
                </w:tcPr>
                <w:p w14:paraId="61055612">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26</w:t>
                  </w:r>
                </w:p>
              </w:tc>
              <w:tc>
                <w:tcPr>
                  <w:tcW w:w="567" w:type="dxa"/>
                  <w:noWrap w:val="0"/>
                  <w:vAlign w:val="center"/>
                </w:tcPr>
                <w:p w14:paraId="4698183F">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27</w:t>
                  </w:r>
                </w:p>
              </w:tc>
              <w:tc>
                <w:tcPr>
                  <w:tcW w:w="567" w:type="dxa"/>
                  <w:noWrap w:val="0"/>
                  <w:vAlign w:val="center"/>
                </w:tcPr>
                <w:p w14:paraId="058A5E1F">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28</w:t>
                  </w:r>
                </w:p>
              </w:tc>
              <w:tc>
                <w:tcPr>
                  <w:tcW w:w="567" w:type="dxa"/>
                  <w:noWrap w:val="0"/>
                  <w:vAlign w:val="center"/>
                </w:tcPr>
                <w:p w14:paraId="53286615">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29</w:t>
                  </w:r>
                </w:p>
              </w:tc>
              <w:tc>
                <w:tcPr>
                  <w:tcW w:w="567" w:type="dxa"/>
                  <w:noWrap w:val="0"/>
                  <w:vAlign w:val="center"/>
                </w:tcPr>
                <w:p w14:paraId="58033439">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30</w:t>
                  </w:r>
                </w:p>
              </w:tc>
            </w:tr>
            <w:tr w14:paraId="5B39A8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 w:hRule="atLeast"/>
                <w:jc w:val="center"/>
              </w:trPr>
              <w:tc>
                <w:tcPr>
                  <w:tcW w:w="567" w:type="dxa"/>
                  <w:noWrap w:val="0"/>
                  <w:vAlign w:val="center"/>
                </w:tcPr>
                <w:p w14:paraId="021177C3">
                  <w:pPr>
                    <w:shd w:val="clear" w:color="auto" w:fill="auto"/>
                    <w:snapToGrid w:val="0"/>
                    <w:jc w:val="center"/>
                    <w:rPr>
                      <w:rFonts w:hint="eastAsia" w:ascii="宋体" w:hAnsi="宋体" w:eastAsia="宋体" w:cs="宋体"/>
                      <w:b/>
                      <w:bCs/>
                      <w:color w:val="auto"/>
                      <w:spacing w:val="-16"/>
                      <w:sz w:val="16"/>
                      <w:szCs w:val="16"/>
                      <w:highlight w:val="none"/>
                    </w:rPr>
                  </w:pPr>
                  <w:r>
                    <w:rPr>
                      <w:rFonts w:hint="eastAsia" w:ascii="宋体" w:hAnsi="宋体" w:eastAsia="宋体" w:cs="宋体"/>
                      <w:b/>
                      <w:bCs/>
                      <w:color w:val="auto"/>
                      <w:spacing w:val="-16"/>
                      <w:sz w:val="16"/>
                      <w:szCs w:val="16"/>
                      <w:highlight w:val="none"/>
                    </w:rPr>
                    <w:t>下浮系数</w:t>
                  </w:r>
                </w:p>
              </w:tc>
              <w:tc>
                <w:tcPr>
                  <w:tcW w:w="567" w:type="dxa"/>
                  <w:noWrap w:val="0"/>
                  <w:vAlign w:val="center"/>
                </w:tcPr>
                <w:p w14:paraId="7ACD3E00">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2.00</w:t>
                  </w:r>
                </w:p>
              </w:tc>
              <w:tc>
                <w:tcPr>
                  <w:tcW w:w="567" w:type="dxa"/>
                  <w:noWrap w:val="0"/>
                  <w:vAlign w:val="center"/>
                </w:tcPr>
                <w:p w14:paraId="1DEFEEB7">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2.10</w:t>
                  </w:r>
                </w:p>
              </w:tc>
              <w:tc>
                <w:tcPr>
                  <w:tcW w:w="567" w:type="dxa"/>
                  <w:noWrap w:val="0"/>
                  <w:vAlign w:val="center"/>
                </w:tcPr>
                <w:p w14:paraId="6AA2F7C3">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2.20</w:t>
                  </w:r>
                </w:p>
              </w:tc>
              <w:tc>
                <w:tcPr>
                  <w:tcW w:w="567" w:type="dxa"/>
                  <w:noWrap w:val="0"/>
                  <w:vAlign w:val="center"/>
                </w:tcPr>
                <w:p w14:paraId="3BE411D9">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2.30</w:t>
                  </w:r>
                </w:p>
              </w:tc>
              <w:tc>
                <w:tcPr>
                  <w:tcW w:w="567" w:type="dxa"/>
                  <w:noWrap w:val="0"/>
                  <w:vAlign w:val="center"/>
                </w:tcPr>
                <w:p w14:paraId="7732FEEF">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2.40</w:t>
                  </w:r>
                </w:p>
              </w:tc>
              <w:tc>
                <w:tcPr>
                  <w:tcW w:w="567" w:type="dxa"/>
                  <w:noWrap w:val="0"/>
                  <w:vAlign w:val="center"/>
                </w:tcPr>
                <w:p w14:paraId="2EC223DC">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2.50</w:t>
                  </w:r>
                </w:p>
              </w:tc>
              <w:tc>
                <w:tcPr>
                  <w:tcW w:w="567" w:type="dxa"/>
                  <w:noWrap w:val="0"/>
                  <w:vAlign w:val="center"/>
                </w:tcPr>
                <w:p w14:paraId="0C8F72D6">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2.60</w:t>
                  </w:r>
                </w:p>
              </w:tc>
              <w:tc>
                <w:tcPr>
                  <w:tcW w:w="567" w:type="dxa"/>
                  <w:noWrap w:val="0"/>
                  <w:vAlign w:val="center"/>
                </w:tcPr>
                <w:p w14:paraId="46E6B28E">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2.70</w:t>
                  </w:r>
                </w:p>
              </w:tc>
              <w:tc>
                <w:tcPr>
                  <w:tcW w:w="567" w:type="dxa"/>
                  <w:noWrap w:val="0"/>
                  <w:vAlign w:val="center"/>
                </w:tcPr>
                <w:p w14:paraId="7216143E">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2.80</w:t>
                  </w:r>
                </w:p>
              </w:tc>
              <w:tc>
                <w:tcPr>
                  <w:tcW w:w="567" w:type="dxa"/>
                  <w:noWrap w:val="0"/>
                  <w:vAlign w:val="center"/>
                </w:tcPr>
                <w:p w14:paraId="32E1B366">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2.90</w:t>
                  </w:r>
                </w:p>
              </w:tc>
            </w:tr>
            <w:tr w14:paraId="24E5C1E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 w:hRule="atLeast"/>
                <w:jc w:val="center"/>
              </w:trPr>
              <w:tc>
                <w:tcPr>
                  <w:tcW w:w="567" w:type="dxa"/>
                  <w:noWrap w:val="0"/>
                  <w:vAlign w:val="center"/>
                </w:tcPr>
                <w:p w14:paraId="70599000">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抽中号码</w:t>
                  </w:r>
                </w:p>
              </w:tc>
              <w:tc>
                <w:tcPr>
                  <w:tcW w:w="567" w:type="dxa"/>
                  <w:noWrap w:val="0"/>
                  <w:vAlign w:val="center"/>
                </w:tcPr>
                <w:p w14:paraId="57DCB53C">
                  <w:pPr>
                    <w:shd w:val="clear" w:color="auto" w:fill="auto"/>
                    <w:snapToGrid w:val="0"/>
                    <w:jc w:val="center"/>
                    <w:rPr>
                      <w:rFonts w:hint="eastAsia" w:ascii="宋体" w:hAnsi="宋体" w:eastAsia="宋体" w:cs="宋体"/>
                      <w:b/>
                      <w:bCs/>
                      <w:color w:val="auto"/>
                      <w:sz w:val="16"/>
                      <w:szCs w:val="16"/>
                      <w:highlight w:val="none"/>
                    </w:rPr>
                  </w:pPr>
                  <w:r>
                    <w:rPr>
                      <w:rFonts w:hint="eastAsia" w:ascii="宋体" w:hAnsi="宋体" w:eastAsia="宋体" w:cs="宋体"/>
                      <w:b/>
                      <w:bCs/>
                      <w:color w:val="auto"/>
                      <w:sz w:val="16"/>
                      <w:szCs w:val="16"/>
                      <w:highlight w:val="none"/>
                    </w:rPr>
                    <w:t>31</w:t>
                  </w:r>
                </w:p>
              </w:tc>
              <w:tc>
                <w:tcPr>
                  <w:tcW w:w="567" w:type="dxa"/>
                  <w:noWrap w:val="0"/>
                  <w:vAlign w:val="center"/>
                </w:tcPr>
                <w:p w14:paraId="46B42B2B">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1A578A08">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663F1548">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132D08BE">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538B85B9">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2FDBAE0D">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24818442">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11AE7304">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20BE9B6B">
                  <w:pPr>
                    <w:shd w:val="clear" w:color="auto" w:fill="auto"/>
                    <w:snapToGrid w:val="0"/>
                    <w:jc w:val="center"/>
                    <w:rPr>
                      <w:rFonts w:hint="eastAsia" w:ascii="宋体" w:hAnsi="宋体" w:eastAsia="宋体" w:cs="宋体"/>
                      <w:b/>
                      <w:bCs/>
                      <w:color w:val="auto"/>
                      <w:sz w:val="16"/>
                      <w:szCs w:val="16"/>
                      <w:highlight w:val="none"/>
                    </w:rPr>
                  </w:pPr>
                </w:p>
              </w:tc>
            </w:tr>
            <w:tr w14:paraId="5F8BEFC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3" w:hRule="atLeast"/>
                <w:jc w:val="center"/>
              </w:trPr>
              <w:tc>
                <w:tcPr>
                  <w:tcW w:w="567" w:type="dxa"/>
                  <w:noWrap w:val="0"/>
                  <w:vAlign w:val="center"/>
                </w:tcPr>
                <w:p w14:paraId="4EE511A8">
                  <w:pPr>
                    <w:shd w:val="clear" w:color="auto" w:fill="auto"/>
                    <w:snapToGrid w:val="0"/>
                    <w:jc w:val="center"/>
                    <w:rPr>
                      <w:rFonts w:hint="eastAsia" w:ascii="宋体" w:hAnsi="宋体" w:eastAsia="宋体" w:cs="宋体"/>
                      <w:b/>
                      <w:bCs/>
                      <w:color w:val="auto"/>
                      <w:spacing w:val="-16"/>
                      <w:sz w:val="16"/>
                      <w:szCs w:val="16"/>
                      <w:highlight w:val="none"/>
                    </w:rPr>
                  </w:pPr>
                  <w:r>
                    <w:rPr>
                      <w:rFonts w:hint="eastAsia" w:ascii="宋体" w:hAnsi="宋体" w:eastAsia="宋体" w:cs="宋体"/>
                      <w:b/>
                      <w:bCs/>
                      <w:color w:val="auto"/>
                      <w:spacing w:val="-16"/>
                      <w:sz w:val="16"/>
                      <w:szCs w:val="16"/>
                      <w:highlight w:val="none"/>
                    </w:rPr>
                    <w:t>下浮系数</w:t>
                  </w:r>
                </w:p>
              </w:tc>
              <w:tc>
                <w:tcPr>
                  <w:tcW w:w="567" w:type="dxa"/>
                  <w:noWrap w:val="0"/>
                  <w:vAlign w:val="center"/>
                </w:tcPr>
                <w:p w14:paraId="048D47F7">
                  <w:pPr>
                    <w:shd w:val="clear" w:color="auto" w:fill="auto"/>
                    <w:snapToGrid w:val="0"/>
                    <w:jc w:val="center"/>
                    <w:rPr>
                      <w:rFonts w:hint="default" w:ascii="宋体" w:hAnsi="宋体" w:eastAsia="宋体" w:cs="宋体"/>
                      <w:b/>
                      <w:bCs/>
                      <w:color w:val="auto"/>
                      <w:sz w:val="16"/>
                      <w:szCs w:val="16"/>
                      <w:highlight w:val="none"/>
                      <w:lang w:val="en-US" w:eastAsia="zh-CN"/>
                    </w:rPr>
                  </w:pPr>
                  <w:r>
                    <w:rPr>
                      <w:rFonts w:hint="eastAsia" w:ascii="宋体" w:hAnsi="宋体" w:eastAsia="宋体" w:cs="宋体"/>
                      <w:b/>
                      <w:bCs/>
                      <w:color w:val="auto"/>
                      <w:sz w:val="16"/>
                      <w:szCs w:val="16"/>
                      <w:highlight w:val="none"/>
                      <w:lang w:val="en-US" w:eastAsia="zh-CN"/>
                    </w:rPr>
                    <w:t>3.00</w:t>
                  </w:r>
                </w:p>
              </w:tc>
              <w:tc>
                <w:tcPr>
                  <w:tcW w:w="567" w:type="dxa"/>
                  <w:noWrap w:val="0"/>
                  <w:vAlign w:val="center"/>
                </w:tcPr>
                <w:p w14:paraId="181B529B">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62D5841E">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5AE8E79F">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6EE0A148">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7DF38E75">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5B86E523">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51249EA6">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4921A781">
                  <w:pPr>
                    <w:shd w:val="clear" w:color="auto" w:fill="auto"/>
                    <w:snapToGrid w:val="0"/>
                    <w:jc w:val="center"/>
                    <w:rPr>
                      <w:rFonts w:hint="eastAsia" w:ascii="宋体" w:hAnsi="宋体" w:eastAsia="宋体" w:cs="宋体"/>
                      <w:b/>
                      <w:bCs/>
                      <w:color w:val="auto"/>
                      <w:sz w:val="16"/>
                      <w:szCs w:val="16"/>
                      <w:highlight w:val="none"/>
                    </w:rPr>
                  </w:pPr>
                </w:p>
              </w:tc>
              <w:tc>
                <w:tcPr>
                  <w:tcW w:w="567" w:type="dxa"/>
                  <w:noWrap w:val="0"/>
                  <w:vAlign w:val="center"/>
                </w:tcPr>
                <w:p w14:paraId="151CD45A">
                  <w:pPr>
                    <w:shd w:val="clear" w:color="auto" w:fill="auto"/>
                    <w:snapToGrid w:val="0"/>
                    <w:jc w:val="center"/>
                    <w:rPr>
                      <w:rFonts w:hint="eastAsia" w:ascii="宋体" w:hAnsi="宋体" w:eastAsia="宋体" w:cs="宋体"/>
                      <w:b/>
                      <w:bCs/>
                      <w:color w:val="auto"/>
                      <w:sz w:val="16"/>
                      <w:szCs w:val="16"/>
                      <w:highlight w:val="none"/>
                    </w:rPr>
                  </w:pPr>
                </w:p>
              </w:tc>
            </w:tr>
          </w:tbl>
          <w:p w14:paraId="7BD5B249">
            <w:pPr>
              <w:keepNext w:val="0"/>
              <w:keepLines w:val="0"/>
              <w:pageBreakBefore w:val="0"/>
              <w:widowControl w:val="0"/>
              <w:shd w:val="clear" w:color="auto" w:fill="auto"/>
              <w:kinsoku/>
              <w:wordWrap/>
              <w:overflowPunct/>
              <w:topLinePunct w:val="0"/>
              <w:autoSpaceDE w:val="0"/>
              <w:autoSpaceDN w:val="0"/>
              <w:bidi w:val="0"/>
              <w:adjustRightInd w:val="0"/>
              <w:spacing w:line="400" w:lineRule="exact"/>
              <w:ind w:right="35"/>
              <w:textAlignment w:val="baseline"/>
              <w:rPr>
                <w:rFonts w:hint="eastAsia" w:ascii="宋体" w:hAnsi="宋体" w:eastAsia="宋体" w:cs="宋体"/>
                <w:color w:val="auto"/>
                <w:sz w:val="21"/>
                <w:szCs w:val="21"/>
                <w:highlight w:val="none"/>
              </w:rPr>
            </w:pPr>
          </w:p>
          <w:p w14:paraId="6ABEA2A6">
            <w:pPr>
              <w:keepNext w:val="0"/>
              <w:keepLines w:val="0"/>
              <w:pageBreakBefore w:val="0"/>
              <w:widowControl w:val="0"/>
              <w:shd w:val="clear" w:color="auto" w:fill="auto"/>
              <w:kinsoku/>
              <w:wordWrap/>
              <w:overflowPunct/>
              <w:topLinePunct w:val="0"/>
              <w:autoSpaceDE w:val="0"/>
              <w:autoSpaceDN w:val="0"/>
              <w:bidi w:val="0"/>
              <w:adjustRightInd w:val="0"/>
              <w:spacing w:line="400" w:lineRule="exact"/>
              <w:ind w:right="35"/>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最高评标限价＝</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最高投标限价</w:t>
            </w:r>
            <w:r>
              <w:rPr>
                <w:rFonts w:hint="eastAsia" w:ascii="宋体" w:hAnsi="宋体" w:eastAsia="宋体" w:cs="宋体"/>
                <w:color w:val="auto"/>
                <w:sz w:val="21"/>
                <w:szCs w:val="21"/>
                <w:highlight w:val="none"/>
                <w:lang w:val="en-US" w:eastAsia="zh-CN"/>
              </w:rPr>
              <w:t>-安全生产费</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×（1-下浮率）</w:t>
            </w:r>
          </w:p>
          <w:p w14:paraId="7B7D3757">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（3）有效评标价范围：</w:t>
            </w:r>
          </w:p>
          <w:p w14:paraId="7DB52C4B">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有效评标价范围为：不大于最高评标限价的评标价为有效评标价。</w:t>
            </w:r>
            <w:r>
              <w:rPr>
                <w:rFonts w:hint="eastAsia" w:ascii="宋体" w:hAnsi="宋体" w:eastAsia="宋体" w:cs="宋体"/>
                <w:color w:val="auto"/>
                <w:sz w:val="21"/>
                <w:szCs w:val="21"/>
                <w:highlight w:val="none"/>
                <w:lang w:val="en-US" w:eastAsia="zh-CN"/>
              </w:rPr>
              <w:t>若</w:t>
            </w:r>
            <w:r>
              <w:rPr>
                <w:rFonts w:hint="eastAsia" w:ascii="宋体" w:hAnsi="宋体" w:eastAsia="宋体" w:cs="宋体"/>
                <w:color w:val="auto"/>
                <w:sz w:val="21"/>
                <w:szCs w:val="21"/>
                <w:highlight w:val="none"/>
              </w:rPr>
              <w:t>大于最高评标限价的评标价，将否决其投标。</w:t>
            </w:r>
          </w:p>
          <w:p w14:paraId="7EAD1E5C">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（4）确定参与评标基准价计算的评标价平均值计算：</w:t>
            </w:r>
          </w:p>
          <w:p w14:paraId="6CF61AD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①参与评标基准价计算的评标价的范围：最高评标限价的85%≤参与评标基准价计算的评标价≤最高评标限价的100%，小于最高评标限价的85%的评标价不参与评标基准价的计算，但仍参与评标价的得分计算。</w:t>
            </w:r>
          </w:p>
          <w:p w14:paraId="5BD1A08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参与评标基准价计算的有效评标价的平均值计算：除按第二章“投标人须知”第5.2.4项规定开标现场被宣布为不进入评标基准价计算的投标报价之外，在上述确定的参与评标基准价计算的评标价中去掉一个最高值和一个最低值后的算术平均值即为参与评标基准价计算的有效评标价的平均值(如果参与评标价平均值计算的有效投标人少于5家时，则计算上述平均值时不去掉最高值和最低值；</w:t>
            </w:r>
          </w:p>
          <w:p w14:paraId="5C1526A3">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投标人的评标价均小于最高评标限价的85%时，则以最高评标限价的85%为评标基准价。评标委员会可对评标价小于最高评标限价的85％的启动澄清程序，要求投标人作出书面说明并提供相关证明材料，若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可以否决全部投标。未否决全部投标的，评标委员会应当在评标报告中阐明理由并推荐</w:t>
            </w:r>
            <w:r>
              <w:rPr>
                <w:rFonts w:hint="eastAsia" w:ascii="宋体" w:hAnsi="宋体" w:eastAsia="宋体" w:cs="宋体"/>
                <w:color w:val="auto"/>
                <w:sz w:val="21"/>
                <w:szCs w:val="21"/>
                <w:highlight w:val="none"/>
                <w:lang w:val="en-US" w:eastAsia="zh-CN"/>
              </w:rPr>
              <w:t>中标候选人</w:t>
            </w:r>
            <w:r>
              <w:rPr>
                <w:rFonts w:hint="eastAsia" w:ascii="宋体" w:hAnsi="宋体" w:eastAsia="宋体" w:cs="宋体"/>
                <w:color w:val="auto"/>
                <w:sz w:val="21"/>
                <w:szCs w:val="21"/>
                <w:highlight w:val="none"/>
              </w:rPr>
              <w:t>。</w:t>
            </w:r>
          </w:p>
          <w:p w14:paraId="058D4FDC">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即使某投标文件第二信封未通过形式评审与响应性评审，如其报价处于参与评标基准价计算的评标价的有效范围内，其评标价仍应参与有效评标价平均值的计算。</w:t>
            </w:r>
          </w:p>
          <w:p w14:paraId="63F122BA">
            <w:pPr>
              <w:keepNext w:val="0"/>
              <w:keepLines w:val="0"/>
              <w:pageBreakBefore w:val="0"/>
              <w:widowControl w:val="0"/>
              <w:numPr>
                <w:ilvl w:val="0"/>
                <w:numId w:val="1"/>
              </w:numPr>
              <w:shd w:val="clear" w:color="auto" w:fill="auto"/>
              <w:kinsoku/>
              <w:wordWrap/>
              <w:overflowPunct/>
              <w:topLinePunct w:val="0"/>
              <w:autoSpaceDE/>
              <w:autoSpaceDN/>
              <w:bidi w:val="0"/>
              <w:adjustRightInd w:val="0"/>
              <w:snapToGrid w:val="0"/>
              <w:spacing w:line="440" w:lineRule="exact"/>
              <w:ind w:left="105" w:leftChars="50" w:right="0" w:firstLine="0" w:firstLineChars="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评标基准价的确定：</w:t>
            </w:r>
          </w:p>
          <w:p w14:paraId="44EC32D7">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40" w:lineRule="exact"/>
              <w:ind w:leftChars="50" w:right="0" w:rightChars="0" w:firstLine="420" w:firstLineChars="200"/>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最高评标限价下浮</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作为评标基准价</w:t>
            </w:r>
            <w:r>
              <w:rPr>
                <w:rFonts w:hint="eastAsia" w:ascii="宋体" w:hAnsi="宋体" w:eastAsia="宋体" w:cs="宋体"/>
                <w:color w:val="auto"/>
                <w:sz w:val="21"/>
                <w:szCs w:val="21"/>
                <w:highlight w:val="none"/>
                <w:lang w:eastAsia="zh-CN"/>
              </w:rPr>
              <w:t>。</w:t>
            </w:r>
          </w:p>
          <w:p w14:paraId="6519675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left="105" w:leftChars="50" w:right="0"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p w14:paraId="0454BF38">
            <w:pPr>
              <w:pStyle w:val="6"/>
              <w:keepNext w:val="0"/>
              <w:keepLines w:val="0"/>
              <w:pageBreakBefore w:val="0"/>
              <w:widowControl w:val="0"/>
              <w:shd w:val="clear" w:color="auto" w:fill="auto"/>
              <w:kinsoku/>
              <w:wordWrap/>
              <w:overflowPunct/>
              <w:topLinePunct w:val="0"/>
              <w:autoSpaceDE/>
              <w:autoSpaceDN/>
              <w:bidi w:val="0"/>
              <w:snapToGrid/>
              <w:spacing w:after="0" w:line="440" w:lineRule="exact"/>
              <w:ind w:left="105" w:leftChars="50" w:right="0"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备注：最高评标限价、评标基准价四舍五入至个位整数元</w:t>
            </w:r>
            <w:r>
              <w:rPr>
                <w:rFonts w:hint="eastAsia" w:ascii="宋体" w:hAnsi="宋体" w:eastAsia="宋体" w:cs="宋体"/>
                <w:color w:val="auto"/>
                <w:sz w:val="21"/>
                <w:szCs w:val="21"/>
                <w:highlight w:val="none"/>
                <w:lang w:eastAsia="zh-CN"/>
              </w:rPr>
              <w:t>。</w:t>
            </w:r>
          </w:p>
        </w:tc>
      </w:tr>
      <w:tr w14:paraId="0A1D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107" w:type="dxa"/>
            <w:noWrap w:val="0"/>
            <w:vAlign w:val="center"/>
          </w:tcPr>
          <w:p w14:paraId="18D7569D">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1582" w:type="dxa"/>
            <w:noWrap w:val="0"/>
            <w:vAlign w:val="center"/>
          </w:tcPr>
          <w:p w14:paraId="043737A7">
            <w:pPr>
              <w:shd w:val="clear" w:color="auto" w:fill="auto"/>
              <w:spacing w:line="320" w:lineRule="exact"/>
              <w:jc w:val="center"/>
              <w:rPr>
                <w:rFonts w:ascii="宋体" w:hAnsi="宋体" w:cs="宋体"/>
                <w:color w:val="auto"/>
                <w:szCs w:val="21"/>
                <w:highlight w:val="none"/>
              </w:rPr>
            </w:pPr>
            <w:r>
              <w:rPr>
                <w:rFonts w:hint="eastAsia" w:ascii="宋体" w:hAnsi="宋体" w:eastAsia="宋体" w:cs="宋体"/>
                <w:color w:val="auto"/>
                <w:sz w:val="21"/>
                <w:szCs w:val="21"/>
                <w:highlight w:val="none"/>
              </w:rPr>
              <w:t>评标价的偏差率计算公式</w:t>
            </w:r>
          </w:p>
        </w:tc>
        <w:tc>
          <w:tcPr>
            <w:tcW w:w="6383" w:type="dxa"/>
            <w:noWrap w:val="0"/>
            <w:vAlign w:val="center"/>
          </w:tcPr>
          <w:p w14:paraId="7F4372AD">
            <w:pPr>
              <w:shd w:val="clear" w:color="auto" w:fill="auto"/>
              <w:spacing w:line="360" w:lineRule="exact"/>
              <w:rPr>
                <w:rFonts w:hint="eastAsia" w:ascii="宋体" w:hAnsi="宋体" w:eastAsia="宋体" w:cs="宋体"/>
                <w:color w:val="auto"/>
                <w:szCs w:val="21"/>
                <w:highlight w:val="none"/>
                <w:lang w:eastAsia="zh-CN"/>
              </w:rPr>
            </w:pPr>
            <w:r>
              <w:rPr>
                <w:rFonts w:hint="eastAsia" w:ascii="宋体" w:hAnsi="宋体" w:eastAsia="宋体" w:cs="宋体"/>
                <w:color w:val="auto"/>
                <w:sz w:val="21"/>
                <w:szCs w:val="21"/>
                <w:highlight w:val="none"/>
              </w:rPr>
              <w:t>偏差率=100%×（投标人评标价-评标基准价）/评标基准价</w:t>
            </w:r>
          </w:p>
        </w:tc>
      </w:tr>
      <w:tr w14:paraId="4683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07" w:type="dxa"/>
            <w:noWrap w:val="0"/>
            <w:vAlign w:val="center"/>
          </w:tcPr>
          <w:p w14:paraId="3D4312D5">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2.2.4</w:t>
            </w:r>
          </w:p>
          <w:p w14:paraId="4CBAA4BB">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w:t>
            </w:r>
          </w:p>
        </w:tc>
        <w:tc>
          <w:tcPr>
            <w:tcW w:w="1582" w:type="dxa"/>
            <w:noWrap w:val="0"/>
            <w:vAlign w:val="center"/>
          </w:tcPr>
          <w:p w14:paraId="0FFD7C12">
            <w:pPr>
              <w:shd w:val="clear" w:color="auto" w:fill="auto"/>
              <w:spacing w:line="32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评标价</w:t>
            </w:r>
          </w:p>
        </w:tc>
        <w:tc>
          <w:tcPr>
            <w:tcW w:w="6383" w:type="dxa"/>
            <w:noWrap w:val="0"/>
            <w:vAlign w:val="center"/>
          </w:tcPr>
          <w:p w14:paraId="55DE24F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95分</w:t>
            </w:r>
          </w:p>
          <w:p w14:paraId="5473B031">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方法一：适用于下浮率摇取1个球的情况：</w:t>
            </w:r>
          </w:p>
          <w:p w14:paraId="4EF09A3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评标价得分计算公式示例：</w:t>
            </w:r>
          </w:p>
          <w:p w14:paraId="1F9469F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如果投标人的评标价&gt;评标基准价，则评标价得分＝</w:t>
            </w:r>
            <w:r>
              <w:rPr>
                <w:rFonts w:hint="eastAsia" w:ascii="宋体" w:hAnsi="宋体" w:eastAsia="宋体" w:cs="宋体"/>
                <w:color w:val="auto"/>
                <w:sz w:val="21"/>
                <w:szCs w:val="21"/>
                <w:highlight w:val="none"/>
                <w:lang w:val="en-US" w:eastAsia="zh-CN"/>
              </w:rPr>
              <w:t>95</w:t>
            </w:r>
            <w:r>
              <w:rPr>
                <w:rFonts w:hint="eastAsia" w:ascii="宋体" w:hAnsi="宋体" w:eastAsia="宋体" w:cs="宋体"/>
                <w:color w:val="auto"/>
                <w:sz w:val="21"/>
                <w:szCs w:val="21"/>
                <w:highlight w:val="none"/>
              </w:rPr>
              <w:t>－偏差率×100×D1；D1取</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w:t>
            </w:r>
          </w:p>
          <w:p w14:paraId="0F1C5DB4">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如果投标人的评标价≤评标基准价，则评标价得分＝</w:t>
            </w:r>
            <w:r>
              <w:rPr>
                <w:rFonts w:hint="eastAsia" w:ascii="宋体" w:hAnsi="宋体" w:eastAsia="宋体" w:cs="宋体"/>
                <w:color w:val="auto"/>
                <w:sz w:val="21"/>
                <w:szCs w:val="21"/>
                <w:highlight w:val="none"/>
                <w:lang w:val="en-US" w:eastAsia="zh-CN"/>
              </w:rPr>
              <w:t>95</w:t>
            </w:r>
            <w:r>
              <w:rPr>
                <w:rFonts w:hint="eastAsia" w:ascii="宋体" w:hAnsi="宋体" w:eastAsia="宋体" w:cs="宋体"/>
                <w:color w:val="auto"/>
                <w:sz w:val="21"/>
                <w:szCs w:val="21"/>
                <w:highlight w:val="none"/>
              </w:rPr>
              <w:t>＋偏差率×100×D2；D2取</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p>
          <w:p w14:paraId="7D2CF7F6">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方法二：适用于下浮率摇取3个球的情况：</w:t>
            </w:r>
          </w:p>
          <w:p w14:paraId="400806E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评标价得分计算公式示例：</w:t>
            </w:r>
          </w:p>
          <w:p w14:paraId="574DCAE9">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如果投标人的评标价&gt;评标基准价，则评标价得分＝</w:t>
            </w:r>
            <w:r>
              <w:rPr>
                <w:rFonts w:hint="eastAsia" w:ascii="宋体" w:hAnsi="宋体" w:eastAsia="宋体" w:cs="宋体"/>
                <w:color w:val="auto"/>
                <w:sz w:val="21"/>
                <w:szCs w:val="21"/>
                <w:highlight w:val="none"/>
                <w:lang w:val="en-US" w:eastAsia="zh-CN"/>
              </w:rPr>
              <w:t>95</w:t>
            </w:r>
            <w:r>
              <w:rPr>
                <w:rFonts w:hint="eastAsia" w:ascii="宋体" w:hAnsi="宋体" w:eastAsia="宋体" w:cs="宋体"/>
                <w:color w:val="auto"/>
                <w:sz w:val="21"/>
                <w:szCs w:val="21"/>
                <w:highlight w:val="none"/>
              </w:rPr>
              <w:t>－偏差率×100×D1；D1取</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w:t>
            </w:r>
          </w:p>
          <w:p w14:paraId="7FF6A648">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如果投标人的评标价≤评标基准价，则评标价得分＝</w:t>
            </w:r>
            <w:r>
              <w:rPr>
                <w:rFonts w:hint="eastAsia" w:ascii="宋体" w:hAnsi="宋体" w:eastAsia="宋体" w:cs="宋体"/>
                <w:color w:val="auto"/>
                <w:sz w:val="21"/>
                <w:szCs w:val="21"/>
                <w:highlight w:val="none"/>
                <w:lang w:val="en-US" w:eastAsia="zh-CN"/>
              </w:rPr>
              <w:t>95</w:t>
            </w:r>
            <w:r>
              <w:rPr>
                <w:rFonts w:hint="eastAsia" w:ascii="宋体" w:hAnsi="宋体" w:eastAsia="宋体" w:cs="宋体"/>
                <w:color w:val="auto"/>
                <w:sz w:val="21"/>
                <w:szCs w:val="21"/>
                <w:highlight w:val="none"/>
              </w:rPr>
              <w:t>＋偏差率×100×D2；D2取</w:t>
            </w:r>
            <w:r>
              <w:rPr>
                <w:rFonts w:hint="eastAsia" w:ascii="宋体" w:hAnsi="宋体" w:eastAsia="宋体" w:cs="宋体"/>
                <w:color w:val="auto"/>
                <w:sz w:val="21"/>
                <w:szCs w:val="21"/>
                <w:highlight w:val="none"/>
                <w:lang w:val="en-US" w:eastAsia="zh-CN"/>
              </w:rPr>
              <w:t>0.5</w:t>
            </w:r>
            <w:r>
              <w:rPr>
                <w:rFonts w:hint="eastAsia" w:ascii="宋体" w:hAnsi="宋体" w:eastAsia="宋体" w:cs="宋体"/>
                <w:color w:val="auto"/>
                <w:sz w:val="21"/>
                <w:szCs w:val="21"/>
                <w:highlight w:val="none"/>
              </w:rPr>
              <w:t>。</w:t>
            </w:r>
          </w:p>
          <w:p w14:paraId="5035C92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注：评标价得分计算保留小数点后四位，小数点后第五位“四舍五入”。</w:t>
            </w:r>
          </w:p>
        </w:tc>
      </w:tr>
      <w:tr w14:paraId="3636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107" w:type="dxa"/>
            <w:noWrap w:val="0"/>
            <w:vAlign w:val="center"/>
          </w:tcPr>
          <w:p w14:paraId="7EA3278E">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2.2.4</w:t>
            </w:r>
          </w:p>
          <w:p w14:paraId="326A6776">
            <w:pPr>
              <w:keepNext w:val="0"/>
              <w:keepLines w:val="0"/>
              <w:pageBreakBefore w:val="0"/>
              <w:widowControl w:val="0"/>
              <w:shd w:val="clear" w:color="auto" w:fill="auto"/>
              <w:kinsoku/>
              <w:wordWrap/>
              <w:overflowPunct/>
              <w:topLinePunct w:val="0"/>
              <w:bidi w:val="0"/>
              <w:snapToGrid/>
              <w:spacing w:line="360" w:lineRule="auto"/>
              <w:ind w:left="105" w:leftChars="50" w:right="113"/>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82" w:type="dxa"/>
            <w:noWrap w:val="0"/>
            <w:vAlign w:val="center"/>
          </w:tcPr>
          <w:p w14:paraId="5B318318">
            <w:pPr>
              <w:shd w:val="clear" w:color="auto" w:fill="auto"/>
              <w:spacing w:line="320" w:lineRule="exac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其他因素</w:t>
            </w:r>
          </w:p>
        </w:tc>
        <w:tc>
          <w:tcPr>
            <w:tcW w:w="6383" w:type="dxa"/>
            <w:noWrap w:val="0"/>
            <w:vAlign w:val="center"/>
          </w:tcPr>
          <w:p w14:paraId="5CE6912B">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履约信誉情况：</w:t>
            </w:r>
          </w:p>
          <w:p w14:paraId="763AD4BD">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1.信用等级分值（</w:t>
            </w: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分）</w:t>
            </w:r>
          </w:p>
          <w:p w14:paraId="0722013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AA、A、B、C级单位的信用等级分得分分别为</w:t>
            </w: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2.25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1.75</w:t>
            </w:r>
            <w:r>
              <w:rPr>
                <w:rFonts w:hint="eastAsia" w:ascii="宋体" w:hAnsi="宋体" w:eastAsia="宋体" w:cs="宋体"/>
                <w:color w:val="auto"/>
                <w:sz w:val="21"/>
                <w:szCs w:val="21"/>
                <w:highlight w:val="none"/>
              </w:rPr>
              <w:t>分。</w:t>
            </w:r>
          </w:p>
          <w:p w14:paraId="7E46CD8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注：信用等级的确定原则应遵循投标人须知前附表10.2款的规定。</w:t>
            </w:r>
          </w:p>
          <w:p w14:paraId="0D30E750">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2.履约情况（</w:t>
            </w: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分）</w:t>
            </w:r>
          </w:p>
          <w:p w14:paraId="135114DA">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若没出现下述情形得满分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得满分2.5分</w:t>
            </w:r>
            <w:r>
              <w:rPr>
                <w:rFonts w:hint="eastAsia" w:ascii="宋体" w:hAnsi="宋体" w:eastAsia="宋体" w:cs="宋体"/>
                <w:color w:val="auto"/>
                <w:sz w:val="21"/>
                <w:szCs w:val="21"/>
                <w:highlight w:val="none"/>
              </w:rPr>
              <w:t>；</w:t>
            </w:r>
          </w:p>
          <w:p w14:paraId="7DAAEC6F">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投标文件递交截止日前1年内，投标人因公路工程（含附属设施）质量、安全、履约或招标投标问题等原因被：</w:t>
            </w:r>
          </w:p>
          <w:p w14:paraId="5F15576C">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（1）交通运输部行政处罚的，扣</w:t>
            </w:r>
            <w:r>
              <w:rPr>
                <w:rFonts w:hint="eastAsia" w:ascii="宋体" w:hAnsi="宋体"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分/次。</w:t>
            </w:r>
          </w:p>
          <w:p w14:paraId="69944E5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（2）广东省交通运输厅行政处罚的，扣</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分/次。</w:t>
            </w:r>
          </w:p>
          <w:p w14:paraId="7CDE0DFE">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（3）招标项目所在地地级以上市交通运输局行政处罚的，扣</w:t>
            </w:r>
            <w:r>
              <w:rPr>
                <w:rFonts w:hint="eastAsia" w:ascii="宋体" w:hAnsi="宋体" w:eastAsia="宋体" w:cs="宋体"/>
                <w:color w:val="auto"/>
                <w:sz w:val="21"/>
                <w:szCs w:val="21"/>
                <w:highlight w:val="none"/>
                <w:lang w:val="en-US" w:eastAsia="zh-CN"/>
              </w:rPr>
              <w:t>0.75</w:t>
            </w:r>
            <w:r>
              <w:rPr>
                <w:rFonts w:hint="eastAsia" w:ascii="宋体" w:hAnsi="宋体" w:eastAsia="宋体" w:cs="宋体"/>
                <w:color w:val="auto"/>
                <w:sz w:val="21"/>
                <w:szCs w:val="21"/>
                <w:highlight w:val="none"/>
              </w:rPr>
              <w:t>分/次。</w:t>
            </w:r>
          </w:p>
          <w:p w14:paraId="73B9F937">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（4）广东省交通运输厅正式约谈，扣0.</w:t>
            </w:r>
            <w:r>
              <w:rPr>
                <w:rFonts w:hint="eastAsia" w:ascii="宋体" w:hAnsi="宋体" w:eastAsia="宋体" w:cs="宋体"/>
                <w:color w:val="auto"/>
                <w:sz w:val="21"/>
                <w:szCs w:val="21"/>
                <w:highlight w:val="none"/>
                <w:lang w:val="en-US" w:eastAsia="zh-CN"/>
              </w:rPr>
              <w:t>05</w:t>
            </w:r>
            <w:r>
              <w:rPr>
                <w:rFonts w:hint="eastAsia" w:ascii="宋体" w:hAnsi="宋体" w:eastAsia="宋体" w:cs="宋体"/>
                <w:color w:val="auto"/>
                <w:sz w:val="21"/>
                <w:szCs w:val="21"/>
                <w:highlight w:val="none"/>
              </w:rPr>
              <w:t>分/次。</w:t>
            </w:r>
          </w:p>
          <w:p w14:paraId="0D1F29A2">
            <w:pPr>
              <w:keepNext w:val="0"/>
              <w:keepLines w:val="0"/>
              <w:pageBreakBefore w:val="0"/>
              <w:widowControl w:val="0"/>
              <w:shd w:val="clear" w:color="auto" w:fill="auto"/>
              <w:kinsoku/>
              <w:wordWrap/>
              <w:overflowPunct/>
              <w:topLinePunct w:val="0"/>
              <w:autoSpaceDE/>
              <w:autoSpaceDN/>
              <w:bidi w:val="0"/>
              <w:adjustRightInd w:val="0"/>
              <w:snapToGrid w:val="0"/>
              <w:spacing w:line="440" w:lineRule="exact"/>
              <w:ind w:right="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同一事项同时被多个部门行政处罚或正式约谈只按最高的扣分计算1次。如果扣完本项分值，可以从总分中扣。以联合体形式投标的，若各联合体成员均有上述情形的，对联合体各成员进行累计扣分。</w:t>
            </w:r>
          </w:p>
        </w:tc>
      </w:tr>
      <w:bookmarkEnd w:id="0"/>
      <w:bookmarkEnd w:id="1"/>
      <w:bookmarkEnd w:id="2"/>
      <w:bookmarkEnd w:id="3"/>
    </w:tbl>
    <w:p w14:paraId="42947DBC">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82" w:firstLineChars="200"/>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施工第一信封（商务文件和技术文件）的评审：</w:t>
      </w:r>
    </w:p>
    <w:p w14:paraId="1B5DD88A">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20" w:firstLineChars="200"/>
        <w:textAlignment w:val="baseline"/>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初步评审，包括对投标文件进行形式评审与响应性评审、资格评审（适用于资格后审）；</w:t>
      </w:r>
    </w:p>
    <w:p w14:paraId="018B94D2">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20" w:firstLineChars="200"/>
        <w:textAlignment w:val="baseline"/>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详细评审：评标委员会首先对通过初步评审的投标文件施工第一个信封（商务及技术文件）进行详细评审，对投标人的其他因素（信誉等级、履约情况）得分评审与确认；</w:t>
      </w:r>
    </w:p>
    <w:p w14:paraId="001FA720">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20" w:firstLineChars="200"/>
        <w:textAlignment w:val="baseline"/>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对投标文件进行必要的澄清和说明（如有）。</w:t>
      </w:r>
    </w:p>
    <w:p w14:paraId="22F13951">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2.施工第二信封（投标报价文件）的评审：</w:t>
      </w:r>
    </w:p>
    <w:p w14:paraId="3E334726">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20" w:firstLineChars="200"/>
        <w:textAlignment w:val="baseline"/>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初步评审：只有投标文件施工第一个信封通过初步评审的投标人才能继续参加施工第二信封报价文件的评审。对施工第一个信封不通过初步评审的投标人的第二信封直接退回，不再开启。</w:t>
      </w:r>
    </w:p>
    <w:p w14:paraId="3EAF396F">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20" w:firstLineChars="200"/>
        <w:textAlignment w:val="baseline"/>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详细评审：计算评标基准价及评标价得分，进行算术性修正（如采用固化工程量清单，本步骤省略）；</w:t>
      </w:r>
    </w:p>
    <w:p w14:paraId="28FA4197">
      <w:pPr>
        <w:keepNext w:val="0"/>
        <w:keepLines w:val="0"/>
        <w:pageBreakBefore w:val="0"/>
        <w:widowControl w:val="0"/>
        <w:shd w:val="clear" w:color="auto" w:fill="auto"/>
        <w:kinsoku/>
        <w:wordWrap/>
        <w:overflowPunct/>
        <w:topLinePunct w:val="0"/>
        <w:autoSpaceDE/>
        <w:autoSpaceDN/>
        <w:bidi w:val="0"/>
        <w:adjustRightInd w:val="0"/>
        <w:snapToGrid/>
        <w:spacing w:line="440" w:lineRule="atLeast"/>
        <w:ind w:firstLine="420" w:firstLineChars="200"/>
        <w:textAlignment w:val="baseline"/>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对投标文件进行必要的澄清和说明（如有）；</w:t>
      </w:r>
    </w:p>
    <w:p w14:paraId="21C01B0E">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rPr>
        <w:t>综合投标人的评标价得分及其他因素（信誉等级、履约情况）得分，提出评标意见。各投标人的施工部分综合得分为商务得分与报价得分之和。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CB92"/>
    <w:multiLevelType w:val="singleLevel"/>
    <w:tmpl w:val="1B0ACB92"/>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zOTQyYWJkMzBlMjY3YmJjZjJkNTQ3YjJkNzY5NGUifQ=="/>
  </w:docVars>
  <w:rsids>
    <w:rsidRoot w:val="47884CC7"/>
    <w:rsid w:val="08A10BEB"/>
    <w:rsid w:val="47884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jc w:val="both"/>
      <w:textAlignment w:val="baseline"/>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宋体" w:hAnsi="宋体" w:eastAsia="宋体" w:cs="Times New Roman"/>
    </w:rPr>
  </w:style>
  <w:style w:type="paragraph" w:styleId="3">
    <w:name w:val="Body Text Indent"/>
    <w:basedOn w:val="2"/>
    <w:next w:val="4"/>
    <w:qFormat/>
    <w:uiPriority w:val="0"/>
    <w:pPr>
      <w:spacing w:after="120"/>
      <w:ind w:left="200" w:leftChars="200"/>
    </w:pPr>
    <w:rPr>
      <w:rFonts w:ascii="宋体" w:hAnsi="宋体" w:eastAsia="宋体" w:cs="Times New Roman"/>
    </w:rPr>
  </w:style>
  <w:style w:type="paragraph" w:styleId="4">
    <w:name w:val="envelope return"/>
    <w:basedOn w:val="1"/>
    <w:qFormat/>
    <w:uiPriority w:val="0"/>
    <w:pPr>
      <w:snapToGrid w:val="0"/>
    </w:pPr>
    <w:rPr>
      <w:rFonts w:ascii="Arial" w:hAnsi="Arial"/>
    </w:rPr>
  </w:style>
  <w:style w:type="paragraph" w:styleId="5">
    <w:name w:val="Title"/>
    <w:basedOn w:val="1"/>
    <w:qFormat/>
    <w:uiPriority w:val="0"/>
    <w:pPr>
      <w:spacing w:before="240" w:after="60" w:line="420" w:lineRule="atLeast"/>
      <w:jc w:val="center"/>
      <w:outlineLvl w:val="0"/>
    </w:pPr>
    <w:rPr>
      <w:rFonts w:ascii="Arial" w:hAnsi="Arial" w:eastAsia="宋体" w:cs="Times New Roman"/>
      <w:b/>
      <w:kern w:val="0"/>
      <w:sz w:val="32"/>
      <w:szCs w:val="20"/>
    </w:rPr>
  </w:style>
  <w:style w:type="paragraph" w:styleId="6">
    <w:name w:val="Body Text First Indent 2"/>
    <w:basedOn w:val="3"/>
    <w:next w:val="2"/>
    <w:qFormat/>
    <w:uiPriority w:val="0"/>
    <w:pPr>
      <w:widowControl w:val="0"/>
      <w:tabs>
        <w:tab w:val="left" w:pos="1275"/>
      </w:tabs>
      <w:overflowPunct/>
      <w:autoSpaceDE/>
      <w:autoSpaceDN/>
      <w:adjustRightInd/>
      <w:spacing w:after="120" w:line="240" w:lineRule="auto"/>
      <w:ind w:left="420" w:leftChars="200" w:firstLine="420" w:firstLineChars="200"/>
      <w:textAlignment w:val="auto"/>
    </w:pPr>
    <w:rPr>
      <w:rFonts w:ascii="Times New Roman" w:hAnsi="Times New Roman" w:eastAsia="宋体" w:cs="Times New Roman"/>
      <w:spacing w:val="0"/>
      <w:sz w:val="21"/>
      <w:szCs w:val="24"/>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1440</Words>
  <Characters>1506</Characters>
  <Lines>0</Lines>
  <Paragraphs>0</Paragraphs>
  <TotalTime>0</TotalTime>
  <ScaleCrop>false</ScaleCrop>
  <LinksUpToDate>false</LinksUpToDate>
  <CharactersWithSpaces>1532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2024-07-16T06:42:00Z</dcterms:created>
  <dc:creator>any</dc:creator>
  <cp:lastModifiedBy>any</cp:lastModifiedBy>
  <dcterms:modified xsi:type="dcterms:W3CDTF">2024-10-30T04:51:16Z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D6DDD00691A34BF5A55FEFAE9DFABEE3_11</vt:lpwstr>
  </property>
</Properties>
</file>