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pacing w:line="360" w:lineRule="auto"/>
        <w:ind w:right="365"/>
        <w:jc w:val="center"/>
        <w:rPr>
          <w:rFonts w:ascii="黑体t.祯畴" w:eastAsia="黑体t.祯畴" w:cs="黑体t.祯畴"/>
          <w:sz w:val="40"/>
          <w:szCs w:val="44"/>
        </w:rPr>
      </w:pPr>
      <w:r>
        <w:rPr>
          <w:rFonts w:hint="eastAsia" w:hAnsi="宋体"/>
          <w:b/>
          <w:bCs/>
          <w:sz w:val="28"/>
          <w:szCs w:val="28"/>
        </w:rPr>
        <w:t>第三章  评标办法（双信封的综合评分法）</w:t>
      </w:r>
    </w:p>
    <w:p>
      <w:pPr>
        <w:pStyle w:val="23"/>
        <w:jc w:val="left"/>
        <w:outlineLvl w:val="2"/>
        <w:rPr>
          <w:rFonts w:hint="eastAsia" w:ascii="宋体" w:hAnsi="宋体" w:eastAsia="宋体" w:cs="宋体"/>
          <w:color w:val="000000"/>
          <w:sz w:val="24"/>
        </w:rPr>
      </w:pPr>
      <w:bookmarkStart w:id="0" w:name="_Toc4396"/>
      <w:r>
        <w:rPr>
          <w:rFonts w:hint="eastAsia" w:ascii="宋体" w:hAnsi="宋体" w:eastAsia="宋体" w:cs="宋体"/>
          <w:color w:val="000000"/>
          <w:sz w:val="24"/>
        </w:rPr>
        <w:t>评标办法前附表</w:t>
      </w:r>
      <w:bookmarkEnd w:id="0"/>
    </w:p>
    <w:tbl>
      <w:tblPr>
        <w:tblStyle w:val="14"/>
        <w:tblW w:w="91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98"/>
        <w:gridCol w:w="653"/>
        <w:gridCol w:w="483"/>
        <w:gridCol w:w="651"/>
        <w:gridCol w:w="1134"/>
        <w:gridCol w:w="850"/>
        <w:gridCol w:w="930"/>
        <w:gridCol w:w="35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 w:type="dxa"/>
            <w:gridSpan w:val="2"/>
            <w:noWrap w:val="0"/>
            <w:vAlign w:val="center"/>
          </w:tcPr>
          <w:p>
            <w:pPr>
              <w:spacing w:line="400" w:lineRule="exact"/>
              <w:jc w:val="center"/>
              <w:rPr>
                <w:rFonts w:hint="eastAsia" w:ascii="宋体" w:hAnsi="宋体" w:cs="宋体"/>
                <w:b/>
                <w:bCs/>
                <w:color w:val="000000"/>
              </w:rPr>
            </w:pPr>
            <w:r>
              <w:rPr>
                <w:rFonts w:hint="eastAsia" w:ascii="宋体" w:hAnsi="宋体" w:cs="宋体"/>
                <w:b/>
                <w:bCs/>
                <w:color w:val="000000"/>
              </w:rPr>
              <w:t>条款号</w:t>
            </w:r>
          </w:p>
        </w:tc>
        <w:tc>
          <w:tcPr>
            <w:tcW w:w="1136" w:type="dxa"/>
            <w:gridSpan w:val="2"/>
            <w:noWrap w:val="0"/>
            <w:vAlign w:val="center"/>
          </w:tcPr>
          <w:p>
            <w:pPr>
              <w:spacing w:line="400" w:lineRule="exact"/>
              <w:jc w:val="center"/>
              <w:rPr>
                <w:rFonts w:ascii="宋体" w:hAnsi="宋体" w:cs="宋体"/>
                <w:b/>
                <w:bCs/>
                <w:color w:val="000000"/>
              </w:rPr>
            </w:pPr>
            <w:r>
              <w:rPr>
                <w:rFonts w:hint="eastAsia" w:ascii="宋体" w:hAnsi="宋体" w:cs="宋体"/>
                <w:b/>
                <w:bCs/>
                <w:color w:val="000000"/>
              </w:rPr>
              <w:t>条款内容</w:t>
            </w:r>
          </w:p>
        </w:tc>
        <w:tc>
          <w:tcPr>
            <w:tcW w:w="7163" w:type="dxa"/>
            <w:gridSpan w:val="5"/>
            <w:noWrap w:val="0"/>
            <w:vAlign w:val="top"/>
          </w:tcPr>
          <w:p>
            <w:pPr>
              <w:pStyle w:val="9"/>
              <w:spacing w:line="400" w:lineRule="exact"/>
              <w:jc w:val="center"/>
              <w:rPr>
                <w:rFonts w:hint="eastAsia" w:hAnsi="宋体"/>
                <w:b/>
                <w:bCs/>
                <w:kern w:val="2"/>
                <w:sz w:val="21"/>
                <w:szCs w:val="21"/>
              </w:rPr>
            </w:pPr>
            <w:r>
              <w:rPr>
                <w:rFonts w:hint="eastAsia" w:hAnsi="宋体"/>
                <w:b/>
                <w:bCs/>
                <w:kern w:val="2"/>
                <w:sz w:val="21"/>
                <w:szCs w:val="21"/>
              </w:rPr>
              <w:t>评审因素与评审标准</w:t>
            </w:r>
            <w:r>
              <w:rPr>
                <w:rFonts w:hAnsi="宋体"/>
                <w:b/>
                <w:bCs/>
                <w:kern w:val="2"/>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0" w:hRule="atLeast"/>
          <w:jc w:val="center"/>
        </w:trPr>
        <w:tc>
          <w:tcPr>
            <w:tcW w:w="873" w:type="dxa"/>
            <w:gridSpan w:val="2"/>
            <w:noWrap w:val="0"/>
            <w:vAlign w:val="center"/>
          </w:tcPr>
          <w:p>
            <w:pPr>
              <w:spacing w:line="400" w:lineRule="exact"/>
              <w:ind w:left="1" w:firstLine="1"/>
              <w:jc w:val="center"/>
              <w:rPr>
                <w:rFonts w:ascii="宋体" w:hAnsi="宋体" w:cs="宋体"/>
                <w:color w:val="000000"/>
              </w:rPr>
            </w:pPr>
            <w:r>
              <w:rPr>
                <w:rFonts w:ascii="宋体" w:hAnsi="宋体" w:cs="宋体"/>
                <w:color w:val="000000"/>
              </w:rPr>
              <w:t>1</w:t>
            </w:r>
          </w:p>
        </w:tc>
        <w:tc>
          <w:tcPr>
            <w:tcW w:w="1136" w:type="dxa"/>
            <w:gridSpan w:val="2"/>
            <w:noWrap w:val="0"/>
            <w:vAlign w:val="center"/>
          </w:tcPr>
          <w:p>
            <w:pPr>
              <w:spacing w:line="400" w:lineRule="exact"/>
              <w:ind w:left="1" w:firstLine="1"/>
              <w:jc w:val="center"/>
              <w:rPr>
                <w:rFonts w:ascii="宋体" w:hAnsi="宋体" w:cs="宋体"/>
                <w:color w:val="000000"/>
              </w:rPr>
            </w:pPr>
            <w:r>
              <w:rPr>
                <w:rFonts w:hint="eastAsia" w:ascii="宋体" w:hAnsi="宋体" w:cs="宋体"/>
                <w:color w:val="000000"/>
              </w:rPr>
              <w:t>评标方法</w:t>
            </w:r>
          </w:p>
        </w:tc>
        <w:tc>
          <w:tcPr>
            <w:tcW w:w="7163" w:type="dxa"/>
            <w:gridSpan w:val="5"/>
            <w:noWrap w:val="0"/>
            <w:vAlign w:val="top"/>
          </w:tcPr>
          <w:p>
            <w:pPr>
              <w:spacing w:line="400" w:lineRule="exact"/>
              <w:ind w:left="1" w:firstLine="420" w:firstLineChars="200"/>
              <w:rPr>
                <w:rFonts w:hint="eastAsia" w:ascii="宋体" w:hAnsi="宋体" w:cs="宋体"/>
                <w:color w:val="000000"/>
              </w:rPr>
            </w:pPr>
            <w:r>
              <w:rPr>
                <w:rFonts w:hint="eastAsia" w:ascii="宋体" w:hAnsi="宋体" w:cs="宋体"/>
                <w:color w:val="000000"/>
              </w:rPr>
              <w:t>综合评分相等时，评标委员会依次按照以下优先顺序推荐中标候选人或确定中标人：</w:t>
            </w:r>
          </w:p>
          <w:p>
            <w:pPr>
              <w:spacing w:line="400" w:lineRule="exact"/>
              <w:ind w:left="1" w:firstLine="1"/>
              <w:rPr>
                <w:rFonts w:hint="eastAsia" w:ascii="宋体" w:hAnsi="宋体" w:cs="宋体"/>
                <w:color w:val="000000"/>
              </w:rPr>
            </w:pPr>
            <w:r>
              <w:rPr>
                <w:rFonts w:hint="eastAsia" w:ascii="宋体" w:hAnsi="宋体" w:cs="宋体"/>
                <w:color w:val="000000"/>
              </w:rPr>
              <w:t>（1）评标价低的优先；</w:t>
            </w:r>
          </w:p>
          <w:p>
            <w:pPr>
              <w:spacing w:line="400" w:lineRule="exact"/>
              <w:ind w:left="1" w:firstLine="1"/>
              <w:rPr>
                <w:rFonts w:hint="eastAsia" w:ascii="宋体" w:hAnsi="宋体" w:cs="宋体"/>
                <w:color w:val="000000"/>
              </w:rPr>
            </w:pPr>
            <w:r>
              <w:rPr>
                <w:rFonts w:hint="eastAsia" w:ascii="宋体" w:hAnsi="宋体" w:cs="宋体"/>
                <w:color w:val="000000"/>
              </w:rPr>
              <w:t>（2）商务和技术得分较高的投标人优先；</w:t>
            </w:r>
          </w:p>
          <w:p>
            <w:pPr>
              <w:spacing w:line="400" w:lineRule="exact"/>
              <w:ind w:left="1" w:firstLine="1"/>
              <w:rPr>
                <w:rFonts w:ascii="宋体" w:hAnsi="宋体" w:cs="宋体"/>
                <w:color w:val="000000"/>
              </w:rPr>
            </w:pPr>
            <w:r>
              <w:rPr>
                <w:rFonts w:hint="eastAsia" w:ascii="宋体" w:hAnsi="宋体" w:cs="宋体"/>
                <w:color w:val="000000"/>
              </w:rPr>
              <w:t>（3）评标委员会视投标人情况综合比较，投票确定其名次。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 w:type="dxa"/>
            <w:gridSpan w:val="2"/>
            <w:noWrap w:val="0"/>
            <w:vAlign w:val="center"/>
          </w:tcPr>
          <w:p>
            <w:pPr>
              <w:spacing w:line="400" w:lineRule="exact"/>
              <w:ind w:left="1" w:firstLine="1"/>
              <w:jc w:val="center"/>
              <w:rPr>
                <w:rFonts w:ascii="宋体" w:hAnsi="宋体" w:cs="宋体"/>
                <w:color w:val="000000"/>
              </w:rPr>
            </w:pPr>
            <w:r>
              <w:rPr>
                <w:rFonts w:ascii="宋体" w:hAnsi="宋体" w:cs="宋体"/>
                <w:color w:val="000000"/>
              </w:rPr>
              <w:t>2.1.1</w:t>
            </w:r>
          </w:p>
          <w:p>
            <w:pPr>
              <w:spacing w:line="400" w:lineRule="exact"/>
              <w:ind w:left="1" w:firstLine="1"/>
              <w:jc w:val="center"/>
              <w:rPr>
                <w:rFonts w:hint="eastAsia" w:ascii="宋体" w:hAnsi="宋体" w:cs="宋体"/>
                <w:color w:val="000000"/>
              </w:rPr>
            </w:pPr>
            <w:r>
              <w:rPr>
                <w:rFonts w:ascii="宋体" w:hAnsi="宋体" w:cs="宋体"/>
                <w:color w:val="000000"/>
              </w:rPr>
              <w:t>2.1.3</w:t>
            </w:r>
          </w:p>
        </w:tc>
        <w:tc>
          <w:tcPr>
            <w:tcW w:w="1136" w:type="dxa"/>
            <w:gridSpan w:val="2"/>
            <w:noWrap w:val="0"/>
            <w:vAlign w:val="center"/>
          </w:tcPr>
          <w:p>
            <w:pPr>
              <w:spacing w:line="400" w:lineRule="exact"/>
              <w:ind w:left="1" w:firstLine="1"/>
              <w:jc w:val="center"/>
              <w:rPr>
                <w:rFonts w:hint="eastAsia" w:ascii="宋体" w:hAnsi="宋体" w:cs="宋体"/>
                <w:color w:val="000000"/>
              </w:rPr>
            </w:pPr>
            <w:r>
              <w:rPr>
                <w:rFonts w:hint="eastAsia" w:ascii="宋体" w:hAnsi="宋体" w:cs="宋体"/>
                <w:color w:val="000000"/>
              </w:rPr>
              <w:t>形式评审与响应性评审标准</w:t>
            </w:r>
          </w:p>
        </w:tc>
        <w:tc>
          <w:tcPr>
            <w:tcW w:w="7163" w:type="dxa"/>
            <w:gridSpan w:val="5"/>
            <w:noWrap w:val="0"/>
            <w:vAlign w:val="top"/>
          </w:tcPr>
          <w:p>
            <w:pPr>
              <w:spacing w:line="400" w:lineRule="exact"/>
              <w:ind w:left="1" w:firstLine="1"/>
              <w:rPr>
                <w:rFonts w:ascii="宋体" w:hAnsi="宋体" w:cs="宋体"/>
                <w:b/>
                <w:color w:val="000000"/>
              </w:rPr>
            </w:pPr>
            <w:r>
              <w:rPr>
                <w:rFonts w:hint="eastAsia" w:ascii="宋体" w:hAnsi="宋体" w:cs="宋体"/>
                <w:b/>
                <w:color w:val="000000"/>
              </w:rPr>
              <w:t>第一个信封（商务及技术文件）评审标准：</w:t>
            </w:r>
            <w:r>
              <w:rPr>
                <w:rFonts w:ascii="宋体" w:hAnsi="宋体" w:cs="宋体"/>
                <w:b/>
                <w:color w:val="000000"/>
              </w:rPr>
              <w:t xml:space="preserve"> </w:t>
            </w:r>
          </w:p>
          <w:p>
            <w:pPr>
              <w:spacing w:line="400" w:lineRule="exact"/>
              <w:ind w:left="1" w:firstLine="1"/>
              <w:rPr>
                <w:rFonts w:ascii="宋体" w:hAnsi="宋体" w:cs="宋体"/>
                <w:color w:val="000000"/>
              </w:rPr>
            </w:pPr>
            <w:r>
              <w:rPr>
                <w:rFonts w:hint="eastAsia" w:ascii="宋体" w:hAnsi="宋体" w:cs="宋体"/>
                <w:color w:val="000000"/>
              </w:rPr>
              <w:t>（</w:t>
            </w:r>
            <w:r>
              <w:rPr>
                <w:rFonts w:ascii="宋体" w:hAnsi="宋体" w:cs="宋体"/>
                <w:color w:val="000000"/>
              </w:rPr>
              <w:t>1</w:t>
            </w:r>
            <w:r>
              <w:rPr>
                <w:rFonts w:hint="eastAsia" w:ascii="宋体" w:hAnsi="宋体" w:cs="宋体"/>
                <w:color w:val="000000"/>
              </w:rPr>
              <w:t>）投标文件按照招标文件规定的格式、内容填写，字迹清晰可辨：</w:t>
            </w:r>
            <w:r>
              <w:rPr>
                <w:rFonts w:ascii="宋体" w:hAnsi="宋体" w:cs="宋体"/>
                <w:color w:val="000000"/>
              </w:rPr>
              <w:t xml:space="preserve"> </w:t>
            </w:r>
          </w:p>
          <w:p>
            <w:pPr>
              <w:spacing w:line="400" w:lineRule="exact"/>
              <w:ind w:left="1" w:firstLine="420" w:firstLineChars="200"/>
              <w:rPr>
                <w:rFonts w:ascii="宋体" w:hAnsi="宋体" w:cs="宋体"/>
                <w:color w:val="000000"/>
              </w:rPr>
            </w:pPr>
            <w:r>
              <w:rPr>
                <w:rFonts w:ascii="宋体" w:hAnsi="宋体" w:cs="宋体"/>
                <w:color w:val="000000"/>
              </w:rPr>
              <w:t>a.</w:t>
            </w:r>
            <w:r>
              <w:rPr>
                <w:rFonts w:hint="eastAsia" w:ascii="宋体" w:hAnsi="宋体" w:cs="宋体"/>
                <w:color w:val="000000"/>
              </w:rPr>
              <w:t>投标函按招标文件规定填报了项目名称、标段号（如有）、服务期限、质量要求及安全目标；</w:t>
            </w:r>
            <w:r>
              <w:rPr>
                <w:rFonts w:ascii="宋体" w:hAnsi="宋体" w:cs="宋体"/>
                <w:color w:val="000000"/>
              </w:rPr>
              <w:t xml:space="preserve"> </w:t>
            </w:r>
          </w:p>
          <w:p>
            <w:pPr>
              <w:spacing w:line="400" w:lineRule="exact"/>
              <w:ind w:left="1" w:firstLine="420" w:firstLineChars="200"/>
              <w:rPr>
                <w:rFonts w:ascii="宋体" w:hAnsi="宋体" w:cs="宋体"/>
                <w:color w:val="000000"/>
              </w:rPr>
            </w:pPr>
            <w:r>
              <w:rPr>
                <w:rFonts w:ascii="宋体" w:hAnsi="宋体" w:cs="宋体"/>
                <w:color w:val="000000"/>
              </w:rPr>
              <w:t>b.</w:t>
            </w:r>
            <w:r>
              <w:rPr>
                <w:rFonts w:hint="eastAsia" w:ascii="宋体" w:hAnsi="宋体" w:cs="宋体"/>
                <w:color w:val="000000"/>
              </w:rPr>
              <w:t>投标文件组成齐全完整，内容均按规定填写。</w:t>
            </w:r>
            <w:r>
              <w:rPr>
                <w:rFonts w:ascii="宋体" w:hAnsi="宋体" w:cs="宋体"/>
                <w:color w:val="000000"/>
              </w:rPr>
              <w:t xml:space="preserve"> </w:t>
            </w:r>
          </w:p>
          <w:p>
            <w:pPr>
              <w:spacing w:line="400" w:lineRule="exact"/>
              <w:ind w:left="1" w:firstLine="1"/>
              <w:rPr>
                <w:rFonts w:ascii="宋体" w:hAnsi="宋体" w:cs="宋体"/>
                <w:color w:val="000000"/>
              </w:rPr>
            </w:pPr>
            <w:r>
              <w:rPr>
                <w:rFonts w:hint="eastAsia" w:ascii="宋体" w:hAnsi="宋体" w:cs="宋体"/>
                <w:color w:val="000000"/>
              </w:rPr>
              <w:t>（</w:t>
            </w:r>
            <w:r>
              <w:rPr>
                <w:rFonts w:ascii="宋体" w:hAnsi="宋体" w:cs="宋体"/>
                <w:color w:val="000000"/>
              </w:rPr>
              <w:t>2</w:t>
            </w:r>
            <w:r>
              <w:rPr>
                <w:rFonts w:hint="eastAsia" w:ascii="宋体" w:hAnsi="宋体" w:cs="宋体"/>
                <w:color w:val="000000"/>
              </w:rPr>
              <w:t>）投标文件上法定代表人或其委托代理人的签字、投标人的单位章盖章齐全，符合招标文件规定。</w:t>
            </w:r>
            <w:r>
              <w:rPr>
                <w:rFonts w:ascii="宋体" w:hAnsi="宋体" w:cs="宋体"/>
                <w:color w:val="000000"/>
              </w:rPr>
              <w:t xml:space="preserve"> </w:t>
            </w:r>
          </w:p>
          <w:p>
            <w:pPr>
              <w:spacing w:line="400" w:lineRule="exact"/>
              <w:ind w:left="1" w:firstLine="1"/>
              <w:rPr>
                <w:rFonts w:ascii="宋体" w:hAnsi="宋体" w:cs="宋体"/>
                <w:color w:val="000000"/>
              </w:rPr>
            </w:pPr>
            <w:r>
              <w:rPr>
                <w:rFonts w:hint="eastAsia" w:ascii="宋体" w:hAnsi="宋体" w:cs="宋体"/>
                <w:color w:val="000000"/>
              </w:rPr>
              <w:t>（</w:t>
            </w:r>
            <w:r>
              <w:rPr>
                <w:rFonts w:ascii="宋体" w:hAnsi="宋体" w:cs="宋体"/>
                <w:color w:val="000000"/>
              </w:rPr>
              <w:t>3</w:t>
            </w:r>
            <w:r>
              <w:rPr>
                <w:rFonts w:hint="eastAsia" w:ascii="宋体" w:hAnsi="宋体" w:cs="宋体"/>
                <w:color w:val="000000"/>
              </w:rPr>
              <w:t>）投标人按照招标文件的规定提供了投标保证金：</w:t>
            </w:r>
            <w:r>
              <w:rPr>
                <w:rFonts w:ascii="宋体" w:hAnsi="宋体" w:cs="宋体"/>
                <w:color w:val="000000"/>
              </w:rPr>
              <w:t xml:space="preserve"> </w:t>
            </w:r>
          </w:p>
          <w:p>
            <w:pPr>
              <w:spacing w:line="400" w:lineRule="exact"/>
              <w:ind w:left="1" w:firstLine="420" w:firstLineChars="200"/>
              <w:rPr>
                <w:rFonts w:ascii="宋体" w:hAnsi="宋体" w:cs="宋体"/>
                <w:color w:val="000000"/>
              </w:rPr>
            </w:pPr>
            <w:r>
              <w:rPr>
                <w:rFonts w:ascii="宋体" w:hAnsi="宋体" w:cs="宋体"/>
                <w:color w:val="000000"/>
              </w:rPr>
              <w:t>a.</w:t>
            </w:r>
            <w:r>
              <w:rPr>
                <w:rFonts w:hint="eastAsia" w:ascii="宋体" w:hAnsi="宋体" w:cs="宋体"/>
                <w:color w:val="000000"/>
              </w:rPr>
              <w:t>投标保证金金额符合招标文件规定的金额，且投标保证金有效期不少于投标有效期；</w:t>
            </w:r>
            <w:r>
              <w:rPr>
                <w:rFonts w:ascii="宋体" w:hAnsi="宋体" w:cs="宋体"/>
                <w:color w:val="000000"/>
              </w:rPr>
              <w:t xml:space="preserve"> </w:t>
            </w:r>
          </w:p>
          <w:p>
            <w:pPr>
              <w:spacing w:line="400" w:lineRule="exact"/>
              <w:ind w:left="1" w:firstLine="420" w:firstLineChars="200"/>
              <w:rPr>
                <w:rFonts w:ascii="宋体" w:hAnsi="宋体" w:cs="宋体"/>
                <w:color w:val="000000"/>
              </w:rPr>
            </w:pPr>
            <w:r>
              <w:rPr>
                <w:rFonts w:ascii="宋体" w:hAnsi="宋体" w:cs="宋体"/>
                <w:color w:val="000000"/>
              </w:rPr>
              <w:t>b.</w:t>
            </w:r>
            <w:r>
              <w:rPr>
                <w:rFonts w:hint="eastAsia" w:ascii="宋体" w:hAnsi="宋体" w:cs="宋体"/>
                <w:color w:val="000000"/>
              </w:rPr>
              <w:t>若投标保证金采用银行保函或投标担保函或投标保证保险合同（或保险单）形式提交，银行保函或投标担保函或投标保证保险合同（或保险单）的格式、开具保函的银行或担保机构或保险公司均满足招标文件要求，银行保函或投标担保函或投标保证保险合同（或保险单）原件在递交投标文件时单独密封递交，其复印件装订在投标文件中。</w:t>
            </w:r>
            <w:r>
              <w:rPr>
                <w:rFonts w:ascii="宋体" w:hAnsi="宋体" w:cs="宋体"/>
                <w:color w:val="000000"/>
              </w:rPr>
              <w:t xml:space="preserve"> </w:t>
            </w:r>
          </w:p>
          <w:p>
            <w:pPr>
              <w:spacing w:line="400" w:lineRule="exact"/>
              <w:ind w:left="1" w:firstLine="1"/>
              <w:rPr>
                <w:rFonts w:ascii="宋体" w:hAnsi="宋体" w:cs="宋体"/>
                <w:color w:val="000000"/>
              </w:rPr>
            </w:pPr>
            <w:r>
              <w:rPr>
                <w:rFonts w:hint="eastAsia" w:ascii="宋体" w:hAnsi="宋体" w:cs="宋体"/>
                <w:color w:val="000000"/>
              </w:rPr>
              <w:t>（</w:t>
            </w:r>
            <w:r>
              <w:rPr>
                <w:rFonts w:ascii="宋体" w:hAnsi="宋体" w:cs="宋体"/>
                <w:color w:val="000000"/>
              </w:rPr>
              <w:t>4</w:t>
            </w:r>
            <w:r>
              <w:rPr>
                <w:rFonts w:hint="eastAsia" w:ascii="宋体" w:hAnsi="宋体" w:cs="宋体"/>
                <w:color w:val="000000"/>
              </w:rPr>
              <w:t>）投标人法定代表人授权委托代理人签署投标文件的，须提交授权委托书，且授权人和被授权人均在授权委托书上签名，未使用印章、签名章或其他电子制版签名代替。</w:t>
            </w:r>
            <w:r>
              <w:rPr>
                <w:rFonts w:ascii="宋体" w:hAnsi="宋体" w:cs="宋体"/>
                <w:color w:val="000000"/>
              </w:rPr>
              <w:t xml:space="preserve"> </w:t>
            </w:r>
          </w:p>
          <w:p>
            <w:pPr>
              <w:spacing w:line="400" w:lineRule="exact"/>
              <w:ind w:left="1" w:firstLine="1"/>
              <w:rPr>
                <w:rFonts w:ascii="宋体" w:hAnsi="宋体" w:cs="宋体"/>
                <w:color w:val="000000"/>
              </w:rPr>
            </w:pPr>
            <w:r>
              <w:rPr>
                <w:rFonts w:hint="eastAsia" w:ascii="宋体" w:hAnsi="宋体" w:cs="宋体"/>
                <w:color w:val="000000"/>
              </w:rPr>
              <w:t>（</w:t>
            </w:r>
            <w:r>
              <w:rPr>
                <w:rFonts w:ascii="宋体" w:hAnsi="宋体" w:cs="宋体"/>
                <w:color w:val="000000"/>
              </w:rPr>
              <w:t>5</w:t>
            </w:r>
            <w:r>
              <w:rPr>
                <w:rFonts w:hint="eastAsia" w:ascii="宋体" w:hAnsi="宋体" w:cs="宋体"/>
                <w:color w:val="000000"/>
              </w:rPr>
              <w:t>）投标人法定代表人亲自签署投标文件的，提供了法定代表人身份证明，且法定代表人在法定代表人身份证明上签名，未使用印章、签名章或其他电子制版签名代替。</w:t>
            </w:r>
            <w:r>
              <w:rPr>
                <w:rFonts w:ascii="宋体" w:hAnsi="宋体" w:cs="宋体"/>
                <w:color w:val="000000"/>
              </w:rPr>
              <w:t xml:space="preserve"> </w:t>
            </w:r>
          </w:p>
          <w:p>
            <w:pPr>
              <w:spacing w:line="400" w:lineRule="exact"/>
              <w:ind w:left="1" w:firstLine="1"/>
              <w:rPr>
                <w:rFonts w:ascii="宋体" w:hAnsi="宋体" w:cs="宋体"/>
                <w:color w:val="000000"/>
              </w:rPr>
            </w:pPr>
            <w:r>
              <w:rPr>
                <w:rFonts w:hint="eastAsia" w:ascii="宋体" w:hAnsi="宋体" w:cs="宋体"/>
                <w:color w:val="000000"/>
              </w:rPr>
              <w:t>（6）投标人未以联合体形式投标。</w:t>
            </w:r>
            <w:r>
              <w:rPr>
                <w:rFonts w:ascii="宋体" w:hAnsi="宋体" w:cs="宋体"/>
                <w:color w:val="000000"/>
              </w:rPr>
              <w:t xml:space="preserve"> </w:t>
            </w:r>
          </w:p>
          <w:p>
            <w:pPr>
              <w:spacing w:line="400" w:lineRule="exact"/>
              <w:ind w:left="1" w:firstLine="1"/>
              <w:rPr>
                <w:rFonts w:ascii="宋体" w:hAnsi="宋体" w:cs="宋体"/>
                <w:color w:val="000000"/>
              </w:rPr>
            </w:pPr>
            <w:r>
              <w:rPr>
                <w:rFonts w:hint="eastAsia" w:ascii="宋体" w:hAnsi="宋体" w:cs="宋体"/>
                <w:color w:val="000000"/>
              </w:rPr>
              <w:t>（7）同一投标人未提交两个以上不同的投标文件，但招标文件要求提交备选投标的除外。</w:t>
            </w:r>
            <w:r>
              <w:rPr>
                <w:rFonts w:ascii="宋体" w:hAnsi="宋体" w:cs="宋体"/>
                <w:color w:val="000000"/>
              </w:rPr>
              <w:t xml:space="preserve"> </w:t>
            </w:r>
          </w:p>
          <w:p>
            <w:pPr>
              <w:spacing w:line="400" w:lineRule="exact"/>
              <w:ind w:left="1" w:firstLine="1"/>
              <w:rPr>
                <w:rFonts w:ascii="宋体" w:hAnsi="宋体" w:cs="宋体"/>
                <w:color w:val="000000"/>
              </w:rPr>
            </w:pPr>
            <w:r>
              <w:rPr>
                <w:rFonts w:hint="eastAsia" w:ascii="宋体" w:hAnsi="宋体" w:cs="宋体"/>
                <w:color w:val="000000"/>
              </w:rPr>
              <w:t>（8）投标文件中未出现有关投标报价的内容。</w:t>
            </w:r>
            <w:r>
              <w:rPr>
                <w:rFonts w:ascii="宋体" w:hAnsi="宋体" w:cs="宋体"/>
                <w:color w:val="000000"/>
              </w:rPr>
              <w:t xml:space="preserve"> </w:t>
            </w:r>
          </w:p>
          <w:p>
            <w:pPr>
              <w:spacing w:line="400" w:lineRule="exact"/>
              <w:ind w:left="1" w:firstLine="1"/>
              <w:rPr>
                <w:rFonts w:ascii="宋体" w:hAnsi="宋体" w:cs="宋体"/>
                <w:color w:val="000000"/>
              </w:rPr>
            </w:pPr>
            <w:r>
              <w:rPr>
                <w:rFonts w:hint="eastAsia" w:ascii="宋体" w:hAnsi="宋体" w:cs="宋体"/>
                <w:color w:val="000000"/>
              </w:rPr>
              <w:t>（9）投标文件载明的招标项目完成期限未超过招标文件规定的时限。</w:t>
            </w:r>
            <w:r>
              <w:rPr>
                <w:rFonts w:ascii="宋体" w:hAnsi="宋体" w:cs="宋体"/>
                <w:color w:val="000000"/>
              </w:rPr>
              <w:t xml:space="preserve"> </w:t>
            </w:r>
          </w:p>
          <w:p>
            <w:pPr>
              <w:spacing w:line="400" w:lineRule="exact"/>
              <w:ind w:left="1" w:firstLine="1"/>
              <w:rPr>
                <w:rFonts w:hint="eastAsia" w:ascii="宋体" w:hAnsi="宋体" w:cs="宋体"/>
                <w:color w:val="000000"/>
              </w:rPr>
            </w:pPr>
            <w:r>
              <w:rPr>
                <w:rFonts w:hint="eastAsia" w:ascii="宋体" w:hAnsi="宋体" w:cs="宋体"/>
                <w:color w:val="000000"/>
              </w:rPr>
              <w:t>（10）投标文件对招标文件的实质性要求和条件作出响应。</w:t>
            </w:r>
          </w:p>
          <w:p>
            <w:pPr>
              <w:spacing w:line="400" w:lineRule="exact"/>
              <w:ind w:left="1" w:firstLine="1"/>
              <w:rPr>
                <w:rFonts w:ascii="宋体" w:hAnsi="宋体" w:cs="宋体"/>
                <w:color w:val="000000"/>
              </w:rPr>
            </w:pPr>
            <w:r>
              <w:rPr>
                <w:rFonts w:hint="eastAsia" w:ascii="宋体" w:hAnsi="宋体" w:cs="宋体"/>
                <w:color w:val="000000"/>
              </w:rPr>
              <w:t>（</w:t>
            </w:r>
            <w:r>
              <w:rPr>
                <w:rFonts w:ascii="宋体" w:hAnsi="宋体" w:cs="宋体"/>
                <w:color w:val="000000"/>
              </w:rPr>
              <w:t>1</w:t>
            </w:r>
            <w:r>
              <w:rPr>
                <w:rFonts w:hint="eastAsia" w:ascii="宋体" w:hAnsi="宋体" w:cs="宋体"/>
                <w:color w:val="000000"/>
              </w:rPr>
              <w:t>1）权利义务符合招标文件规定：</w:t>
            </w:r>
            <w:r>
              <w:rPr>
                <w:rFonts w:ascii="宋体" w:hAnsi="宋体" w:cs="宋体"/>
                <w:color w:val="000000"/>
              </w:rPr>
              <w:t xml:space="preserve"> </w:t>
            </w:r>
          </w:p>
          <w:p>
            <w:pPr>
              <w:spacing w:line="400" w:lineRule="exact"/>
              <w:ind w:left="1" w:firstLine="420" w:firstLineChars="200"/>
              <w:rPr>
                <w:rFonts w:ascii="宋体" w:hAnsi="宋体" w:cs="宋体"/>
                <w:color w:val="000000"/>
              </w:rPr>
            </w:pPr>
            <w:r>
              <w:rPr>
                <w:rFonts w:ascii="宋体" w:hAnsi="宋体" w:cs="宋体"/>
                <w:color w:val="000000"/>
              </w:rPr>
              <w:t>a.</w:t>
            </w:r>
            <w:r>
              <w:rPr>
                <w:rFonts w:hint="eastAsia" w:ascii="宋体" w:hAnsi="宋体" w:cs="宋体"/>
                <w:color w:val="000000"/>
              </w:rPr>
              <w:t>投标人应接受招标文件规定的风险划分原则，未提出新的风险划分办法；</w:t>
            </w:r>
            <w:r>
              <w:rPr>
                <w:rFonts w:ascii="宋体" w:hAnsi="宋体" w:cs="宋体"/>
                <w:color w:val="000000"/>
              </w:rPr>
              <w:t xml:space="preserve"> </w:t>
            </w:r>
          </w:p>
          <w:p>
            <w:pPr>
              <w:spacing w:line="400" w:lineRule="exact"/>
              <w:ind w:left="1" w:firstLine="420" w:firstLineChars="200"/>
              <w:rPr>
                <w:rFonts w:ascii="宋体" w:hAnsi="宋体" w:cs="宋体"/>
                <w:color w:val="000000"/>
              </w:rPr>
            </w:pPr>
            <w:r>
              <w:rPr>
                <w:rFonts w:ascii="宋体" w:hAnsi="宋体" w:cs="宋体"/>
                <w:color w:val="000000"/>
              </w:rPr>
              <w:t>b.</w:t>
            </w:r>
            <w:r>
              <w:rPr>
                <w:rFonts w:hint="eastAsia" w:ascii="宋体" w:hAnsi="宋体" w:cs="宋体"/>
                <w:color w:val="000000"/>
              </w:rPr>
              <w:t>投标人未增加委托人的责任范围，或减少投标人义务；</w:t>
            </w:r>
            <w:r>
              <w:rPr>
                <w:rFonts w:ascii="宋体" w:hAnsi="宋体" w:cs="宋体"/>
                <w:color w:val="000000"/>
              </w:rPr>
              <w:t xml:space="preserve"> </w:t>
            </w:r>
          </w:p>
          <w:p>
            <w:pPr>
              <w:spacing w:line="400" w:lineRule="exact"/>
              <w:ind w:left="1" w:firstLine="420" w:firstLineChars="200"/>
              <w:rPr>
                <w:rFonts w:ascii="宋体" w:hAnsi="宋体" w:cs="宋体"/>
                <w:color w:val="000000"/>
              </w:rPr>
            </w:pPr>
            <w:r>
              <w:rPr>
                <w:rFonts w:ascii="宋体" w:hAnsi="宋体" w:cs="宋体"/>
                <w:color w:val="000000"/>
              </w:rPr>
              <w:t>c.</w:t>
            </w:r>
            <w:r>
              <w:rPr>
                <w:rFonts w:hint="eastAsia" w:ascii="宋体" w:hAnsi="宋体" w:cs="宋体"/>
                <w:color w:val="000000"/>
              </w:rPr>
              <w:t>投标人未提出不同的支付办法；</w:t>
            </w:r>
            <w:r>
              <w:rPr>
                <w:rFonts w:ascii="宋体" w:hAnsi="宋体" w:cs="宋体"/>
                <w:color w:val="000000"/>
              </w:rPr>
              <w:t xml:space="preserve"> </w:t>
            </w:r>
          </w:p>
          <w:p>
            <w:pPr>
              <w:spacing w:line="400" w:lineRule="exact"/>
              <w:ind w:left="1" w:firstLine="420" w:firstLineChars="200"/>
              <w:rPr>
                <w:rFonts w:ascii="宋体" w:hAnsi="宋体" w:cs="宋体"/>
                <w:color w:val="000000"/>
              </w:rPr>
            </w:pPr>
            <w:r>
              <w:rPr>
                <w:rFonts w:ascii="宋体" w:hAnsi="宋体" w:cs="宋体"/>
                <w:color w:val="000000"/>
              </w:rPr>
              <w:t>d.</w:t>
            </w:r>
            <w:r>
              <w:rPr>
                <w:rFonts w:hint="eastAsia" w:ascii="宋体" w:hAnsi="宋体" w:cs="宋体"/>
                <w:color w:val="000000"/>
              </w:rPr>
              <w:t>投标人对合同纠纷、事故处理办法未提出异议；</w:t>
            </w:r>
            <w:r>
              <w:rPr>
                <w:rFonts w:ascii="宋体" w:hAnsi="宋体" w:cs="宋体"/>
                <w:color w:val="000000"/>
              </w:rPr>
              <w:t xml:space="preserve"> </w:t>
            </w:r>
          </w:p>
          <w:p>
            <w:pPr>
              <w:spacing w:line="400" w:lineRule="exact"/>
              <w:ind w:left="1" w:firstLine="420" w:firstLineChars="200"/>
              <w:rPr>
                <w:rFonts w:ascii="宋体" w:hAnsi="宋体" w:cs="宋体"/>
                <w:color w:val="000000"/>
              </w:rPr>
            </w:pPr>
            <w:r>
              <w:rPr>
                <w:rFonts w:ascii="宋体" w:hAnsi="宋体" w:cs="宋体"/>
                <w:color w:val="000000"/>
              </w:rPr>
              <w:t>e.</w:t>
            </w:r>
            <w:r>
              <w:rPr>
                <w:rFonts w:hint="eastAsia" w:ascii="宋体" w:hAnsi="宋体" w:cs="宋体"/>
                <w:color w:val="000000"/>
              </w:rPr>
              <w:t>投标人在投标活动中无欺诈行为；</w:t>
            </w:r>
            <w:r>
              <w:rPr>
                <w:rFonts w:ascii="宋体" w:hAnsi="宋体" w:cs="宋体"/>
                <w:color w:val="000000"/>
              </w:rPr>
              <w:t xml:space="preserve"> </w:t>
            </w:r>
          </w:p>
          <w:p>
            <w:pPr>
              <w:spacing w:line="400" w:lineRule="exact"/>
              <w:ind w:left="1" w:firstLine="420" w:firstLineChars="200"/>
              <w:rPr>
                <w:rFonts w:ascii="宋体" w:hAnsi="宋体" w:cs="宋体"/>
                <w:color w:val="000000"/>
              </w:rPr>
            </w:pPr>
            <w:r>
              <w:rPr>
                <w:rFonts w:ascii="宋体" w:hAnsi="宋体" w:cs="宋体"/>
                <w:color w:val="000000"/>
              </w:rPr>
              <w:t>f.</w:t>
            </w:r>
            <w:r>
              <w:rPr>
                <w:rFonts w:hint="eastAsia" w:ascii="宋体" w:hAnsi="宋体" w:cs="宋体"/>
                <w:color w:val="000000"/>
              </w:rPr>
              <w:t>投标人未对合同条款有重要保留。</w:t>
            </w:r>
            <w:r>
              <w:rPr>
                <w:rFonts w:ascii="宋体" w:hAnsi="宋体" w:cs="宋体"/>
                <w:color w:val="000000"/>
              </w:rPr>
              <w:t xml:space="preserve"> </w:t>
            </w:r>
          </w:p>
          <w:p>
            <w:pPr>
              <w:spacing w:line="400" w:lineRule="exact"/>
              <w:ind w:left="1" w:firstLine="1"/>
              <w:rPr>
                <w:rFonts w:hint="eastAsia" w:ascii="宋体" w:hAnsi="宋体" w:cs="宋体"/>
                <w:color w:val="000000"/>
              </w:rPr>
            </w:pPr>
            <w:r>
              <w:rPr>
                <w:rFonts w:hint="eastAsia" w:ascii="宋体" w:hAnsi="宋体" w:cs="宋体"/>
                <w:color w:val="000000"/>
              </w:rPr>
              <w:t>（</w:t>
            </w:r>
            <w:r>
              <w:rPr>
                <w:rFonts w:ascii="宋体" w:hAnsi="宋体" w:cs="宋体"/>
                <w:color w:val="000000"/>
              </w:rPr>
              <w:t>1</w:t>
            </w:r>
            <w:r>
              <w:rPr>
                <w:rFonts w:hint="eastAsia" w:ascii="宋体" w:hAnsi="宋体" w:cs="宋体"/>
                <w:color w:val="000000"/>
              </w:rPr>
              <w:t>1）投标文件正、副本份数符合招标文件第二章</w:t>
            </w:r>
            <w:r>
              <w:rPr>
                <w:rFonts w:ascii="宋体" w:hAnsi="宋体" w:cs="宋体"/>
                <w:color w:val="000000"/>
              </w:rPr>
              <w:t>“</w:t>
            </w:r>
            <w:r>
              <w:rPr>
                <w:rFonts w:hint="eastAsia" w:ascii="宋体" w:hAnsi="宋体" w:cs="宋体"/>
                <w:color w:val="000000"/>
              </w:rPr>
              <w:t>投标人须知</w:t>
            </w:r>
            <w:r>
              <w:rPr>
                <w:rFonts w:ascii="宋体" w:hAnsi="宋体" w:cs="宋体"/>
                <w:color w:val="000000"/>
              </w:rPr>
              <w:t>”</w:t>
            </w:r>
            <w:r>
              <w:rPr>
                <w:rFonts w:hint="eastAsia" w:ascii="宋体" w:hAnsi="宋体" w:cs="宋体"/>
                <w:color w:val="000000"/>
              </w:rPr>
              <w:t>第</w:t>
            </w:r>
            <w:r>
              <w:rPr>
                <w:rFonts w:ascii="宋体" w:hAnsi="宋体" w:cs="宋体"/>
                <w:color w:val="000000"/>
              </w:rPr>
              <w:t>3.7.4</w:t>
            </w:r>
            <w:r>
              <w:rPr>
                <w:rFonts w:hint="eastAsia" w:ascii="宋体" w:hAnsi="宋体" w:cs="宋体"/>
                <w:color w:val="000000"/>
              </w:rPr>
              <w:t>项规定。</w:t>
            </w:r>
          </w:p>
          <w:p>
            <w:pPr>
              <w:spacing w:line="400" w:lineRule="exact"/>
              <w:ind w:left="1" w:firstLine="1"/>
              <w:rPr>
                <w:rFonts w:hint="eastAsia" w:ascii="宋体" w:hAnsi="宋体" w:cs="宋体"/>
                <w:color w:val="000000"/>
              </w:rPr>
            </w:pPr>
            <w:r>
              <w:rPr>
                <w:rFonts w:hint="eastAsia" w:ascii="宋体" w:hAnsi="宋体" w:cs="宋体"/>
                <w:color w:val="000000"/>
              </w:rPr>
              <w:t>（12）投标文件未附有招标人不能接受的条件。</w:t>
            </w:r>
          </w:p>
          <w:p>
            <w:pPr>
              <w:spacing w:line="400" w:lineRule="exact"/>
              <w:ind w:left="1" w:firstLine="1"/>
              <w:rPr>
                <w:rFonts w:ascii="宋体" w:hAnsi="宋体" w:cs="宋体"/>
                <w:b/>
                <w:color w:val="000000"/>
              </w:rPr>
            </w:pPr>
            <w:r>
              <w:rPr>
                <w:rFonts w:hint="eastAsia" w:ascii="宋体" w:hAnsi="宋体" w:cs="宋体"/>
                <w:b/>
                <w:color w:val="000000"/>
              </w:rPr>
              <w:t>第二个信封（报价文件）评审标准：</w:t>
            </w:r>
            <w:r>
              <w:rPr>
                <w:rFonts w:ascii="宋体" w:hAnsi="宋体" w:cs="宋体"/>
                <w:b/>
                <w:color w:val="000000"/>
              </w:rPr>
              <w:t xml:space="preserve"> </w:t>
            </w:r>
          </w:p>
          <w:p>
            <w:pPr>
              <w:spacing w:line="400" w:lineRule="exact"/>
              <w:ind w:left="1" w:firstLine="1"/>
              <w:rPr>
                <w:rFonts w:ascii="宋体" w:hAnsi="宋体" w:cs="宋体"/>
                <w:color w:val="000000"/>
              </w:rPr>
            </w:pPr>
            <w:r>
              <w:rPr>
                <w:rFonts w:hint="eastAsia" w:ascii="宋体" w:hAnsi="宋体" w:cs="宋体"/>
                <w:color w:val="000000"/>
              </w:rPr>
              <w:t>（</w:t>
            </w:r>
            <w:r>
              <w:rPr>
                <w:rFonts w:ascii="宋体" w:hAnsi="宋体" w:cs="宋体"/>
                <w:color w:val="000000"/>
              </w:rPr>
              <w:t>1</w:t>
            </w:r>
            <w:r>
              <w:rPr>
                <w:rFonts w:hint="eastAsia" w:ascii="宋体" w:hAnsi="宋体" w:cs="宋体"/>
                <w:color w:val="000000"/>
              </w:rPr>
              <w:t>）投标文件按照招标文件规定的格式、内容填写，字迹清晰可辨：</w:t>
            </w:r>
            <w:r>
              <w:rPr>
                <w:rFonts w:ascii="宋体" w:hAnsi="宋体" w:cs="宋体"/>
                <w:color w:val="000000"/>
              </w:rPr>
              <w:t xml:space="preserve"> </w:t>
            </w:r>
          </w:p>
          <w:p>
            <w:pPr>
              <w:spacing w:line="400" w:lineRule="exact"/>
              <w:ind w:left="1" w:firstLine="420" w:firstLineChars="200"/>
              <w:rPr>
                <w:rFonts w:hint="eastAsia" w:ascii="宋体" w:hAnsi="宋体" w:cs="宋体"/>
                <w:color w:val="000000"/>
              </w:rPr>
            </w:pPr>
            <w:r>
              <w:rPr>
                <w:rFonts w:ascii="宋体" w:hAnsi="宋体" w:cs="宋体"/>
                <w:color w:val="000000"/>
              </w:rPr>
              <w:t>a.</w:t>
            </w:r>
            <w:r>
              <w:rPr>
                <w:rFonts w:hint="eastAsia" w:ascii="宋体" w:hAnsi="宋体" w:cs="宋体"/>
                <w:color w:val="000000"/>
              </w:rPr>
              <w:t>投标函按招标文件规定填报了项目名称、标段号（如有）、投标总报价（包括大写金额和小写金额）；</w:t>
            </w:r>
            <w:r>
              <w:rPr>
                <w:rFonts w:ascii="宋体" w:hAnsi="宋体" w:cs="宋体"/>
                <w:color w:val="000000"/>
              </w:rPr>
              <w:t xml:space="preserve"> </w:t>
            </w:r>
          </w:p>
          <w:p>
            <w:pPr>
              <w:spacing w:line="400" w:lineRule="exact"/>
              <w:ind w:left="1" w:firstLine="420" w:firstLineChars="200"/>
              <w:rPr>
                <w:rFonts w:ascii="宋体" w:hAnsi="宋体" w:cs="宋体"/>
                <w:color w:val="000000"/>
              </w:rPr>
            </w:pPr>
            <w:r>
              <w:rPr>
                <w:rFonts w:ascii="宋体" w:hAnsi="宋体" w:cs="宋体"/>
                <w:color w:val="000000"/>
              </w:rPr>
              <w:t>b.</w:t>
            </w:r>
            <w:r>
              <w:rPr>
                <w:rFonts w:hint="eastAsia" w:ascii="宋体" w:hAnsi="宋体" w:cs="宋体"/>
                <w:color w:val="000000"/>
              </w:rPr>
              <w:t>已标价报价清单说明文字与招标文件规定一致，未进行实质性修改和删减；</w:t>
            </w:r>
            <w:r>
              <w:rPr>
                <w:rFonts w:ascii="宋体" w:hAnsi="宋体" w:cs="宋体"/>
                <w:color w:val="000000"/>
              </w:rPr>
              <w:t xml:space="preserve"> </w:t>
            </w:r>
          </w:p>
          <w:p>
            <w:pPr>
              <w:spacing w:line="400" w:lineRule="exact"/>
              <w:ind w:left="1" w:firstLine="420" w:firstLineChars="200"/>
              <w:rPr>
                <w:rFonts w:ascii="宋体" w:hAnsi="宋体" w:cs="宋体"/>
                <w:color w:val="000000"/>
              </w:rPr>
            </w:pPr>
            <w:r>
              <w:rPr>
                <w:rFonts w:ascii="宋体" w:hAnsi="宋体" w:cs="宋体"/>
                <w:color w:val="000000"/>
              </w:rPr>
              <w:t>c.</w:t>
            </w:r>
            <w:r>
              <w:rPr>
                <w:rFonts w:hint="eastAsia" w:ascii="宋体" w:hAnsi="宋体" w:cs="宋体"/>
                <w:color w:val="000000"/>
              </w:rPr>
              <w:t>投标文件组成齐全完整，内容均按规定填写。</w:t>
            </w:r>
            <w:r>
              <w:rPr>
                <w:rFonts w:ascii="宋体" w:hAnsi="宋体" w:cs="宋体"/>
                <w:color w:val="000000"/>
              </w:rPr>
              <w:t xml:space="preserve"> </w:t>
            </w:r>
          </w:p>
          <w:p>
            <w:pPr>
              <w:spacing w:line="400" w:lineRule="exact"/>
              <w:ind w:left="1" w:firstLine="1"/>
              <w:rPr>
                <w:rFonts w:ascii="宋体" w:hAnsi="宋体" w:cs="宋体"/>
                <w:color w:val="000000"/>
              </w:rPr>
            </w:pPr>
            <w:r>
              <w:rPr>
                <w:rFonts w:hint="eastAsia" w:ascii="宋体" w:hAnsi="宋体" w:cs="宋体"/>
                <w:color w:val="000000"/>
              </w:rPr>
              <w:t>（</w:t>
            </w:r>
            <w:r>
              <w:rPr>
                <w:rFonts w:ascii="宋体" w:hAnsi="宋体" w:cs="宋体"/>
                <w:color w:val="000000"/>
              </w:rPr>
              <w:t>2</w:t>
            </w:r>
            <w:r>
              <w:rPr>
                <w:rFonts w:hint="eastAsia" w:ascii="宋体" w:hAnsi="宋体" w:cs="宋体"/>
                <w:color w:val="000000"/>
              </w:rPr>
              <w:t>）投标文件上法定代表人或其委托代理人的签字、投标人的单位章盖章齐全，符合招标文件规定。</w:t>
            </w:r>
            <w:r>
              <w:rPr>
                <w:rFonts w:ascii="宋体" w:hAnsi="宋体" w:cs="宋体"/>
                <w:color w:val="000000"/>
              </w:rPr>
              <w:t xml:space="preserve"> </w:t>
            </w:r>
          </w:p>
          <w:p>
            <w:pPr>
              <w:spacing w:line="400" w:lineRule="exact"/>
              <w:ind w:left="1" w:firstLine="1"/>
              <w:rPr>
                <w:rFonts w:ascii="宋体" w:hAnsi="宋体" w:cs="宋体"/>
                <w:color w:val="000000"/>
              </w:rPr>
            </w:pPr>
            <w:r>
              <w:rPr>
                <w:rFonts w:hint="eastAsia" w:ascii="宋体" w:hAnsi="宋体" w:cs="宋体"/>
                <w:color w:val="000000"/>
              </w:rPr>
              <w:t>（</w:t>
            </w:r>
            <w:r>
              <w:rPr>
                <w:rFonts w:ascii="宋体" w:hAnsi="宋体" w:cs="宋体"/>
                <w:color w:val="000000"/>
              </w:rPr>
              <w:t>3</w:t>
            </w:r>
            <w:r>
              <w:rPr>
                <w:rFonts w:hint="eastAsia" w:ascii="宋体" w:hAnsi="宋体" w:cs="宋体"/>
                <w:color w:val="000000"/>
              </w:rPr>
              <w:t>）投标报价未超过招标文件设定的最高投标限价（如有）。</w:t>
            </w:r>
            <w:r>
              <w:rPr>
                <w:rFonts w:ascii="宋体" w:hAnsi="宋体" w:cs="宋体"/>
                <w:color w:val="000000"/>
              </w:rPr>
              <w:t xml:space="preserve"> </w:t>
            </w:r>
          </w:p>
          <w:p>
            <w:pPr>
              <w:spacing w:line="400" w:lineRule="exact"/>
              <w:ind w:left="1" w:firstLine="1"/>
              <w:rPr>
                <w:rFonts w:ascii="宋体" w:hAnsi="宋体" w:cs="宋体"/>
                <w:color w:val="000000"/>
              </w:rPr>
            </w:pPr>
            <w:r>
              <w:rPr>
                <w:rFonts w:hint="eastAsia" w:ascii="宋体" w:hAnsi="宋体" w:cs="宋体"/>
                <w:color w:val="000000"/>
              </w:rPr>
              <w:t>（</w:t>
            </w:r>
            <w:r>
              <w:rPr>
                <w:rFonts w:ascii="宋体" w:hAnsi="宋体" w:cs="宋体"/>
                <w:color w:val="000000"/>
              </w:rPr>
              <w:t>4</w:t>
            </w:r>
            <w:r>
              <w:rPr>
                <w:rFonts w:hint="eastAsia" w:ascii="宋体" w:hAnsi="宋体" w:cs="宋体"/>
                <w:color w:val="000000"/>
              </w:rPr>
              <w:t>）投标报价的大写金额能够确定具体数值。</w:t>
            </w:r>
            <w:r>
              <w:rPr>
                <w:rFonts w:ascii="宋体" w:hAnsi="宋体" w:cs="宋体"/>
                <w:color w:val="000000"/>
              </w:rPr>
              <w:t xml:space="preserve"> </w:t>
            </w:r>
          </w:p>
          <w:p>
            <w:pPr>
              <w:spacing w:line="400" w:lineRule="exact"/>
              <w:ind w:left="1" w:firstLine="1"/>
              <w:rPr>
                <w:rFonts w:ascii="宋体" w:hAnsi="宋体" w:cs="宋体"/>
                <w:color w:val="000000"/>
              </w:rPr>
            </w:pPr>
            <w:r>
              <w:rPr>
                <w:rFonts w:hint="eastAsia" w:ascii="宋体" w:hAnsi="宋体" w:cs="宋体"/>
                <w:color w:val="000000"/>
              </w:rPr>
              <w:t>（</w:t>
            </w:r>
            <w:r>
              <w:rPr>
                <w:rFonts w:ascii="宋体" w:hAnsi="宋体" w:cs="宋体"/>
                <w:color w:val="000000"/>
              </w:rPr>
              <w:t>5</w:t>
            </w:r>
            <w:r>
              <w:rPr>
                <w:rFonts w:hint="eastAsia" w:ascii="宋体" w:hAnsi="宋体" w:cs="宋体"/>
                <w:color w:val="000000"/>
              </w:rPr>
              <w:t>）同一投标人未提交两个以上不同的投标报价，但招标文件要求提交备选投标的除外。</w:t>
            </w:r>
            <w:r>
              <w:rPr>
                <w:rFonts w:ascii="宋体" w:hAnsi="宋体" w:cs="宋体"/>
                <w:color w:val="000000"/>
              </w:rPr>
              <w:t xml:space="preserve"> </w:t>
            </w:r>
          </w:p>
          <w:p>
            <w:pPr>
              <w:spacing w:line="400" w:lineRule="exact"/>
              <w:ind w:left="108" w:firstLine="1"/>
              <w:jc w:val="left"/>
              <w:rPr>
                <w:rFonts w:hint="eastAsia" w:ascii="宋体" w:hAnsi="宋体" w:cs="宋体"/>
                <w:color w:val="000000"/>
              </w:rPr>
            </w:pPr>
            <w:r>
              <w:rPr>
                <w:rFonts w:hint="eastAsia" w:ascii="宋体" w:hAnsi="宋体" w:cs="宋体"/>
                <w:color w:val="000000"/>
              </w:rPr>
              <w:t>（</w:t>
            </w:r>
            <w:r>
              <w:rPr>
                <w:rFonts w:ascii="宋体" w:hAnsi="宋体" w:cs="宋体"/>
                <w:color w:val="000000"/>
              </w:rPr>
              <w:t>6</w:t>
            </w:r>
            <w:r>
              <w:rPr>
                <w:rFonts w:hint="eastAsia" w:ascii="宋体" w:hAnsi="宋体" w:cs="宋体"/>
                <w:color w:val="000000"/>
              </w:rPr>
              <w:t>）投标文件正、副本份数符合招标文件第二章</w:t>
            </w:r>
            <w:r>
              <w:rPr>
                <w:rFonts w:ascii="宋体" w:hAnsi="宋体" w:cs="宋体"/>
                <w:color w:val="000000"/>
              </w:rPr>
              <w:t>“</w:t>
            </w:r>
            <w:r>
              <w:rPr>
                <w:rFonts w:hint="eastAsia" w:ascii="宋体" w:hAnsi="宋体" w:cs="宋体"/>
                <w:color w:val="000000"/>
              </w:rPr>
              <w:t>投标人须知</w:t>
            </w:r>
            <w:r>
              <w:rPr>
                <w:rFonts w:ascii="宋体" w:hAnsi="宋体" w:cs="宋体"/>
                <w:color w:val="000000"/>
              </w:rPr>
              <w:t>”</w:t>
            </w:r>
            <w:r>
              <w:rPr>
                <w:rFonts w:hint="eastAsia" w:ascii="宋体" w:hAnsi="宋体" w:cs="宋体"/>
                <w:color w:val="000000"/>
              </w:rPr>
              <w:t>第</w:t>
            </w:r>
            <w:r>
              <w:rPr>
                <w:rFonts w:ascii="宋体" w:hAnsi="宋体" w:cs="宋体"/>
                <w:color w:val="000000"/>
              </w:rPr>
              <w:t>3.7.4</w:t>
            </w:r>
            <w:r>
              <w:rPr>
                <w:rFonts w:hint="eastAsia" w:ascii="宋体" w:hAnsi="宋体" w:cs="宋体"/>
                <w:color w:val="000000"/>
              </w:rPr>
              <w:t>项规定。</w:t>
            </w:r>
            <w:r>
              <w:rPr>
                <w:rFonts w:ascii="宋体" w:hAnsi="宋体" w:cs="宋体"/>
                <w:color w:val="00000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73" w:type="dxa"/>
            <w:gridSpan w:val="2"/>
            <w:noWrap w:val="0"/>
            <w:vAlign w:val="center"/>
          </w:tcPr>
          <w:p>
            <w:pPr>
              <w:spacing w:line="400" w:lineRule="exact"/>
              <w:ind w:left="1" w:firstLine="1"/>
              <w:jc w:val="center"/>
              <w:rPr>
                <w:rFonts w:ascii="宋体" w:hAnsi="宋体" w:cs="宋体"/>
                <w:color w:val="000000"/>
              </w:rPr>
            </w:pPr>
            <w:r>
              <w:rPr>
                <w:rFonts w:ascii="宋体" w:hAnsi="宋体" w:cs="宋体"/>
                <w:color w:val="000000"/>
              </w:rPr>
              <w:t>2.1.2</w:t>
            </w:r>
          </w:p>
        </w:tc>
        <w:tc>
          <w:tcPr>
            <w:tcW w:w="1136" w:type="dxa"/>
            <w:gridSpan w:val="2"/>
            <w:noWrap w:val="0"/>
            <w:vAlign w:val="center"/>
          </w:tcPr>
          <w:p>
            <w:pPr>
              <w:spacing w:line="400" w:lineRule="exact"/>
              <w:ind w:left="1" w:firstLine="1"/>
              <w:jc w:val="center"/>
              <w:rPr>
                <w:rFonts w:ascii="宋体" w:hAnsi="宋体" w:cs="宋体"/>
                <w:color w:val="000000"/>
              </w:rPr>
            </w:pPr>
            <w:r>
              <w:rPr>
                <w:rFonts w:hint="eastAsia" w:ascii="宋体" w:hAnsi="宋体" w:cs="宋体"/>
                <w:color w:val="000000"/>
              </w:rPr>
              <w:t>资格评审标准</w:t>
            </w:r>
          </w:p>
        </w:tc>
        <w:tc>
          <w:tcPr>
            <w:tcW w:w="7163" w:type="dxa"/>
            <w:gridSpan w:val="5"/>
            <w:noWrap w:val="0"/>
            <w:vAlign w:val="top"/>
          </w:tcPr>
          <w:p>
            <w:pPr>
              <w:spacing w:line="400" w:lineRule="exact"/>
              <w:ind w:left="1" w:firstLine="1"/>
              <w:rPr>
                <w:rFonts w:ascii="宋体" w:hAnsi="宋体" w:cs="宋体"/>
                <w:color w:val="000000"/>
              </w:rPr>
            </w:pPr>
            <w:r>
              <w:rPr>
                <w:rFonts w:hint="eastAsia" w:ascii="宋体" w:hAnsi="宋体" w:cs="宋体"/>
                <w:color w:val="000000"/>
              </w:rPr>
              <w:t>（</w:t>
            </w:r>
            <w:r>
              <w:rPr>
                <w:rFonts w:ascii="宋体" w:hAnsi="宋体" w:cs="宋体"/>
                <w:color w:val="000000"/>
              </w:rPr>
              <w:t>1</w:t>
            </w:r>
            <w:r>
              <w:rPr>
                <w:rFonts w:hint="eastAsia" w:ascii="宋体" w:hAnsi="宋体" w:cs="宋体"/>
                <w:color w:val="000000"/>
              </w:rPr>
              <w:t>）投标人具备有效的营业执照、资质证书和基本账户开户许可证（如企业所在地已取消企业银行账户许可而无法提供开户许可证的，则需附上开户银行盖章的“基本存款账户信息”或“人民银行账户管理系统查询的基本账户信息截图”）；</w:t>
            </w:r>
            <w:r>
              <w:rPr>
                <w:rFonts w:ascii="宋体" w:hAnsi="宋体" w:cs="宋体"/>
                <w:color w:val="000000"/>
              </w:rPr>
              <w:t xml:space="preserve"> </w:t>
            </w:r>
          </w:p>
          <w:p>
            <w:pPr>
              <w:spacing w:line="400" w:lineRule="exact"/>
              <w:ind w:left="1" w:firstLine="1"/>
              <w:rPr>
                <w:rFonts w:ascii="宋体" w:hAnsi="宋体" w:cs="宋体"/>
                <w:color w:val="000000"/>
              </w:rPr>
            </w:pPr>
            <w:r>
              <w:rPr>
                <w:rFonts w:hint="eastAsia" w:ascii="宋体" w:hAnsi="宋体" w:cs="宋体"/>
                <w:color w:val="000000"/>
              </w:rPr>
              <w:t>（</w:t>
            </w:r>
            <w:r>
              <w:rPr>
                <w:rFonts w:ascii="宋体" w:hAnsi="宋体" w:cs="宋体"/>
                <w:color w:val="000000"/>
              </w:rPr>
              <w:t>2</w:t>
            </w:r>
            <w:r>
              <w:rPr>
                <w:rFonts w:hint="eastAsia" w:ascii="宋体" w:hAnsi="宋体" w:cs="宋体"/>
                <w:color w:val="000000"/>
              </w:rPr>
              <w:t>）投标人的资质等级符合招标文件规定；</w:t>
            </w:r>
            <w:r>
              <w:rPr>
                <w:rFonts w:ascii="宋体" w:hAnsi="宋体" w:cs="宋体"/>
                <w:color w:val="000000"/>
              </w:rPr>
              <w:t xml:space="preserve"> </w:t>
            </w:r>
          </w:p>
          <w:p>
            <w:pPr>
              <w:spacing w:line="400" w:lineRule="exact"/>
              <w:ind w:left="1" w:firstLine="1"/>
              <w:rPr>
                <w:rFonts w:ascii="宋体" w:hAnsi="宋体" w:cs="宋体"/>
                <w:color w:val="000000"/>
              </w:rPr>
            </w:pPr>
            <w:r>
              <w:rPr>
                <w:rFonts w:hint="eastAsia" w:ascii="宋体" w:hAnsi="宋体" w:cs="宋体"/>
                <w:color w:val="000000"/>
              </w:rPr>
              <w:t>（</w:t>
            </w:r>
            <w:r>
              <w:rPr>
                <w:rFonts w:ascii="宋体" w:hAnsi="宋体" w:cs="宋体"/>
                <w:color w:val="000000"/>
              </w:rPr>
              <w:t>3</w:t>
            </w:r>
            <w:r>
              <w:rPr>
                <w:rFonts w:hint="eastAsia" w:ascii="宋体" w:hAnsi="宋体" w:cs="宋体"/>
                <w:color w:val="000000"/>
              </w:rPr>
              <w:t>）投标人的类似工程业绩符合招标文件规定；</w:t>
            </w:r>
            <w:r>
              <w:rPr>
                <w:rFonts w:ascii="宋体" w:hAnsi="宋体" w:cs="宋体"/>
                <w:color w:val="000000"/>
              </w:rPr>
              <w:t xml:space="preserve"> </w:t>
            </w:r>
          </w:p>
          <w:p>
            <w:pPr>
              <w:spacing w:line="400" w:lineRule="exact"/>
              <w:ind w:left="1" w:firstLine="1"/>
              <w:rPr>
                <w:rFonts w:ascii="宋体" w:hAnsi="宋体" w:cs="宋体"/>
                <w:color w:val="000000"/>
              </w:rPr>
            </w:pPr>
            <w:r>
              <w:rPr>
                <w:rFonts w:hint="eastAsia" w:ascii="宋体" w:hAnsi="宋体" w:cs="宋体"/>
                <w:color w:val="000000"/>
              </w:rPr>
              <w:t>（</w:t>
            </w:r>
            <w:r>
              <w:rPr>
                <w:rFonts w:ascii="宋体" w:hAnsi="宋体" w:cs="宋体"/>
                <w:color w:val="000000"/>
              </w:rPr>
              <w:t>4</w:t>
            </w:r>
            <w:r>
              <w:rPr>
                <w:rFonts w:hint="eastAsia" w:ascii="宋体" w:hAnsi="宋体" w:cs="宋体"/>
                <w:color w:val="000000"/>
              </w:rPr>
              <w:t>）投标人的信誉符合招标文件规定；</w:t>
            </w:r>
            <w:r>
              <w:rPr>
                <w:rFonts w:ascii="宋体" w:hAnsi="宋体" w:cs="宋体"/>
                <w:color w:val="000000"/>
              </w:rPr>
              <w:t xml:space="preserve"> </w:t>
            </w:r>
          </w:p>
          <w:p>
            <w:pPr>
              <w:spacing w:line="400" w:lineRule="exact"/>
              <w:ind w:left="1" w:firstLine="1"/>
              <w:rPr>
                <w:rFonts w:ascii="宋体" w:hAnsi="宋体" w:cs="宋体"/>
                <w:color w:val="000000"/>
              </w:rPr>
            </w:pPr>
            <w:r>
              <w:rPr>
                <w:rFonts w:hint="eastAsia" w:ascii="宋体" w:hAnsi="宋体" w:cs="宋体"/>
                <w:color w:val="000000"/>
              </w:rPr>
              <w:t>（</w:t>
            </w:r>
            <w:r>
              <w:rPr>
                <w:rFonts w:ascii="宋体" w:hAnsi="宋体" w:cs="宋体"/>
                <w:color w:val="000000"/>
              </w:rPr>
              <w:t>5</w:t>
            </w:r>
            <w:r>
              <w:rPr>
                <w:rFonts w:hint="eastAsia" w:ascii="宋体" w:hAnsi="宋体" w:cs="宋体"/>
                <w:color w:val="000000"/>
              </w:rPr>
              <w:t>）投标人的项目负责人符合招标文件规定；</w:t>
            </w:r>
            <w:r>
              <w:rPr>
                <w:rFonts w:ascii="宋体" w:hAnsi="宋体" w:cs="宋体"/>
                <w:color w:val="000000"/>
              </w:rPr>
              <w:t xml:space="preserve"> </w:t>
            </w:r>
          </w:p>
          <w:p>
            <w:pPr>
              <w:spacing w:line="400" w:lineRule="exact"/>
              <w:ind w:left="1" w:firstLine="1"/>
              <w:rPr>
                <w:rFonts w:ascii="宋体" w:hAnsi="宋体" w:cs="宋体"/>
                <w:color w:val="000000"/>
              </w:rPr>
            </w:pPr>
            <w:r>
              <w:rPr>
                <w:rFonts w:hint="eastAsia" w:ascii="宋体" w:hAnsi="宋体" w:cs="宋体"/>
                <w:color w:val="000000"/>
              </w:rPr>
              <w:t>（</w:t>
            </w:r>
            <w:r>
              <w:rPr>
                <w:rFonts w:ascii="宋体" w:hAnsi="宋体" w:cs="宋体"/>
                <w:color w:val="000000"/>
              </w:rPr>
              <w:t>6</w:t>
            </w:r>
            <w:r>
              <w:rPr>
                <w:rFonts w:hint="eastAsia" w:ascii="宋体" w:hAnsi="宋体" w:cs="宋体"/>
                <w:color w:val="000000"/>
              </w:rPr>
              <w:t>）投标人的其他要求符合招标文件规定；</w:t>
            </w:r>
            <w:r>
              <w:rPr>
                <w:rFonts w:ascii="宋体" w:hAnsi="宋体" w:cs="宋体"/>
                <w:color w:val="000000"/>
              </w:rPr>
              <w:t xml:space="preserve"> </w:t>
            </w:r>
          </w:p>
          <w:p>
            <w:pPr>
              <w:spacing w:line="400" w:lineRule="exact"/>
              <w:ind w:left="1" w:firstLine="1"/>
              <w:rPr>
                <w:rFonts w:ascii="宋体" w:hAnsi="宋体" w:cs="宋体"/>
                <w:color w:val="000000"/>
              </w:rPr>
            </w:pPr>
            <w:r>
              <w:rPr>
                <w:rFonts w:hint="eastAsia" w:ascii="宋体" w:hAnsi="宋体" w:cs="宋体"/>
                <w:color w:val="000000"/>
              </w:rPr>
              <w:t>（</w:t>
            </w:r>
            <w:r>
              <w:rPr>
                <w:rFonts w:ascii="宋体" w:hAnsi="宋体" w:cs="宋体"/>
                <w:color w:val="000000"/>
              </w:rPr>
              <w:t>7</w:t>
            </w:r>
            <w:r>
              <w:rPr>
                <w:rFonts w:hint="eastAsia" w:ascii="宋体" w:hAnsi="宋体" w:cs="宋体"/>
                <w:color w:val="000000"/>
              </w:rPr>
              <w:t>）投标人不存在第二章</w:t>
            </w:r>
            <w:r>
              <w:rPr>
                <w:rFonts w:ascii="宋体" w:hAnsi="宋体" w:cs="宋体"/>
                <w:color w:val="000000"/>
              </w:rPr>
              <w:t>“</w:t>
            </w:r>
            <w:r>
              <w:rPr>
                <w:rFonts w:hint="eastAsia" w:ascii="宋体" w:hAnsi="宋体" w:cs="宋体"/>
                <w:color w:val="000000"/>
              </w:rPr>
              <w:t>投标人须知</w:t>
            </w:r>
            <w:r>
              <w:rPr>
                <w:rFonts w:ascii="宋体" w:hAnsi="宋体" w:cs="宋体"/>
                <w:color w:val="000000"/>
              </w:rPr>
              <w:t>”</w:t>
            </w:r>
            <w:r>
              <w:rPr>
                <w:rFonts w:hint="eastAsia" w:ascii="宋体" w:hAnsi="宋体" w:cs="宋体"/>
                <w:color w:val="000000"/>
              </w:rPr>
              <w:t>第</w:t>
            </w:r>
            <w:r>
              <w:rPr>
                <w:rFonts w:ascii="宋体" w:hAnsi="宋体" w:cs="宋体"/>
                <w:color w:val="000000"/>
              </w:rPr>
              <w:t>1.4.3</w:t>
            </w:r>
            <w:r>
              <w:rPr>
                <w:rFonts w:hint="eastAsia" w:ascii="宋体" w:hAnsi="宋体" w:cs="宋体"/>
                <w:color w:val="000000"/>
              </w:rPr>
              <w:t>项或第</w:t>
            </w:r>
            <w:r>
              <w:rPr>
                <w:rFonts w:ascii="宋体" w:hAnsi="宋体" w:cs="宋体"/>
                <w:color w:val="000000"/>
              </w:rPr>
              <w:t>1.4.4</w:t>
            </w:r>
            <w:r>
              <w:rPr>
                <w:rFonts w:hint="eastAsia" w:ascii="宋体" w:hAnsi="宋体" w:cs="宋体"/>
                <w:color w:val="000000"/>
              </w:rPr>
              <w:t>项规定的任何一种情形。</w:t>
            </w:r>
            <w:r>
              <w:rPr>
                <w:rFonts w:ascii="宋体" w:hAnsi="宋体" w:cs="宋体"/>
                <w:color w:val="00000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873" w:type="dxa"/>
            <w:gridSpan w:val="2"/>
            <w:noWrap w:val="0"/>
            <w:vAlign w:val="center"/>
          </w:tcPr>
          <w:p>
            <w:pPr>
              <w:spacing w:line="400" w:lineRule="exact"/>
              <w:ind w:left="1" w:firstLine="1"/>
              <w:jc w:val="center"/>
              <w:rPr>
                <w:rFonts w:ascii="宋体" w:hAnsi="宋体" w:cs="宋体"/>
                <w:color w:val="000000"/>
              </w:rPr>
            </w:pPr>
            <w:r>
              <w:rPr>
                <w:rFonts w:ascii="宋体" w:hAnsi="宋体" w:cs="宋体"/>
                <w:color w:val="000000"/>
              </w:rPr>
              <w:t>2.2.1</w:t>
            </w:r>
          </w:p>
        </w:tc>
        <w:tc>
          <w:tcPr>
            <w:tcW w:w="1136" w:type="dxa"/>
            <w:gridSpan w:val="2"/>
            <w:noWrap w:val="0"/>
            <w:vAlign w:val="center"/>
          </w:tcPr>
          <w:p>
            <w:pPr>
              <w:spacing w:line="400" w:lineRule="exact"/>
              <w:ind w:left="1" w:firstLine="1"/>
              <w:jc w:val="center"/>
              <w:rPr>
                <w:rFonts w:ascii="宋体" w:hAnsi="宋体" w:cs="宋体"/>
                <w:color w:val="000000"/>
              </w:rPr>
            </w:pPr>
            <w:r>
              <w:rPr>
                <w:rFonts w:hint="eastAsia" w:ascii="宋体" w:hAnsi="宋体" w:cs="宋体"/>
                <w:color w:val="000000"/>
              </w:rPr>
              <w:t>分值构成（总分</w:t>
            </w:r>
            <w:r>
              <w:rPr>
                <w:rFonts w:ascii="宋体" w:hAnsi="宋体" w:cs="宋体"/>
                <w:color w:val="000000"/>
              </w:rPr>
              <w:t>100</w:t>
            </w:r>
            <w:r>
              <w:rPr>
                <w:rFonts w:hint="eastAsia" w:ascii="宋体" w:hAnsi="宋体" w:cs="宋体"/>
                <w:color w:val="000000"/>
              </w:rPr>
              <w:t>分）</w:t>
            </w:r>
          </w:p>
        </w:tc>
        <w:tc>
          <w:tcPr>
            <w:tcW w:w="7163" w:type="dxa"/>
            <w:gridSpan w:val="5"/>
            <w:noWrap w:val="0"/>
            <w:vAlign w:val="top"/>
          </w:tcPr>
          <w:p>
            <w:pPr>
              <w:spacing w:line="400" w:lineRule="exact"/>
              <w:rPr>
                <w:rFonts w:ascii="宋体" w:hAnsi="宋体" w:cs="宋体"/>
                <w:b/>
                <w:color w:val="000000"/>
              </w:rPr>
            </w:pPr>
            <w:r>
              <w:rPr>
                <w:rFonts w:hint="eastAsia" w:ascii="宋体" w:hAnsi="宋体" w:cs="宋体"/>
                <w:b/>
                <w:color w:val="000000"/>
              </w:rPr>
              <w:t>第一个信封（商务及技术文件）评分分值构成：</w:t>
            </w:r>
          </w:p>
          <w:p>
            <w:pPr>
              <w:spacing w:line="400" w:lineRule="exact"/>
              <w:rPr>
                <w:rFonts w:ascii="宋体" w:hAnsi="宋体" w:cs="宋体"/>
                <w:color w:val="000000"/>
              </w:rPr>
            </w:pPr>
            <w:r>
              <w:rPr>
                <w:rFonts w:hint="eastAsia" w:ascii="宋体" w:hAnsi="宋体" w:cs="宋体"/>
                <w:color w:val="000000"/>
              </w:rPr>
              <w:t>技术建议书：</w:t>
            </w:r>
            <w:r>
              <w:rPr>
                <w:rFonts w:hint="eastAsia" w:ascii="宋体" w:hAnsi="宋体" w:cs="宋体"/>
                <w:color w:val="000000"/>
                <w:u w:val="single"/>
              </w:rPr>
              <w:t>50</w:t>
            </w:r>
            <w:r>
              <w:rPr>
                <w:rFonts w:hint="eastAsia" w:ascii="宋体" w:hAnsi="宋体" w:cs="宋体"/>
                <w:color w:val="000000"/>
              </w:rPr>
              <w:t>分</w:t>
            </w:r>
          </w:p>
          <w:p>
            <w:pPr>
              <w:spacing w:line="400" w:lineRule="exact"/>
              <w:rPr>
                <w:rFonts w:hint="eastAsia" w:ascii="宋体" w:hAnsi="宋体" w:cs="宋体"/>
                <w:color w:val="000000"/>
              </w:rPr>
            </w:pPr>
            <w:r>
              <w:rPr>
                <w:rFonts w:hint="eastAsia" w:ascii="宋体" w:hAnsi="宋体" w:cs="宋体"/>
                <w:color w:val="000000"/>
              </w:rPr>
              <w:t>主要人员：</w:t>
            </w:r>
            <w:r>
              <w:rPr>
                <w:rFonts w:hint="eastAsia" w:ascii="宋体" w:hAnsi="宋体" w:cs="宋体"/>
                <w:color w:val="000000"/>
                <w:u w:val="single"/>
              </w:rPr>
              <w:t>10</w:t>
            </w:r>
            <w:r>
              <w:rPr>
                <w:rFonts w:hint="eastAsia" w:ascii="宋体" w:hAnsi="宋体" w:cs="宋体"/>
                <w:color w:val="000000"/>
              </w:rPr>
              <w:t>分</w:t>
            </w:r>
          </w:p>
          <w:p>
            <w:pPr>
              <w:spacing w:line="400" w:lineRule="exact"/>
              <w:rPr>
                <w:rFonts w:ascii="宋体" w:hAnsi="宋体" w:cs="宋体"/>
                <w:color w:val="000000"/>
              </w:rPr>
            </w:pPr>
            <w:r>
              <w:rPr>
                <w:rFonts w:hint="eastAsia" w:ascii="宋体" w:hAnsi="宋体" w:cs="宋体"/>
                <w:color w:val="000000"/>
              </w:rPr>
              <w:t>其他因素：</w:t>
            </w:r>
            <w:r>
              <w:rPr>
                <w:rFonts w:hint="eastAsia" w:ascii="宋体" w:hAnsi="宋体" w:cs="宋体"/>
                <w:color w:val="000000"/>
                <w:u w:val="single"/>
              </w:rPr>
              <w:t>15</w:t>
            </w:r>
            <w:r>
              <w:rPr>
                <w:rFonts w:hint="eastAsia" w:ascii="宋体" w:hAnsi="宋体" w:cs="宋体"/>
                <w:color w:val="000000"/>
              </w:rPr>
              <w:t>分，其中</w:t>
            </w:r>
          </w:p>
          <w:p>
            <w:pPr>
              <w:spacing w:line="400" w:lineRule="exact"/>
              <w:ind w:firstLine="420" w:firstLineChars="200"/>
              <w:rPr>
                <w:rFonts w:ascii="宋体" w:hAnsi="宋体" w:cs="宋体"/>
                <w:color w:val="000000"/>
              </w:rPr>
            </w:pPr>
            <w:r>
              <w:rPr>
                <w:rFonts w:hint="eastAsia" w:ascii="宋体" w:hAnsi="宋体" w:cs="宋体"/>
                <w:color w:val="000000"/>
              </w:rPr>
              <w:t>业绩：</w:t>
            </w:r>
            <w:r>
              <w:rPr>
                <w:rFonts w:hint="eastAsia" w:ascii="宋体" w:hAnsi="宋体" w:cs="宋体"/>
                <w:color w:val="000000"/>
                <w:u w:val="single"/>
              </w:rPr>
              <w:t>5</w:t>
            </w:r>
            <w:r>
              <w:rPr>
                <w:rFonts w:hint="eastAsia" w:ascii="宋体" w:hAnsi="宋体" w:cs="宋体"/>
                <w:color w:val="000000"/>
              </w:rPr>
              <w:t>分</w:t>
            </w:r>
          </w:p>
          <w:p>
            <w:pPr>
              <w:spacing w:line="400" w:lineRule="exact"/>
              <w:ind w:firstLine="420" w:firstLineChars="200"/>
              <w:rPr>
                <w:rFonts w:hint="eastAsia" w:ascii="宋体" w:hAnsi="宋体" w:cs="宋体"/>
                <w:color w:val="000000"/>
              </w:rPr>
            </w:pPr>
            <w:r>
              <w:rPr>
                <w:rFonts w:hint="eastAsia" w:ascii="宋体" w:hAnsi="宋体" w:cs="宋体"/>
                <w:color w:val="000000"/>
              </w:rPr>
              <w:t>履约信誉：</w:t>
            </w:r>
            <w:r>
              <w:rPr>
                <w:rFonts w:hint="eastAsia" w:ascii="宋体" w:hAnsi="宋体" w:cs="宋体"/>
                <w:color w:val="000000"/>
                <w:u w:val="single"/>
              </w:rPr>
              <w:t>10</w:t>
            </w:r>
            <w:r>
              <w:rPr>
                <w:rFonts w:hint="eastAsia" w:ascii="宋体" w:hAnsi="宋体" w:cs="宋体"/>
                <w:color w:val="000000"/>
              </w:rPr>
              <w:t>分</w:t>
            </w:r>
          </w:p>
          <w:p>
            <w:pPr>
              <w:spacing w:line="400" w:lineRule="exact"/>
              <w:rPr>
                <w:rFonts w:ascii="宋体" w:hAnsi="宋体" w:cs="宋体"/>
                <w:b/>
                <w:color w:val="000000"/>
              </w:rPr>
            </w:pPr>
            <w:r>
              <w:rPr>
                <w:rFonts w:hint="eastAsia" w:ascii="宋体" w:hAnsi="宋体" w:cs="宋体"/>
                <w:b/>
                <w:color w:val="000000"/>
              </w:rPr>
              <w:t>第二个信封（报价文件）评分分值构成：</w:t>
            </w:r>
          </w:p>
          <w:p>
            <w:pPr>
              <w:spacing w:line="400" w:lineRule="exact"/>
              <w:rPr>
                <w:rFonts w:ascii="宋体" w:hAnsi="宋体" w:cs="宋体"/>
                <w:color w:val="000000"/>
              </w:rPr>
            </w:pPr>
            <w:r>
              <w:rPr>
                <w:rFonts w:hint="eastAsia" w:ascii="宋体" w:hAnsi="宋体" w:cs="宋体"/>
                <w:color w:val="000000"/>
              </w:rPr>
              <w:t>评标价：</w:t>
            </w:r>
            <w:r>
              <w:rPr>
                <w:rFonts w:hint="eastAsia" w:ascii="宋体" w:hAnsi="宋体" w:cs="宋体"/>
                <w:color w:val="000000"/>
                <w:u w:val="single"/>
              </w:rPr>
              <w:t>25</w:t>
            </w:r>
            <w:r>
              <w:rPr>
                <w:rFonts w:hint="eastAsia" w:ascii="宋体" w:hAnsi="宋体" w:cs="宋体"/>
                <w:color w:val="000000"/>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 w:type="dxa"/>
            <w:gridSpan w:val="2"/>
            <w:noWrap w:val="0"/>
            <w:vAlign w:val="center"/>
          </w:tcPr>
          <w:p>
            <w:pPr>
              <w:spacing w:line="400" w:lineRule="exact"/>
              <w:ind w:left="1" w:firstLine="1"/>
              <w:jc w:val="center"/>
              <w:rPr>
                <w:rFonts w:ascii="宋体" w:hAnsi="宋体" w:cs="宋体"/>
                <w:color w:val="000000"/>
              </w:rPr>
            </w:pPr>
            <w:r>
              <w:rPr>
                <w:rFonts w:ascii="宋体" w:hAnsi="宋体" w:cs="宋体"/>
                <w:color w:val="000000"/>
              </w:rPr>
              <w:t>2.2.2</w:t>
            </w:r>
          </w:p>
        </w:tc>
        <w:tc>
          <w:tcPr>
            <w:tcW w:w="1136" w:type="dxa"/>
            <w:gridSpan w:val="2"/>
            <w:noWrap w:val="0"/>
            <w:vAlign w:val="center"/>
          </w:tcPr>
          <w:p>
            <w:pPr>
              <w:spacing w:line="400" w:lineRule="exact"/>
              <w:ind w:left="1" w:firstLine="1"/>
              <w:jc w:val="center"/>
              <w:rPr>
                <w:rFonts w:ascii="宋体" w:hAnsi="宋体" w:cs="宋体"/>
                <w:color w:val="000000"/>
              </w:rPr>
            </w:pPr>
            <w:r>
              <w:rPr>
                <w:rFonts w:hint="eastAsia" w:ascii="宋体" w:hAnsi="宋体" w:cs="宋体"/>
                <w:color w:val="000000"/>
              </w:rPr>
              <w:t>评标基准价计算方法</w:t>
            </w:r>
            <w:r>
              <w:rPr>
                <w:rFonts w:ascii="宋体" w:hAnsi="宋体" w:cs="宋体"/>
                <w:color w:val="000000"/>
              </w:rPr>
              <w:t xml:space="preserve"> </w:t>
            </w:r>
          </w:p>
        </w:tc>
        <w:tc>
          <w:tcPr>
            <w:tcW w:w="7163" w:type="dxa"/>
            <w:gridSpan w:val="5"/>
            <w:noWrap w:val="0"/>
            <w:vAlign w:val="top"/>
          </w:tcPr>
          <w:p>
            <w:pPr>
              <w:spacing w:line="400" w:lineRule="exact"/>
              <w:ind w:left="1" w:firstLine="1"/>
              <w:rPr>
                <w:rFonts w:ascii="宋体" w:hAnsi="宋体" w:cs="宋体"/>
                <w:color w:val="000000"/>
              </w:rPr>
            </w:pPr>
            <w:r>
              <w:rPr>
                <w:rFonts w:hint="eastAsia" w:ascii="宋体" w:hAnsi="宋体" w:cs="宋体"/>
                <w:color w:val="000000"/>
              </w:rPr>
              <w:t>评标基准价的计算：</w:t>
            </w:r>
            <w:r>
              <w:rPr>
                <w:rFonts w:ascii="宋体" w:hAnsi="宋体" w:cs="宋体"/>
                <w:color w:val="000000"/>
              </w:rPr>
              <w:t xml:space="preserve"> </w:t>
            </w:r>
          </w:p>
          <w:p>
            <w:pPr>
              <w:spacing w:line="400" w:lineRule="exact"/>
              <w:ind w:left="1" w:firstLine="1"/>
              <w:rPr>
                <w:rFonts w:ascii="宋体" w:hAnsi="宋体" w:cs="宋体"/>
                <w:color w:val="000000"/>
              </w:rPr>
            </w:pPr>
            <w:r>
              <w:rPr>
                <w:rFonts w:hint="eastAsia" w:ascii="宋体" w:hAnsi="宋体" w:cs="宋体"/>
                <w:color w:val="000000"/>
              </w:rPr>
              <w:t>在开标现场，招标人将当场计算并宣布评标基准价。</w:t>
            </w:r>
            <w:r>
              <w:rPr>
                <w:rFonts w:ascii="宋体" w:hAnsi="宋体" w:cs="宋体"/>
                <w:color w:val="000000"/>
              </w:rPr>
              <w:t xml:space="preserve"> </w:t>
            </w:r>
          </w:p>
          <w:p>
            <w:pPr>
              <w:spacing w:line="400" w:lineRule="exact"/>
              <w:ind w:left="1" w:firstLine="1"/>
              <w:rPr>
                <w:rFonts w:ascii="宋体" w:hAnsi="宋体" w:cs="宋体"/>
                <w:color w:val="000000"/>
              </w:rPr>
            </w:pPr>
            <w:r>
              <w:rPr>
                <w:rFonts w:hint="eastAsia" w:ascii="宋体" w:hAnsi="宋体" w:cs="宋体"/>
                <w:color w:val="000000"/>
              </w:rPr>
              <w:t>（</w:t>
            </w:r>
            <w:r>
              <w:rPr>
                <w:rFonts w:ascii="宋体" w:hAnsi="宋体" w:cs="宋体"/>
                <w:color w:val="000000"/>
              </w:rPr>
              <w:t>1</w:t>
            </w:r>
            <w:r>
              <w:rPr>
                <w:rFonts w:hint="eastAsia" w:ascii="宋体" w:hAnsi="宋体" w:cs="宋体"/>
                <w:color w:val="000000"/>
              </w:rPr>
              <w:t>）评标价的确定：</w:t>
            </w:r>
            <w:r>
              <w:rPr>
                <w:rFonts w:ascii="宋体" w:hAnsi="宋体" w:cs="宋体"/>
                <w:color w:val="000000"/>
              </w:rPr>
              <w:t xml:space="preserve"> </w:t>
            </w:r>
          </w:p>
          <w:p>
            <w:pPr>
              <w:spacing w:line="400" w:lineRule="exact"/>
              <w:rPr>
                <w:rFonts w:ascii="宋体" w:hAnsi="宋体" w:cs="宋体"/>
                <w:color w:val="000000"/>
              </w:rPr>
            </w:pPr>
            <w:r>
              <w:rPr>
                <w:rFonts w:hint="eastAsia" w:ascii="宋体" w:hAnsi="宋体" w:cs="宋体"/>
                <w:color w:val="000000"/>
              </w:rPr>
              <w:t>评标价＝投标函文字报价</w:t>
            </w:r>
            <w:r>
              <w:rPr>
                <w:rFonts w:ascii="宋体" w:hAnsi="宋体" w:cs="宋体"/>
                <w:color w:val="000000"/>
              </w:rPr>
              <w:t xml:space="preserve"> </w:t>
            </w:r>
          </w:p>
          <w:p>
            <w:pPr>
              <w:spacing w:line="400" w:lineRule="exact"/>
              <w:ind w:left="1" w:firstLine="1"/>
              <w:rPr>
                <w:rFonts w:ascii="宋体" w:hAnsi="宋体" w:cs="宋体"/>
                <w:color w:val="000000"/>
              </w:rPr>
            </w:pPr>
            <w:r>
              <w:rPr>
                <w:rFonts w:hint="eastAsia" w:ascii="宋体" w:hAnsi="宋体" w:cs="宋体"/>
                <w:color w:val="000000"/>
              </w:rPr>
              <w:t>（</w:t>
            </w:r>
            <w:r>
              <w:rPr>
                <w:rFonts w:ascii="宋体" w:hAnsi="宋体" w:cs="宋体"/>
                <w:color w:val="000000"/>
              </w:rPr>
              <w:t>2</w:t>
            </w:r>
            <w:r>
              <w:rPr>
                <w:rFonts w:hint="eastAsia" w:ascii="宋体" w:hAnsi="宋体" w:cs="宋体"/>
                <w:color w:val="000000"/>
              </w:rPr>
              <w:t>）确定参与评标基准价计算的评标价平均值计算：</w:t>
            </w:r>
            <w:r>
              <w:rPr>
                <w:rFonts w:ascii="宋体" w:hAnsi="宋体" w:cs="宋体"/>
                <w:color w:val="000000"/>
              </w:rPr>
              <w:t xml:space="preserve"> </w:t>
            </w:r>
          </w:p>
          <w:p>
            <w:pPr>
              <w:spacing w:line="400" w:lineRule="exact"/>
              <w:rPr>
                <w:rFonts w:ascii="宋体" w:hAnsi="宋体" w:cs="宋体"/>
                <w:color w:val="000000"/>
              </w:rPr>
            </w:pPr>
            <w:r>
              <w:rPr>
                <w:rFonts w:hint="eastAsia" w:ascii="宋体" w:hAnsi="宋体" w:cs="宋体"/>
                <w:color w:val="000000"/>
              </w:rPr>
              <w:t>①参与评标基准价计算的评标价范围：最高投标限价的 85%≤参与评标基准价计算的评标价≤最高投标限价的 100%，小于最高投标限价85%的评标价不参与评标基准价的计算，但仍参与评标价的得分计算。</w:t>
            </w:r>
            <w:r>
              <w:rPr>
                <w:rFonts w:ascii="宋体" w:hAnsi="宋体" w:cs="宋体"/>
                <w:color w:val="000000"/>
              </w:rPr>
              <w:t xml:space="preserve"> </w:t>
            </w:r>
          </w:p>
          <w:p>
            <w:pPr>
              <w:spacing w:line="400" w:lineRule="exact"/>
              <w:rPr>
                <w:rFonts w:hint="eastAsia" w:ascii="宋体" w:hAnsi="宋体" w:cs="宋体"/>
                <w:color w:val="000000"/>
              </w:rPr>
            </w:pPr>
            <w:r>
              <w:rPr>
                <w:rFonts w:hint="eastAsia" w:ascii="宋体" w:hAnsi="宋体" w:cs="宋体"/>
                <w:color w:val="000000"/>
              </w:rPr>
              <w:t>②参与评标基准价计算的有效评标价的算术平均值：除按第二章“投标人须知”第 5.2.4 项规定开标现场被宣布为不进入评标基准价计算的投标报价之外，在上述确定的参与评标基准价计算的评标价中去掉一个最高值和一个最低值后的算术平均值即为参与评标基准价计算的有效评标价的算术平均值(如果参与评标价平均值计算的有效投标人少于 5家（含 5 家）时，则计算上述平均值时不去掉最高值和最低值)；</w:t>
            </w:r>
          </w:p>
          <w:p>
            <w:pPr>
              <w:spacing w:line="400" w:lineRule="exact"/>
              <w:ind w:left="1" w:firstLine="420" w:firstLineChars="200"/>
              <w:rPr>
                <w:rFonts w:hint="eastAsia" w:ascii="宋体" w:hAnsi="宋体" w:cs="宋体"/>
                <w:color w:val="000000"/>
              </w:rPr>
            </w:pPr>
            <w:r>
              <w:rPr>
                <w:rFonts w:hint="eastAsia" w:ascii="宋体" w:hAnsi="宋体" w:cs="宋体"/>
                <w:color w:val="000000"/>
              </w:rPr>
              <w:t>若投标人的评标价均小于最高投标限价的 85%时，则以最高投标限价的 85%为评标基准价 ，同时可对评标价小于最高投标限价的 85％的启动澄清程序，要求投标人作出书面说明并提供相关证明材料。投标人不能合理说明或者不能提供相关证明资料的，评标委员会认定该投标人以低于成本报价竞标，否决其投标。当所有投标人的投标因此种情况被否决；或当因此种情况被否决部分投标人后，有效投标人不足三家，评标委员会认为竞争不足的情况出现时，评标委员会可以否决全部投标。未否决全部投标的，评标委员会应当在评标报告中阐明理由并推荐中标候选人。</w:t>
            </w:r>
          </w:p>
          <w:p>
            <w:pPr>
              <w:spacing w:line="400" w:lineRule="exact"/>
              <w:ind w:left="1" w:firstLine="420" w:firstLineChars="200"/>
              <w:rPr>
                <w:rFonts w:hint="eastAsia" w:ascii="宋体" w:hAnsi="宋体" w:cs="宋体"/>
                <w:color w:val="000000"/>
              </w:rPr>
            </w:pPr>
            <w:r>
              <w:rPr>
                <w:rFonts w:hint="eastAsia" w:ascii="宋体" w:hAnsi="宋体" w:cs="宋体"/>
                <w:color w:val="000000"/>
              </w:rPr>
              <w:t>即使某投标文件第二个信封未通过形式评审与响应性评审,如其报价处于参与评标基准价计算的评标价的有效范围内，其评标价仍应参与有效评标价平均值的计算。</w:t>
            </w:r>
          </w:p>
          <w:p>
            <w:pPr>
              <w:spacing w:line="400" w:lineRule="exact"/>
              <w:rPr>
                <w:rFonts w:hint="eastAsia" w:ascii="宋体" w:hAnsi="宋体" w:cs="宋体"/>
                <w:color w:val="000000"/>
              </w:rPr>
            </w:pPr>
            <w:r>
              <w:rPr>
                <w:rFonts w:hint="eastAsia" w:ascii="宋体" w:hAnsi="宋体" w:cs="宋体"/>
                <w:color w:val="000000"/>
              </w:rPr>
              <w:t>(3)评标基准价的确定：</w:t>
            </w:r>
          </w:p>
          <w:p>
            <w:pPr>
              <w:spacing w:line="400" w:lineRule="exact"/>
              <w:ind w:left="1" w:firstLine="420" w:firstLineChars="200"/>
              <w:rPr>
                <w:rFonts w:hint="eastAsia" w:ascii="宋体" w:hAnsi="宋体" w:cs="宋体"/>
                <w:color w:val="000000"/>
              </w:rPr>
            </w:pPr>
            <w:r>
              <w:rPr>
                <w:rFonts w:hint="eastAsia" w:ascii="宋体" w:hAnsi="宋体" w:cs="宋体"/>
                <w:color w:val="000000"/>
              </w:rPr>
              <w:t>将参与评标基准价计算的有效评标价的算术平均值直接作为评标基准价。</w:t>
            </w:r>
          </w:p>
          <w:p>
            <w:pPr>
              <w:spacing w:line="400" w:lineRule="exact"/>
              <w:ind w:left="1" w:firstLine="420" w:firstLineChars="200"/>
              <w:rPr>
                <w:rFonts w:hint="eastAsia" w:ascii="宋体" w:hAnsi="宋体" w:cs="宋体"/>
                <w:color w:val="000000"/>
              </w:rPr>
            </w:pPr>
            <w:r>
              <w:rPr>
                <w:rFonts w:hint="eastAsia" w:ascii="宋体" w:hAnsi="宋体" w:cs="宋体"/>
                <w:color w:val="000000"/>
              </w:rPr>
              <w:t>在评标过程中，评标委员会应对招标人计算的评标基准价进行复核，存在计算错误的应予以修正并在评标报告中作出说明。除此之外，评标基准价在整个评标期间保持不变，不随任何因素发生变化。</w:t>
            </w:r>
          </w:p>
          <w:p>
            <w:pPr>
              <w:spacing w:line="400" w:lineRule="exact"/>
              <w:ind w:left="1" w:firstLine="420" w:firstLineChars="200"/>
              <w:rPr>
                <w:rFonts w:hint="eastAsia" w:ascii="宋体" w:hAnsi="宋体" w:cs="宋体"/>
                <w:color w:val="000000"/>
              </w:rPr>
            </w:pPr>
            <w:r>
              <w:rPr>
                <w:rFonts w:hint="eastAsia" w:ascii="宋体" w:hAnsi="宋体" w:cs="宋体"/>
                <w:color w:val="000000"/>
              </w:rPr>
              <w:t>备注：评标基准价四舍五入至个位整数。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0" w:hRule="atLeast"/>
          <w:jc w:val="center"/>
        </w:trPr>
        <w:tc>
          <w:tcPr>
            <w:tcW w:w="873" w:type="dxa"/>
            <w:gridSpan w:val="2"/>
            <w:noWrap w:val="0"/>
            <w:vAlign w:val="center"/>
          </w:tcPr>
          <w:p>
            <w:pPr>
              <w:spacing w:line="400" w:lineRule="exact"/>
              <w:ind w:left="1" w:firstLine="1"/>
              <w:jc w:val="center"/>
              <w:rPr>
                <w:rFonts w:ascii="宋体" w:hAnsi="宋体" w:cs="宋体"/>
                <w:color w:val="000000"/>
              </w:rPr>
            </w:pPr>
            <w:r>
              <w:rPr>
                <w:rFonts w:ascii="宋体" w:hAnsi="宋体" w:cs="宋体"/>
                <w:color w:val="000000"/>
              </w:rPr>
              <w:t>2.2.3</w:t>
            </w:r>
          </w:p>
        </w:tc>
        <w:tc>
          <w:tcPr>
            <w:tcW w:w="1136" w:type="dxa"/>
            <w:gridSpan w:val="2"/>
            <w:noWrap w:val="0"/>
            <w:vAlign w:val="center"/>
          </w:tcPr>
          <w:p>
            <w:pPr>
              <w:spacing w:line="400" w:lineRule="exact"/>
              <w:ind w:left="1" w:firstLine="1"/>
              <w:jc w:val="center"/>
              <w:rPr>
                <w:rFonts w:ascii="宋体" w:hAnsi="宋体" w:cs="宋体"/>
                <w:color w:val="000000"/>
              </w:rPr>
            </w:pPr>
            <w:r>
              <w:rPr>
                <w:rFonts w:hint="eastAsia" w:ascii="宋体" w:hAnsi="宋体" w:cs="宋体"/>
                <w:color w:val="000000"/>
              </w:rPr>
              <w:t>评标价的偏差率计算公式</w:t>
            </w:r>
          </w:p>
        </w:tc>
        <w:tc>
          <w:tcPr>
            <w:tcW w:w="7163" w:type="dxa"/>
            <w:gridSpan w:val="5"/>
            <w:noWrap w:val="0"/>
            <w:vAlign w:val="center"/>
          </w:tcPr>
          <w:p>
            <w:pPr>
              <w:spacing w:line="400" w:lineRule="exact"/>
              <w:ind w:left="1" w:firstLine="1"/>
              <w:rPr>
                <w:rFonts w:ascii="宋体" w:hAnsi="宋体" w:cs="宋体"/>
                <w:color w:val="000000"/>
              </w:rPr>
            </w:pPr>
            <w:r>
              <w:rPr>
                <w:rFonts w:hint="eastAsia" w:ascii="宋体" w:hAnsi="宋体" w:cs="宋体"/>
                <w:color w:val="000000"/>
              </w:rPr>
              <w:t>偏差率</w:t>
            </w:r>
            <w:r>
              <w:rPr>
                <w:rFonts w:ascii="宋体" w:hAnsi="宋体" w:cs="宋体"/>
                <w:color w:val="000000"/>
              </w:rPr>
              <w:t xml:space="preserve">=100% </w:t>
            </w:r>
            <w:r>
              <w:rPr>
                <w:rFonts w:hint="eastAsia" w:ascii="宋体" w:hAnsi="宋体" w:cs="宋体"/>
                <w:color w:val="000000"/>
              </w:rPr>
              <w:t>×（投标人评标价－评标基准价）</w:t>
            </w:r>
            <w:r>
              <w:rPr>
                <w:rFonts w:ascii="宋体" w:hAnsi="宋体" w:cs="宋体"/>
                <w:color w:val="000000"/>
              </w:rPr>
              <w:t>/</w:t>
            </w:r>
            <w:r>
              <w:rPr>
                <w:rFonts w:hint="eastAsia" w:ascii="宋体" w:hAnsi="宋体" w:cs="宋体"/>
                <w:color w:val="000000"/>
              </w:rPr>
              <w:t>评标基准价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644" w:type="dxa"/>
            <w:gridSpan w:val="7"/>
            <w:noWrap w:val="0"/>
            <w:vAlign w:val="center"/>
          </w:tcPr>
          <w:p>
            <w:pPr>
              <w:spacing w:line="400" w:lineRule="exact"/>
              <w:ind w:left="1" w:firstLine="1"/>
              <w:jc w:val="center"/>
              <w:rPr>
                <w:rFonts w:hint="eastAsia" w:ascii="宋体" w:hAnsi="宋体" w:cs="宋体"/>
                <w:b/>
                <w:bCs/>
                <w:color w:val="000000"/>
              </w:rPr>
            </w:pPr>
            <w:r>
              <w:rPr>
                <w:rFonts w:hint="eastAsia" w:ascii="宋体" w:hAnsi="宋体" w:cs="宋体"/>
                <w:b/>
                <w:bCs/>
                <w:color w:val="000000"/>
              </w:rPr>
              <w:t>评分因素与权重分值</w:t>
            </w:r>
          </w:p>
        </w:tc>
        <w:tc>
          <w:tcPr>
            <w:tcW w:w="4528" w:type="dxa"/>
            <w:gridSpan w:val="2"/>
            <w:vMerge w:val="restart"/>
            <w:noWrap w:val="0"/>
            <w:vAlign w:val="center"/>
          </w:tcPr>
          <w:p>
            <w:pPr>
              <w:spacing w:line="400" w:lineRule="exact"/>
              <w:ind w:left="1" w:firstLine="1"/>
              <w:jc w:val="center"/>
              <w:rPr>
                <w:rFonts w:hint="eastAsia" w:ascii="宋体" w:hAnsi="宋体" w:cs="宋体"/>
                <w:b/>
                <w:bCs/>
                <w:color w:val="000000"/>
              </w:rPr>
            </w:pPr>
            <w:r>
              <w:rPr>
                <w:rFonts w:hint="eastAsia" w:ascii="宋体" w:hAnsi="宋体" w:cs="宋体"/>
                <w:b/>
                <w:bCs/>
                <w:color w:val="000000"/>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675" w:type="dxa"/>
            <w:noWrap w:val="0"/>
            <w:vAlign w:val="center"/>
          </w:tcPr>
          <w:p>
            <w:pPr>
              <w:spacing w:line="400" w:lineRule="exact"/>
              <w:ind w:left="1" w:firstLine="1"/>
              <w:jc w:val="center"/>
              <w:rPr>
                <w:rFonts w:ascii="宋体" w:hAnsi="宋体" w:cs="宋体"/>
                <w:b/>
                <w:bCs/>
                <w:color w:val="000000"/>
              </w:rPr>
            </w:pPr>
            <w:r>
              <w:rPr>
                <w:rFonts w:hint="eastAsia" w:ascii="宋体" w:hAnsi="宋体" w:cs="宋体"/>
                <w:b/>
                <w:bCs/>
                <w:color w:val="000000"/>
              </w:rPr>
              <w:t>条款号</w:t>
            </w:r>
          </w:p>
        </w:tc>
        <w:tc>
          <w:tcPr>
            <w:tcW w:w="851" w:type="dxa"/>
            <w:gridSpan w:val="2"/>
            <w:noWrap w:val="0"/>
            <w:vAlign w:val="center"/>
          </w:tcPr>
          <w:p>
            <w:pPr>
              <w:spacing w:line="400" w:lineRule="exact"/>
              <w:ind w:left="1" w:firstLine="1"/>
              <w:jc w:val="center"/>
              <w:rPr>
                <w:rFonts w:hint="eastAsia" w:ascii="宋体" w:hAnsi="宋体" w:cs="宋体"/>
                <w:b/>
                <w:bCs/>
                <w:color w:val="000000"/>
              </w:rPr>
            </w:pPr>
            <w:r>
              <w:rPr>
                <w:rFonts w:hint="eastAsia" w:ascii="宋体" w:hAnsi="宋体" w:cs="宋体"/>
                <w:b/>
                <w:bCs/>
                <w:color w:val="000000"/>
              </w:rPr>
              <w:t>评分</w:t>
            </w:r>
          </w:p>
          <w:p>
            <w:pPr>
              <w:spacing w:line="400" w:lineRule="exact"/>
              <w:ind w:left="1" w:firstLine="1"/>
              <w:jc w:val="center"/>
              <w:rPr>
                <w:rFonts w:ascii="宋体" w:hAnsi="宋体" w:cs="宋体"/>
                <w:b/>
                <w:bCs/>
                <w:color w:val="000000"/>
              </w:rPr>
            </w:pPr>
            <w:r>
              <w:rPr>
                <w:rFonts w:hint="eastAsia" w:ascii="宋体" w:hAnsi="宋体" w:cs="宋体"/>
                <w:b/>
                <w:bCs/>
                <w:color w:val="000000"/>
              </w:rPr>
              <w:t>因素</w:t>
            </w:r>
          </w:p>
        </w:tc>
        <w:tc>
          <w:tcPr>
            <w:tcW w:w="1134" w:type="dxa"/>
            <w:gridSpan w:val="2"/>
            <w:noWrap w:val="0"/>
            <w:vAlign w:val="center"/>
          </w:tcPr>
          <w:p>
            <w:pPr>
              <w:spacing w:line="400" w:lineRule="exact"/>
              <w:ind w:left="1" w:firstLine="1"/>
              <w:jc w:val="center"/>
              <w:rPr>
                <w:rFonts w:ascii="宋体" w:hAnsi="宋体" w:cs="宋体"/>
                <w:b/>
                <w:bCs/>
                <w:color w:val="000000"/>
              </w:rPr>
            </w:pPr>
            <w:r>
              <w:rPr>
                <w:rFonts w:hint="eastAsia" w:ascii="宋体" w:hAnsi="宋体" w:cs="宋体"/>
                <w:b/>
                <w:bCs/>
                <w:color w:val="000000"/>
              </w:rPr>
              <w:t>评分因素权重分值</w:t>
            </w:r>
          </w:p>
        </w:tc>
        <w:tc>
          <w:tcPr>
            <w:tcW w:w="1134" w:type="dxa"/>
            <w:noWrap w:val="0"/>
            <w:vAlign w:val="center"/>
          </w:tcPr>
          <w:p>
            <w:pPr>
              <w:spacing w:line="400" w:lineRule="exact"/>
              <w:ind w:left="1" w:firstLine="1"/>
              <w:jc w:val="center"/>
              <w:rPr>
                <w:rFonts w:ascii="宋体" w:hAnsi="宋体" w:cs="宋体"/>
                <w:b/>
                <w:bCs/>
                <w:color w:val="000000"/>
              </w:rPr>
            </w:pPr>
            <w:r>
              <w:rPr>
                <w:rFonts w:hint="eastAsia" w:ascii="宋体" w:hAnsi="宋体" w:cs="宋体"/>
                <w:b/>
                <w:bCs/>
                <w:color w:val="000000"/>
              </w:rPr>
              <w:t>各评分因素细分项</w:t>
            </w:r>
          </w:p>
        </w:tc>
        <w:tc>
          <w:tcPr>
            <w:tcW w:w="850" w:type="dxa"/>
            <w:noWrap w:val="0"/>
            <w:vAlign w:val="center"/>
          </w:tcPr>
          <w:p>
            <w:pPr>
              <w:spacing w:line="400" w:lineRule="exact"/>
              <w:ind w:left="1" w:firstLine="1"/>
              <w:jc w:val="center"/>
              <w:rPr>
                <w:rFonts w:ascii="宋体" w:hAnsi="宋体" w:cs="宋体"/>
                <w:b/>
                <w:bCs/>
                <w:color w:val="000000"/>
              </w:rPr>
            </w:pPr>
            <w:r>
              <w:rPr>
                <w:rFonts w:hint="eastAsia" w:ascii="宋体" w:hAnsi="宋体" w:cs="宋体"/>
                <w:b/>
                <w:bCs/>
                <w:color w:val="000000"/>
              </w:rPr>
              <w:t>分值</w:t>
            </w:r>
          </w:p>
        </w:tc>
        <w:tc>
          <w:tcPr>
            <w:tcW w:w="4528" w:type="dxa"/>
            <w:gridSpan w:val="2"/>
            <w:vMerge w:val="continue"/>
            <w:noWrap w:val="0"/>
            <w:vAlign w:val="center"/>
          </w:tcPr>
          <w:p>
            <w:pPr>
              <w:spacing w:line="400" w:lineRule="exact"/>
              <w:ind w:left="1" w:firstLine="1"/>
              <w:jc w:val="center"/>
              <w:rPr>
                <w:rFonts w:hint="eastAsia" w:ascii="宋体" w:hAnsi="宋体" w:cs="宋体"/>
                <w:b/>
                <w:bCs/>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675" w:type="dxa"/>
            <w:vMerge w:val="restart"/>
            <w:noWrap w:val="0"/>
            <w:vAlign w:val="center"/>
          </w:tcPr>
          <w:p>
            <w:pPr>
              <w:spacing w:line="400" w:lineRule="exact"/>
              <w:ind w:left="1" w:firstLine="1"/>
              <w:jc w:val="center"/>
              <w:rPr>
                <w:rFonts w:hint="eastAsia" w:ascii="宋体" w:hAnsi="宋体" w:cs="宋体"/>
                <w:color w:val="000000"/>
              </w:rPr>
            </w:pPr>
            <w:r>
              <w:rPr>
                <w:rFonts w:ascii="宋体" w:hAnsi="宋体" w:cs="宋体"/>
                <w:color w:val="000000"/>
              </w:rPr>
              <w:t>2.2.4(1)</w:t>
            </w:r>
          </w:p>
        </w:tc>
        <w:tc>
          <w:tcPr>
            <w:tcW w:w="851" w:type="dxa"/>
            <w:gridSpan w:val="2"/>
            <w:vMerge w:val="restart"/>
            <w:noWrap w:val="0"/>
            <w:vAlign w:val="center"/>
          </w:tcPr>
          <w:p>
            <w:pPr>
              <w:spacing w:line="400" w:lineRule="exact"/>
              <w:ind w:left="1" w:firstLine="1"/>
              <w:jc w:val="center"/>
              <w:rPr>
                <w:rFonts w:ascii="宋体" w:hAnsi="宋体" w:cs="宋体"/>
                <w:color w:val="000000"/>
              </w:rPr>
            </w:pPr>
            <w:r>
              <w:rPr>
                <w:rFonts w:hint="eastAsia" w:ascii="宋体" w:hAnsi="宋体" w:cs="宋体"/>
                <w:color w:val="000000"/>
              </w:rPr>
              <w:t>技术建议书</w:t>
            </w:r>
          </w:p>
        </w:tc>
        <w:tc>
          <w:tcPr>
            <w:tcW w:w="1134" w:type="dxa"/>
            <w:gridSpan w:val="2"/>
            <w:vMerge w:val="restart"/>
            <w:noWrap w:val="0"/>
            <w:vAlign w:val="center"/>
          </w:tcPr>
          <w:p>
            <w:pPr>
              <w:spacing w:line="400" w:lineRule="exact"/>
              <w:ind w:left="1" w:firstLine="1"/>
              <w:jc w:val="center"/>
              <w:rPr>
                <w:rFonts w:hint="eastAsia" w:ascii="宋体" w:hAnsi="宋体" w:cs="宋体"/>
                <w:color w:val="000000"/>
              </w:rPr>
            </w:pPr>
            <w:r>
              <w:rPr>
                <w:rFonts w:hint="eastAsia" w:ascii="宋体" w:hAnsi="宋体" w:cs="宋体"/>
                <w:color w:val="000000"/>
              </w:rPr>
              <w:t>50分</w:t>
            </w:r>
          </w:p>
        </w:tc>
        <w:tc>
          <w:tcPr>
            <w:tcW w:w="1134" w:type="dxa"/>
            <w:noWrap w:val="0"/>
            <w:vAlign w:val="center"/>
          </w:tcPr>
          <w:p>
            <w:pPr>
              <w:spacing w:line="400" w:lineRule="exact"/>
              <w:ind w:left="1" w:firstLine="1"/>
              <w:jc w:val="center"/>
              <w:rPr>
                <w:rFonts w:ascii="宋体" w:hAnsi="宋体" w:cs="宋体"/>
                <w:color w:val="000000"/>
              </w:rPr>
            </w:pPr>
            <w:r>
              <w:rPr>
                <w:rFonts w:ascii="宋体" w:hAnsi="宋体" w:cs="宋体"/>
                <w:color w:val="000000"/>
              </w:rPr>
              <w:t>对</w:t>
            </w:r>
            <w:r>
              <w:rPr>
                <w:rFonts w:hint="eastAsia" w:ascii="宋体" w:hAnsi="宋体" w:cs="宋体"/>
                <w:color w:val="000000"/>
              </w:rPr>
              <w:t>测量</w:t>
            </w:r>
            <w:r>
              <w:rPr>
                <w:rFonts w:ascii="宋体" w:hAnsi="宋体" w:cs="宋体"/>
                <w:color w:val="000000"/>
              </w:rPr>
              <w:t>的目的、技术要求和工作量的理解</w:t>
            </w:r>
          </w:p>
        </w:tc>
        <w:tc>
          <w:tcPr>
            <w:tcW w:w="850" w:type="dxa"/>
            <w:noWrap w:val="0"/>
            <w:vAlign w:val="center"/>
          </w:tcPr>
          <w:p>
            <w:pPr>
              <w:spacing w:line="400" w:lineRule="exact"/>
              <w:ind w:left="1" w:firstLine="1"/>
              <w:jc w:val="center"/>
              <w:rPr>
                <w:rFonts w:ascii="宋体" w:hAnsi="宋体" w:cs="宋体"/>
                <w:color w:val="000000"/>
              </w:rPr>
            </w:pPr>
            <w:r>
              <w:rPr>
                <w:rFonts w:hint="eastAsia" w:ascii="宋体" w:hAnsi="宋体" w:cs="宋体"/>
                <w:color w:val="000000"/>
              </w:rPr>
              <w:t>5分</w:t>
            </w:r>
          </w:p>
        </w:tc>
        <w:tc>
          <w:tcPr>
            <w:tcW w:w="4528" w:type="dxa"/>
            <w:gridSpan w:val="2"/>
            <w:noWrap w:val="0"/>
            <w:vAlign w:val="center"/>
          </w:tcPr>
          <w:p>
            <w:pPr>
              <w:spacing w:line="400" w:lineRule="exact"/>
              <w:ind w:left="1" w:firstLine="1"/>
              <w:rPr>
                <w:rFonts w:hint="eastAsia" w:ascii="宋体" w:hAnsi="宋体" w:cs="宋体"/>
                <w:color w:val="000000"/>
              </w:rPr>
            </w:pPr>
            <w:r>
              <w:rPr>
                <w:rFonts w:hint="eastAsia" w:ascii="宋体" w:hAnsi="宋体" w:cs="宋体"/>
                <w:color w:val="000000"/>
              </w:rPr>
              <w:t>根据对测量工作的目的、技术要求和工作量描述准确程度，得满分分值的60%-100%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675" w:type="dxa"/>
            <w:vMerge w:val="continue"/>
            <w:noWrap w:val="0"/>
            <w:vAlign w:val="center"/>
          </w:tcPr>
          <w:p>
            <w:pPr>
              <w:spacing w:line="400" w:lineRule="exact"/>
              <w:ind w:left="1" w:firstLine="1"/>
              <w:jc w:val="center"/>
              <w:rPr>
                <w:rFonts w:ascii="宋体" w:hAnsi="宋体" w:cs="宋体"/>
                <w:color w:val="000000"/>
              </w:rPr>
            </w:pPr>
          </w:p>
        </w:tc>
        <w:tc>
          <w:tcPr>
            <w:tcW w:w="851" w:type="dxa"/>
            <w:gridSpan w:val="2"/>
            <w:vMerge w:val="continue"/>
            <w:noWrap w:val="0"/>
            <w:vAlign w:val="center"/>
          </w:tcPr>
          <w:p>
            <w:pPr>
              <w:spacing w:line="400" w:lineRule="exact"/>
              <w:ind w:left="1" w:firstLine="1"/>
              <w:jc w:val="center"/>
              <w:rPr>
                <w:rFonts w:hint="eastAsia" w:ascii="宋体" w:hAnsi="宋体" w:cs="宋体"/>
                <w:color w:val="000000"/>
              </w:rPr>
            </w:pPr>
          </w:p>
        </w:tc>
        <w:tc>
          <w:tcPr>
            <w:tcW w:w="1134" w:type="dxa"/>
            <w:gridSpan w:val="2"/>
            <w:vMerge w:val="continue"/>
            <w:noWrap w:val="0"/>
            <w:vAlign w:val="center"/>
          </w:tcPr>
          <w:p>
            <w:pPr>
              <w:spacing w:line="400" w:lineRule="exact"/>
              <w:ind w:left="1" w:firstLine="1"/>
              <w:jc w:val="center"/>
              <w:rPr>
                <w:rFonts w:ascii="宋体" w:hAnsi="宋体" w:cs="宋体"/>
                <w:color w:val="000000"/>
              </w:rPr>
            </w:pPr>
          </w:p>
        </w:tc>
        <w:tc>
          <w:tcPr>
            <w:tcW w:w="1134" w:type="dxa"/>
            <w:noWrap w:val="0"/>
            <w:vAlign w:val="center"/>
          </w:tcPr>
          <w:p>
            <w:pPr>
              <w:spacing w:line="400" w:lineRule="exact"/>
              <w:ind w:left="1" w:firstLine="1"/>
              <w:jc w:val="center"/>
              <w:rPr>
                <w:rFonts w:hint="eastAsia" w:ascii="宋体" w:hAnsi="宋体" w:cs="宋体"/>
                <w:color w:val="000000"/>
              </w:rPr>
            </w:pPr>
            <w:r>
              <w:rPr>
                <w:rFonts w:hint="eastAsia" w:ascii="宋体" w:hAnsi="宋体" w:cs="宋体"/>
                <w:color w:val="000000"/>
              </w:rPr>
              <w:t>总体测量思路和组织管理</w:t>
            </w:r>
          </w:p>
        </w:tc>
        <w:tc>
          <w:tcPr>
            <w:tcW w:w="850" w:type="dxa"/>
            <w:noWrap w:val="0"/>
            <w:vAlign w:val="center"/>
          </w:tcPr>
          <w:p>
            <w:pPr>
              <w:spacing w:line="400" w:lineRule="exact"/>
              <w:ind w:left="1" w:firstLine="1"/>
              <w:jc w:val="center"/>
              <w:rPr>
                <w:rFonts w:ascii="宋体" w:hAnsi="宋体" w:cs="宋体"/>
                <w:color w:val="000000"/>
              </w:rPr>
            </w:pPr>
            <w:r>
              <w:rPr>
                <w:rFonts w:hint="eastAsia" w:ascii="宋体" w:hAnsi="宋体" w:cs="宋体"/>
                <w:color w:val="000000"/>
              </w:rPr>
              <w:t>5分</w:t>
            </w:r>
          </w:p>
        </w:tc>
        <w:tc>
          <w:tcPr>
            <w:tcW w:w="4528" w:type="dxa"/>
            <w:gridSpan w:val="2"/>
            <w:noWrap w:val="0"/>
            <w:vAlign w:val="center"/>
          </w:tcPr>
          <w:p>
            <w:pPr>
              <w:spacing w:line="400" w:lineRule="exact"/>
              <w:rPr>
                <w:rFonts w:hint="eastAsia" w:ascii="宋体" w:hAnsi="宋体" w:cs="宋体"/>
                <w:color w:val="000000"/>
              </w:rPr>
            </w:pPr>
            <w:r>
              <w:rPr>
                <w:rFonts w:hint="eastAsia" w:ascii="宋体" w:hAnsi="宋体" w:cs="宋体"/>
                <w:color w:val="000000"/>
              </w:rPr>
              <w:t>根据对总体测量思路和组织管理清晰、切实可行程度，得满分分值的60%-100%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675" w:type="dxa"/>
            <w:vMerge w:val="continue"/>
            <w:noWrap w:val="0"/>
            <w:vAlign w:val="center"/>
          </w:tcPr>
          <w:p>
            <w:pPr>
              <w:spacing w:line="400" w:lineRule="exact"/>
              <w:ind w:left="1" w:firstLine="1"/>
              <w:jc w:val="center"/>
              <w:rPr>
                <w:rFonts w:ascii="宋体" w:hAnsi="宋体" w:cs="宋体"/>
                <w:color w:val="000000"/>
              </w:rPr>
            </w:pPr>
          </w:p>
        </w:tc>
        <w:tc>
          <w:tcPr>
            <w:tcW w:w="851" w:type="dxa"/>
            <w:gridSpan w:val="2"/>
            <w:vMerge w:val="continue"/>
            <w:noWrap w:val="0"/>
            <w:vAlign w:val="center"/>
          </w:tcPr>
          <w:p>
            <w:pPr>
              <w:spacing w:line="400" w:lineRule="exact"/>
              <w:ind w:left="1" w:firstLine="1"/>
              <w:jc w:val="center"/>
              <w:rPr>
                <w:rFonts w:hint="eastAsia" w:ascii="宋体" w:hAnsi="宋体" w:cs="宋体"/>
                <w:color w:val="000000"/>
              </w:rPr>
            </w:pPr>
          </w:p>
        </w:tc>
        <w:tc>
          <w:tcPr>
            <w:tcW w:w="1134" w:type="dxa"/>
            <w:gridSpan w:val="2"/>
            <w:vMerge w:val="continue"/>
            <w:noWrap w:val="0"/>
            <w:vAlign w:val="center"/>
          </w:tcPr>
          <w:p>
            <w:pPr>
              <w:spacing w:line="400" w:lineRule="exact"/>
              <w:ind w:left="1" w:firstLine="1"/>
              <w:jc w:val="center"/>
              <w:rPr>
                <w:rFonts w:ascii="宋体" w:hAnsi="宋体" w:cs="宋体"/>
                <w:color w:val="000000"/>
              </w:rPr>
            </w:pPr>
          </w:p>
        </w:tc>
        <w:tc>
          <w:tcPr>
            <w:tcW w:w="1134" w:type="dxa"/>
            <w:noWrap w:val="0"/>
            <w:vAlign w:val="center"/>
          </w:tcPr>
          <w:p>
            <w:pPr>
              <w:spacing w:line="400" w:lineRule="exact"/>
              <w:ind w:left="1" w:firstLine="1"/>
              <w:jc w:val="center"/>
              <w:rPr>
                <w:rFonts w:hint="eastAsia" w:ascii="宋体" w:hAnsi="宋体" w:cs="宋体"/>
                <w:color w:val="000000"/>
              </w:rPr>
            </w:pPr>
            <w:r>
              <w:rPr>
                <w:rFonts w:hint="eastAsia" w:ascii="宋体" w:hAnsi="宋体" w:cs="宋体"/>
                <w:color w:val="000000"/>
              </w:rPr>
              <w:t>关键技术问题和难点及其解决方法</w:t>
            </w:r>
          </w:p>
        </w:tc>
        <w:tc>
          <w:tcPr>
            <w:tcW w:w="850" w:type="dxa"/>
            <w:noWrap w:val="0"/>
            <w:vAlign w:val="center"/>
          </w:tcPr>
          <w:p>
            <w:pPr>
              <w:spacing w:line="400" w:lineRule="exact"/>
              <w:ind w:left="1" w:firstLine="1"/>
              <w:jc w:val="center"/>
              <w:rPr>
                <w:rFonts w:ascii="宋体" w:hAnsi="宋体" w:cs="宋体"/>
                <w:color w:val="000000"/>
              </w:rPr>
            </w:pPr>
            <w:r>
              <w:rPr>
                <w:rFonts w:hint="eastAsia" w:ascii="宋体" w:hAnsi="宋体" w:cs="宋体"/>
                <w:color w:val="000000"/>
              </w:rPr>
              <w:t>8分</w:t>
            </w:r>
          </w:p>
        </w:tc>
        <w:tc>
          <w:tcPr>
            <w:tcW w:w="4528" w:type="dxa"/>
            <w:gridSpan w:val="2"/>
            <w:noWrap w:val="0"/>
            <w:vAlign w:val="center"/>
          </w:tcPr>
          <w:p>
            <w:pPr>
              <w:spacing w:line="400" w:lineRule="exact"/>
              <w:rPr>
                <w:rFonts w:hint="eastAsia" w:ascii="宋体" w:hAnsi="宋体" w:cs="宋体"/>
                <w:color w:val="000000"/>
              </w:rPr>
            </w:pPr>
            <w:r>
              <w:rPr>
                <w:rFonts w:hint="eastAsia" w:ascii="宋体" w:hAnsi="宋体" w:cs="宋体"/>
                <w:color w:val="000000"/>
              </w:rPr>
              <w:t>根据对项目关键技术问题和难点的把握程度和应着重解决的技术问题所提出处理措施的可行性程度得满分分值的 60%-100%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675" w:type="dxa"/>
            <w:vMerge w:val="continue"/>
            <w:noWrap w:val="0"/>
            <w:vAlign w:val="center"/>
          </w:tcPr>
          <w:p>
            <w:pPr>
              <w:spacing w:line="400" w:lineRule="exact"/>
              <w:ind w:left="1" w:firstLine="1"/>
              <w:jc w:val="center"/>
              <w:rPr>
                <w:rFonts w:ascii="宋体" w:hAnsi="宋体" w:cs="宋体"/>
                <w:color w:val="000000"/>
              </w:rPr>
            </w:pPr>
          </w:p>
        </w:tc>
        <w:tc>
          <w:tcPr>
            <w:tcW w:w="851" w:type="dxa"/>
            <w:gridSpan w:val="2"/>
            <w:vMerge w:val="continue"/>
            <w:noWrap w:val="0"/>
            <w:vAlign w:val="center"/>
          </w:tcPr>
          <w:p>
            <w:pPr>
              <w:spacing w:line="400" w:lineRule="exact"/>
              <w:ind w:left="1" w:firstLine="1"/>
              <w:jc w:val="center"/>
              <w:rPr>
                <w:rFonts w:hint="eastAsia" w:ascii="宋体" w:hAnsi="宋体" w:cs="宋体"/>
                <w:color w:val="000000"/>
              </w:rPr>
            </w:pPr>
          </w:p>
        </w:tc>
        <w:tc>
          <w:tcPr>
            <w:tcW w:w="1134" w:type="dxa"/>
            <w:gridSpan w:val="2"/>
            <w:vMerge w:val="continue"/>
            <w:noWrap w:val="0"/>
            <w:vAlign w:val="center"/>
          </w:tcPr>
          <w:p>
            <w:pPr>
              <w:spacing w:line="400" w:lineRule="exact"/>
              <w:ind w:left="1" w:firstLine="1"/>
              <w:jc w:val="center"/>
              <w:rPr>
                <w:rFonts w:ascii="宋体" w:hAnsi="宋体" w:cs="宋体"/>
                <w:color w:val="000000"/>
              </w:rPr>
            </w:pPr>
          </w:p>
        </w:tc>
        <w:tc>
          <w:tcPr>
            <w:tcW w:w="1134" w:type="dxa"/>
            <w:noWrap w:val="0"/>
            <w:vAlign w:val="center"/>
          </w:tcPr>
          <w:p>
            <w:pPr>
              <w:spacing w:line="400" w:lineRule="exact"/>
              <w:ind w:left="1" w:firstLine="1"/>
              <w:jc w:val="center"/>
              <w:rPr>
                <w:rFonts w:hint="eastAsia" w:ascii="宋体" w:hAnsi="宋体" w:cs="宋体"/>
                <w:color w:val="000000"/>
              </w:rPr>
            </w:pPr>
            <w:r>
              <w:rPr>
                <w:rFonts w:hint="eastAsia" w:ascii="宋体" w:hAnsi="宋体" w:cs="宋体"/>
                <w:color w:val="000000"/>
              </w:rPr>
              <w:t>质量管理措施</w:t>
            </w:r>
          </w:p>
        </w:tc>
        <w:tc>
          <w:tcPr>
            <w:tcW w:w="850" w:type="dxa"/>
            <w:noWrap w:val="0"/>
            <w:vAlign w:val="center"/>
          </w:tcPr>
          <w:p>
            <w:pPr>
              <w:spacing w:line="400" w:lineRule="exact"/>
              <w:ind w:left="1" w:firstLine="1"/>
              <w:jc w:val="center"/>
              <w:rPr>
                <w:rFonts w:ascii="宋体" w:hAnsi="宋体" w:cs="宋体"/>
                <w:color w:val="000000"/>
              </w:rPr>
            </w:pPr>
            <w:r>
              <w:rPr>
                <w:rFonts w:hint="eastAsia" w:ascii="宋体" w:hAnsi="宋体" w:cs="宋体"/>
                <w:color w:val="000000"/>
              </w:rPr>
              <w:t>8分</w:t>
            </w:r>
          </w:p>
        </w:tc>
        <w:tc>
          <w:tcPr>
            <w:tcW w:w="4528" w:type="dxa"/>
            <w:gridSpan w:val="2"/>
            <w:noWrap w:val="0"/>
            <w:vAlign w:val="center"/>
          </w:tcPr>
          <w:p>
            <w:pPr>
              <w:spacing w:line="400" w:lineRule="exact"/>
              <w:rPr>
                <w:rFonts w:hint="eastAsia" w:ascii="宋体" w:hAnsi="宋体" w:cs="宋体"/>
                <w:color w:val="000000"/>
              </w:rPr>
            </w:pPr>
            <w:r>
              <w:rPr>
                <w:rFonts w:hint="eastAsia" w:ascii="宋体" w:hAnsi="宋体" w:cs="宋体"/>
                <w:color w:val="000000"/>
              </w:rPr>
              <w:t>根据质量管理措施的可实施性，得满分分值的 60%-100%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675" w:type="dxa"/>
            <w:vMerge w:val="continue"/>
            <w:noWrap w:val="0"/>
            <w:vAlign w:val="center"/>
          </w:tcPr>
          <w:p>
            <w:pPr>
              <w:spacing w:line="400" w:lineRule="exact"/>
              <w:ind w:left="1" w:firstLine="1"/>
              <w:jc w:val="center"/>
              <w:rPr>
                <w:rFonts w:ascii="宋体" w:hAnsi="宋体" w:cs="宋体"/>
                <w:color w:val="000000"/>
              </w:rPr>
            </w:pPr>
          </w:p>
        </w:tc>
        <w:tc>
          <w:tcPr>
            <w:tcW w:w="851" w:type="dxa"/>
            <w:gridSpan w:val="2"/>
            <w:vMerge w:val="continue"/>
            <w:noWrap w:val="0"/>
            <w:vAlign w:val="center"/>
          </w:tcPr>
          <w:p>
            <w:pPr>
              <w:spacing w:line="400" w:lineRule="exact"/>
              <w:ind w:left="1" w:firstLine="1"/>
              <w:jc w:val="center"/>
              <w:rPr>
                <w:rFonts w:hint="eastAsia" w:ascii="宋体" w:hAnsi="宋体" w:cs="宋体"/>
                <w:color w:val="000000"/>
              </w:rPr>
            </w:pPr>
          </w:p>
        </w:tc>
        <w:tc>
          <w:tcPr>
            <w:tcW w:w="1134" w:type="dxa"/>
            <w:gridSpan w:val="2"/>
            <w:vMerge w:val="continue"/>
            <w:noWrap w:val="0"/>
            <w:vAlign w:val="center"/>
          </w:tcPr>
          <w:p>
            <w:pPr>
              <w:spacing w:line="400" w:lineRule="exact"/>
              <w:ind w:left="1" w:firstLine="1"/>
              <w:jc w:val="center"/>
              <w:rPr>
                <w:rFonts w:ascii="宋体" w:hAnsi="宋体" w:cs="宋体"/>
                <w:color w:val="000000"/>
              </w:rPr>
            </w:pPr>
          </w:p>
        </w:tc>
        <w:tc>
          <w:tcPr>
            <w:tcW w:w="1134" w:type="dxa"/>
            <w:noWrap w:val="0"/>
            <w:vAlign w:val="center"/>
          </w:tcPr>
          <w:p>
            <w:pPr>
              <w:spacing w:line="400" w:lineRule="exact"/>
              <w:ind w:left="1" w:firstLine="1"/>
              <w:jc w:val="center"/>
              <w:rPr>
                <w:rFonts w:hint="eastAsia" w:ascii="宋体" w:hAnsi="宋体" w:cs="宋体"/>
                <w:color w:val="000000"/>
              </w:rPr>
            </w:pPr>
            <w:r>
              <w:rPr>
                <w:rFonts w:hint="eastAsia" w:ascii="宋体" w:hAnsi="宋体" w:cs="宋体"/>
                <w:color w:val="000000"/>
              </w:rPr>
              <w:t>安全、环保与健康管理措施</w:t>
            </w:r>
          </w:p>
        </w:tc>
        <w:tc>
          <w:tcPr>
            <w:tcW w:w="850" w:type="dxa"/>
            <w:noWrap w:val="0"/>
            <w:vAlign w:val="center"/>
          </w:tcPr>
          <w:p>
            <w:pPr>
              <w:spacing w:line="400" w:lineRule="exact"/>
              <w:ind w:left="1" w:firstLine="1"/>
              <w:jc w:val="center"/>
              <w:rPr>
                <w:rFonts w:ascii="宋体" w:hAnsi="宋体" w:cs="宋体"/>
                <w:color w:val="000000"/>
              </w:rPr>
            </w:pPr>
            <w:r>
              <w:rPr>
                <w:rFonts w:hint="eastAsia" w:ascii="宋体" w:hAnsi="宋体" w:cs="宋体"/>
                <w:color w:val="000000"/>
              </w:rPr>
              <w:t>8分</w:t>
            </w:r>
          </w:p>
        </w:tc>
        <w:tc>
          <w:tcPr>
            <w:tcW w:w="4528" w:type="dxa"/>
            <w:gridSpan w:val="2"/>
            <w:noWrap w:val="0"/>
            <w:vAlign w:val="center"/>
          </w:tcPr>
          <w:p>
            <w:pPr>
              <w:spacing w:line="400" w:lineRule="exact"/>
              <w:rPr>
                <w:rFonts w:hint="eastAsia" w:ascii="宋体" w:hAnsi="宋体" w:cs="宋体"/>
                <w:color w:val="000000"/>
              </w:rPr>
            </w:pPr>
            <w:r>
              <w:rPr>
                <w:rFonts w:hint="eastAsia" w:ascii="宋体" w:hAnsi="宋体" w:cs="宋体"/>
                <w:color w:val="000000"/>
              </w:rPr>
              <w:t>根据安全、环保与健康管理措施的可实施性，得满分分值的 60%-100%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675" w:type="dxa"/>
            <w:vMerge w:val="continue"/>
            <w:noWrap w:val="0"/>
            <w:vAlign w:val="center"/>
          </w:tcPr>
          <w:p>
            <w:pPr>
              <w:spacing w:line="400" w:lineRule="exact"/>
              <w:ind w:left="1" w:firstLine="1"/>
              <w:jc w:val="center"/>
              <w:rPr>
                <w:rFonts w:ascii="宋体" w:hAnsi="宋体" w:cs="宋体"/>
                <w:color w:val="000000"/>
              </w:rPr>
            </w:pPr>
          </w:p>
        </w:tc>
        <w:tc>
          <w:tcPr>
            <w:tcW w:w="851" w:type="dxa"/>
            <w:gridSpan w:val="2"/>
            <w:vMerge w:val="continue"/>
            <w:noWrap w:val="0"/>
            <w:vAlign w:val="center"/>
          </w:tcPr>
          <w:p>
            <w:pPr>
              <w:spacing w:line="400" w:lineRule="exact"/>
              <w:ind w:left="1" w:firstLine="1"/>
              <w:jc w:val="center"/>
              <w:rPr>
                <w:rFonts w:hint="eastAsia" w:ascii="宋体" w:hAnsi="宋体" w:cs="宋体"/>
                <w:color w:val="000000"/>
              </w:rPr>
            </w:pPr>
          </w:p>
        </w:tc>
        <w:tc>
          <w:tcPr>
            <w:tcW w:w="1134" w:type="dxa"/>
            <w:gridSpan w:val="2"/>
            <w:vMerge w:val="continue"/>
            <w:noWrap w:val="0"/>
            <w:vAlign w:val="center"/>
          </w:tcPr>
          <w:p>
            <w:pPr>
              <w:spacing w:line="400" w:lineRule="exact"/>
              <w:ind w:left="1" w:firstLine="1"/>
              <w:jc w:val="center"/>
              <w:rPr>
                <w:rFonts w:ascii="宋体" w:hAnsi="宋体" w:cs="宋体"/>
                <w:color w:val="000000"/>
              </w:rPr>
            </w:pPr>
          </w:p>
        </w:tc>
        <w:tc>
          <w:tcPr>
            <w:tcW w:w="1134" w:type="dxa"/>
            <w:noWrap w:val="0"/>
            <w:vAlign w:val="center"/>
          </w:tcPr>
          <w:p>
            <w:pPr>
              <w:spacing w:line="400" w:lineRule="exact"/>
              <w:ind w:left="1" w:firstLine="1"/>
              <w:jc w:val="center"/>
              <w:rPr>
                <w:rFonts w:ascii="宋体" w:hAnsi="宋体" w:cs="宋体"/>
                <w:color w:val="000000"/>
              </w:rPr>
            </w:pPr>
            <w:r>
              <w:rPr>
                <w:rFonts w:hint="eastAsia" w:ascii="宋体" w:hAnsi="宋体" w:cs="宋体"/>
                <w:color w:val="000000"/>
              </w:rPr>
              <w:t>工期与进度计划</w:t>
            </w:r>
          </w:p>
        </w:tc>
        <w:tc>
          <w:tcPr>
            <w:tcW w:w="850" w:type="dxa"/>
            <w:noWrap w:val="0"/>
            <w:vAlign w:val="center"/>
          </w:tcPr>
          <w:p>
            <w:pPr>
              <w:spacing w:line="400" w:lineRule="exact"/>
              <w:ind w:left="1" w:firstLine="1"/>
              <w:jc w:val="center"/>
              <w:rPr>
                <w:rFonts w:ascii="宋体" w:hAnsi="宋体" w:cs="宋体"/>
                <w:color w:val="000000"/>
              </w:rPr>
            </w:pPr>
            <w:r>
              <w:rPr>
                <w:rFonts w:hint="eastAsia" w:ascii="宋体" w:hAnsi="宋体" w:cs="宋体"/>
                <w:color w:val="000000"/>
              </w:rPr>
              <w:t>8分</w:t>
            </w:r>
          </w:p>
        </w:tc>
        <w:tc>
          <w:tcPr>
            <w:tcW w:w="4528" w:type="dxa"/>
            <w:gridSpan w:val="2"/>
            <w:noWrap w:val="0"/>
            <w:vAlign w:val="center"/>
          </w:tcPr>
          <w:p>
            <w:pPr>
              <w:spacing w:line="400" w:lineRule="exact"/>
              <w:rPr>
                <w:rFonts w:hint="eastAsia" w:ascii="宋体" w:hAnsi="宋体" w:cs="宋体"/>
                <w:color w:val="000000"/>
              </w:rPr>
            </w:pPr>
            <w:r>
              <w:rPr>
                <w:rFonts w:hint="eastAsia" w:ascii="宋体" w:hAnsi="宋体" w:cs="宋体"/>
                <w:color w:val="000000"/>
              </w:rPr>
              <w:t>根据工作计划实施、安排的合理程度，得满分分值的 60%-100%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675" w:type="dxa"/>
            <w:vMerge w:val="continue"/>
            <w:noWrap w:val="0"/>
            <w:vAlign w:val="center"/>
          </w:tcPr>
          <w:p>
            <w:pPr>
              <w:spacing w:line="400" w:lineRule="exact"/>
              <w:ind w:left="1" w:firstLine="1"/>
              <w:jc w:val="center"/>
              <w:rPr>
                <w:rFonts w:hint="eastAsia" w:ascii="宋体" w:hAnsi="宋体" w:cs="宋体"/>
                <w:color w:val="000000"/>
              </w:rPr>
            </w:pPr>
          </w:p>
        </w:tc>
        <w:tc>
          <w:tcPr>
            <w:tcW w:w="851" w:type="dxa"/>
            <w:gridSpan w:val="2"/>
            <w:vMerge w:val="continue"/>
            <w:noWrap w:val="0"/>
            <w:vAlign w:val="center"/>
          </w:tcPr>
          <w:p>
            <w:pPr>
              <w:spacing w:line="400" w:lineRule="exact"/>
              <w:ind w:left="1" w:firstLine="1"/>
              <w:jc w:val="center"/>
              <w:rPr>
                <w:rFonts w:hint="eastAsia" w:ascii="宋体" w:hAnsi="宋体" w:cs="宋体"/>
                <w:color w:val="000000"/>
              </w:rPr>
            </w:pPr>
          </w:p>
        </w:tc>
        <w:tc>
          <w:tcPr>
            <w:tcW w:w="1134" w:type="dxa"/>
            <w:gridSpan w:val="2"/>
            <w:vMerge w:val="continue"/>
            <w:noWrap w:val="0"/>
            <w:vAlign w:val="center"/>
          </w:tcPr>
          <w:p>
            <w:pPr>
              <w:spacing w:line="400" w:lineRule="exact"/>
              <w:ind w:left="1" w:firstLine="1"/>
              <w:jc w:val="center"/>
              <w:rPr>
                <w:rFonts w:hint="eastAsia" w:ascii="宋体" w:hAnsi="宋体" w:cs="宋体"/>
                <w:color w:val="000000"/>
              </w:rPr>
            </w:pPr>
          </w:p>
        </w:tc>
        <w:tc>
          <w:tcPr>
            <w:tcW w:w="1134" w:type="dxa"/>
            <w:noWrap w:val="0"/>
            <w:vAlign w:val="center"/>
          </w:tcPr>
          <w:p>
            <w:pPr>
              <w:spacing w:line="400" w:lineRule="exact"/>
              <w:ind w:left="1" w:firstLine="1"/>
              <w:jc w:val="center"/>
              <w:rPr>
                <w:rFonts w:hint="eastAsia" w:ascii="宋体" w:hAnsi="宋体" w:cs="宋体"/>
                <w:color w:val="000000"/>
              </w:rPr>
            </w:pPr>
            <w:r>
              <w:rPr>
                <w:rFonts w:hint="eastAsia" w:hAnsi="宋体" w:cs="宋体"/>
                <w:color w:val="000000"/>
              </w:rPr>
              <w:t>后续服务计划及保证措施</w:t>
            </w:r>
          </w:p>
        </w:tc>
        <w:tc>
          <w:tcPr>
            <w:tcW w:w="850" w:type="dxa"/>
            <w:noWrap w:val="0"/>
            <w:vAlign w:val="center"/>
          </w:tcPr>
          <w:p>
            <w:pPr>
              <w:spacing w:line="400" w:lineRule="exact"/>
              <w:ind w:left="1" w:firstLine="1"/>
              <w:jc w:val="center"/>
              <w:rPr>
                <w:rFonts w:ascii="宋体" w:hAnsi="宋体" w:cs="宋体"/>
                <w:color w:val="000000"/>
              </w:rPr>
            </w:pPr>
            <w:r>
              <w:rPr>
                <w:rFonts w:hint="eastAsia" w:ascii="宋体" w:hAnsi="宋体" w:cs="宋体"/>
                <w:color w:val="000000"/>
              </w:rPr>
              <w:t>8分</w:t>
            </w:r>
          </w:p>
        </w:tc>
        <w:tc>
          <w:tcPr>
            <w:tcW w:w="4528" w:type="dxa"/>
            <w:gridSpan w:val="2"/>
            <w:noWrap w:val="0"/>
            <w:vAlign w:val="center"/>
          </w:tcPr>
          <w:p>
            <w:pPr>
              <w:pStyle w:val="28"/>
              <w:spacing w:line="400" w:lineRule="exact"/>
              <w:ind w:left="1" w:firstLine="1"/>
              <w:rPr>
                <w:rFonts w:hint="eastAsia" w:hAnsi="宋体" w:eastAsia="宋体" w:cs="宋体"/>
                <w:color w:val="000000"/>
                <w:kern w:val="2"/>
                <w:sz w:val="21"/>
                <w:szCs w:val="21"/>
              </w:rPr>
            </w:pPr>
            <w:r>
              <w:rPr>
                <w:rFonts w:hint="eastAsia" w:hAnsi="宋体" w:eastAsia="宋体" w:cs="宋体"/>
                <w:color w:val="000000"/>
                <w:kern w:val="2"/>
                <w:sz w:val="21"/>
                <w:szCs w:val="21"/>
              </w:rPr>
              <w:t>根据承诺的后续服务机构人员的完善程度，得满分分值的 60%-100%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5" w:hRule="atLeast"/>
          <w:jc w:val="center"/>
        </w:trPr>
        <w:tc>
          <w:tcPr>
            <w:tcW w:w="675" w:type="dxa"/>
            <w:vMerge w:val="restart"/>
            <w:noWrap w:val="0"/>
            <w:vAlign w:val="center"/>
          </w:tcPr>
          <w:p>
            <w:pPr>
              <w:spacing w:line="400" w:lineRule="exact"/>
              <w:ind w:left="1" w:firstLine="1"/>
              <w:jc w:val="center"/>
              <w:rPr>
                <w:rFonts w:hint="eastAsia" w:ascii="宋体" w:hAnsi="宋体" w:cs="宋体"/>
                <w:color w:val="000000"/>
              </w:rPr>
            </w:pPr>
            <w:r>
              <w:rPr>
                <w:rFonts w:ascii="宋体" w:hAnsi="宋体" w:cs="宋体"/>
                <w:color w:val="000000"/>
              </w:rPr>
              <w:t>2.2.4(2)</w:t>
            </w:r>
          </w:p>
        </w:tc>
        <w:tc>
          <w:tcPr>
            <w:tcW w:w="851" w:type="dxa"/>
            <w:gridSpan w:val="2"/>
            <w:vMerge w:val="restart"/>
            <w:noWrap w:val="0"/>
            <w:vAlign w:val="center"/>
          </w:tcPr>
          <w:p>
            <w:pPr>
              <w:spacing w:line="400" w:lineRule="exact"/>
              <w:ind w:left="1" w:firstLine="1"/>
              <w:jc w:val="center"/>
              <w:rPr>
                <w:rFonts w:hint="eastAsia" w:ascii="宋体" w:hAnsi="宋体" w:cs="宋体"/>
                <w:color w:val="000000"/>
              </w:rPr>
            </w:pPr>
            <w:r>
              <w:rPr>
                <w:rFonts w:hint="eastAsia" w:ascii="宋体" w:hAnsi="宋体" w:cs="宋体"/>
                <w:color w:val="000000"/>
              </w:rPr>
              <w:t>主要</w:t>
            </w:r>
          </w:p>
          <w:p>
            <w:pPr>
              <w:spacing w:line="400" w:lineRule="exact"/>
              <w:ind w:left="1" w:firstLine="1"/>
              <w:jc w:val="center"/>
              <w:rPr>
                <w:rFonts w:hint="eastAsia" w:ascii="宋体" w:hAnsi="宋体" w:cs="宋体"/>
                <w:color w:val="000000"/>
              </w:rPr>
            </w:pPr>
            <w:r>
              <w:rPr>
                <w:rFonts w:hint="eastAsia" w:ascii="宋体" w:hAnsi="宋体" w:cs="宋体"/>
                <w:color w:val="000000"/>
              </w:rPr>
              <w:t>人员</w:t>
            </w:r>
          </w:p>
        </w:tc>
        <w:tc>
          <w:tcPr>
            <w:tcW w:w="1134" w:type="dxa"/>
            <w:gridSpan w:val="2"/>
            <w:vMerge w:val="restart"/>
            <w:noWrap w:val="0"/>
            <w:vAlign w:val="center"/>
          </w:tcPr>
          <w:p>
            <w:pPr>
              <w:spacing w:line="400" w:lineRule="exact"/>
              <w:ind w:left="1" w:firstLine="1"/>
              <w:jc w:val="center"/>
              <w:rPr>
                <w:rFonts w:hint="eastAsia" w:ascii="宋体" w:hAnsi="宋体" w:cs="宋体"/>
                <w:color w:val="000000"/>
              </w:rPr>
            </w:pPr>
            <w:r>
              <w:rPr>
                <w:rFonts w:hint="eastAsia" w:ascii="宋体" w:hAnsi="宋体" w:cs="宋体"/>
                <w:color w:val="000000"/>
              </w:rPr>
              <w:t>10分</w:t>
            </w:r>
          </w:p>
        </w:tc>
        <w:tc>
          <w:tcPr>
            <w:tcW w:w="1134" w:type="dxa"/>
            <w:noWrap w:val="0"/>
            <w:vAlign w:val="center"/>
          </w:tcPr>
          <w:p>
            <w:pPr>
              <w:spacing w:line="400" w:lineRule="exact"/>
              <w:ind w:left="1" w:firstLine="1"/>
              <w:jc w:val="center"/>
              <w:rPr>
                <w:rFonts w:ascii="宋体" w:hAnsi="宋体" w:cs="宋体"/>
                <w:color w:val="000000"/>
              </w:rPr>
            </w:pPr>
            <w:r>
              <w:rPr>
                <w:rFonts w:hint="eastAsia" w:ascii="宋体" w:hAnsi="宋体" w:cs="宋体"/>
                <w:color w:val="000000"/>
              </w:rPr>
              <w:t>项目负责人</w:t>
            </w:r>
          </w:p>
        </w:tc>
        <w:tc>
          <w:tcPr>
            <w:tcW w:w="850" w:type="dxa"/>
            <w:noWrap w:val="0"/>
            <w:vAlign w:val="center"/>
          </w:tcPr>
          <w:p>
            <w:pPr>
              <w:spacing w:line="400" w:lineRule="exact"/>
              <w:ind w:left="1" w:firstLine="1"/>
              <w:jc w:val="center"/>
              <w:rPr>
                <w:rFonts w:hint="eastAsia" w:ascii="宋体" w:hAnsi="宋体" w:cs="宋体"/>
                <w:color w:val="000000"/>
              </w:rPr>
            </w:pPr>
            <w:r>
              <w:rPr>
                <w:rFonts w:hint="eastAsia" w:ascii="宋体" w:hAnsi="宋体" w:cs="宋体"/>
                <w:color w:val="000000"/>
              </w:rPr>
              <w:t>6分</w:t>
            </w:r>
          </w:p>
        </w:tc>
        <w:tc>
          <w:tcPr>
            <w:tcW w:w="4528" w:type="dxa"/>
            <w:gridSpan w:val="2"/>
            <w:noWrap w:val="0"/>
            <w:vAlign w:val="center"/>
          </w:tcPr>
          <w:p>
            <w:pPr>
              <w:spacing w:line="400" w:lineRule="exact"/>
              <w:ind w:left="1" w:firstLine="1"/>
              <w:rPr>
                <w:rFonts w:hint="eastAsia" w:ascii="宋体" w:hAnsi="宋体" w:cs="宋体"/>
                <w:color w:val="000000"/>
              </w:rPr>
            </w:pPr>
            <w:r>
              <w:rPr>
                <w:rFonts w:hint="eastAsia" w:ascii="宋体" w:hAnsi="宋体" w:cs="宋体"/>
                <w:color w:val="000000"/>
              </w:rPr>
              <w:t>1.满足招标文件附录3项目负责人最低要求的，得3.6分。</w:t>
            </w:r>
          </w:p>
          <w:p>
            <w:pPr>
              <w:spacing w:line="400" w:lineRule="exact"/>
              <w:ind w:left="1" w:firstLine="1"/>
              <w:rPr>
                <w:rFonts w:hint="eastAsia" w:ascii="宋体" w:hAnsi="宋体" w:cs="宋体"/>
                <w:color w:val="000000"/>
              </w:rPr>
            </w:pPr>
            <w:r>
              <w:rPr>
                <w:rFonts w:hint="eastAsia" w:ascii="宋体" w:hAnsi="宋体" w:cs="宋体"/>
                <w:color w:val="000000"/>
              </w:rPr>
              <w:t>2.在满足项目负责人最低要求的基础上，为高级工程师或以上（测绘或测量专业）的，加1.2分；每增加一项类似工程测量业绩（担任项目负责人/技术负责人）的加1.2分。本项最多加2.4分。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5" w:hRule="atLeast"/>
          <w:jc w:val="center"/>
        </w:trPr>
        <w:tc>
          <w:tcPr>
            <w:tcW w:w="675" w:type="dxa"/>
            <w:vMerge w:val="continue"/>
            <w:noWrap w:val="0"/>
            <w:vAlign w:val="center"/>
          </w:tcPr>
          <w:p>
            <w:pPr>
              <w:spacing w:line="400" w:lineRule="exact"/>
              <w:ind w:left="1" w:firstLine="1"/>
              <w:jc w:val="center"/>
            </w:pPr>
          </w:p>
        </w:tc>
        <w:tc>
          <w:tcPr>
            <w:tcW w:w="851" w:type="dxa"/>
            <w:gridSpan w:val="2"/>
            <w:vMerge w:val="continue"/>
            <w:noWrap w:val="0"/>
            <w:vAlign w:val="center"/>
          </w:tcPr>
          <w:p>
            <w:pPr>
              <w:spacing w:line="400" w:lineRule="exact"/>
              <w:ind w:left="1" w:firstLine="1"/>
              <w:jc w:val="center"/>
            </w:pPr>
          </w:p>
        </w:tc>
        <w:tc>
          <w:tcPr>
            <w:tcW w:w="1134" w:type="dxa"/>
            <w:gridSpan w:val="2"/>
            <w:vMerge w:val="continue"/>
            <w:noWrap w:val="0"/>
            <w:vAlign w:val="center"/>
          </w:tcPr>
          <w:p>
            <w:pPr>
              <w:spacing w:line="400" w:lineRule="exact"/>
              <w:ind w:left="1" w:firstLine="1"/>
              <w:jc w:val="center"/>
            </w:pPr>
          </w:p>
        </w:tc>
        <w:tc>
          <w:tcPr>
            <w:tcW w:w="1134" w:type="dxa"/>
            <w:noWrap w:val="0"/>
            <w:vAlign w:val="center"/>
          </w:tcPr>
          <w:p>
            <w:pPr>
              <w:spacing w:line="400" w:lineRule="exact"/>
              <w:ind w:left="1" w:firstLine="1"/>
              <w:jc w:val="center"/>
              <w:rPr>
                <w:rFonts w:ascii="宋体" w:hAnsi="宋体" w:cs="宋体"/>
                <w:color w:val="000000"/>
              </w:rPr>
            </w:pPr>
            <w:r>
              <w:rPr>
                <w:rFonts w:hint="eastAsia" w:ascii="宋体" w:hAnsi="宋体" w:cs="宋体"/>
                <w:color w:val="000000"/>
              </w:rPr>
              <w:t>其他人员</w:t>
            </w:r>
          </w:p>
        </w:tc>
        <w:tc>
          <w:tcPr>
            <w:tcW w:w="850" w:type="dxa"/>
            <w:noWrap w:val="0"/>
            <w:vAlign w:val="center"/>
          </w:tcPr>
          <w:p>
            <w:pPr>
              <w:spacing w:line="400" w:lineRule="exact"/>
              <w:ind w:left="1" w:firstLine="1"/>
              <w:jc w:val="center"/>
              <w:rPr>
                <w:rFonts w:ascii="宋体" w:hAnsi="宋体" w:cs="宋体"/>
                <w:color w:val="000000"/>
              </w:rPr>
            </w:pPr>
            <w:r>
              <w:rPr>
                <w:rFonts w:hint="eastAsia" w:ascii="宋体" w:hAnsi="宋体" w:cs="宋体"/>
                <w:color w:val="000000"/>
              </w:rPr>
              <w:t>4分</w:t>
            </w:r>
          </w:p>
        </w:tc>
        <w:tc>
          <w:tcPr>
            <w:tcW w:w="4528" w:type="dxa"/>
            <w:gridSpan w:val="2"/>
            <w:noWrap w:val="0"/>
            <w:vAlign w:val="center"/>
          </w:tcPr>
          <w:p>
            <w:pPr>
              <w:spacing w:line="400" w:lineRule="exact"/>
              <w:ind w:left="1" w:firstLine="1"/>
              <w:jc w:val="left"/>
              <w:rPr>
                <w:rFonts w:hint="eastAsia" w:ascii="宋体" w:hAnsi="宋体" w:cs="宋体"/>
                <w:color w:val="000000"/>
              </w:rPr>
            </w:pPr>
            <w:r>
              <w:rPr>
                <w:rFonts w:hint="eastAsia" w:ascii="宋体" w:hAnsi="宋体" w:cs="宋体"/>
                <w:color w:val="000000"/>
              </w:rPr>
              <w:t xml:space="preserve">1.为中级工程师或以上（测绘或测量专业）的，每提供1人得1分，最高得2分；    </w:t>
            </w:r>
          </w:p>
          <w:p>
            <w:pPr>
              <w:spacing w:line="400" w:lineRule="exact"/>
              <w:ind w:left="1" w:firstLine="1"/>
              <w:jc w:val="left"/>
              <w:rPr>
                <w:rFonts w:hint="eastAsia" w:ascii="宋体" w:hAnsi="宋体" w:cs="宋体"/>
                <w:color w:val="000000"/>
              </w:rPr>
            </w:pPr>
            <w:r>
              <w:rPr>
                <w:rFonts w:hint="eastAsia" w:ascii="宋体" w:hAnsi="宋体" w:cs="宋体"/>
                <w:color w:val="000000"/>
              </w:rPr>
              <w:t>2.具有注册测绘师执业资格的，每提供1人得1分，最高得2分。</w:t>
            </w:r>
          </w:p>
          <w:p>
            <w:pPr>
              <w:spacing w:line="400" w:lineRule="exact"/>
              <w:ind w:left="1" w:firstLine="1"/>
              <w:jc w:val="left"/>
              <w:rPr>
                <w:rFonts w:ascii="宋体" w:hAnsi="宋体" w:cs="宋体"/>
                <w:color w:val="000000"/>
              </w:rPr>
            </w:pPr>
            <w:r>
              <w:rPr>
                <w:rFonts w:hint="eastAsia" w:ascii="宋体" w:hAnsi="宋体" w:cs="宋体"/>
                <w:color w:val="000000"/>
              </w:rPr>
              <w:t>注：需提供上述人员在本单位近3个月的社保证明、技术职称证、执业资格证书复印件加盖公章。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3" w:hRule="atLeast"/>
          <w:jc w:val="center"/>
        </w:trPr>
        <w:tc>
          <w:tcPr>
            <w:tcW w:w="675" w:type="dxa"/>
            <w:noWrap w:val="0"/>
            <w:vAlign w:val="center"/>
          </w:tcPr>
          <w:p>
            <w:pPr>
              <w:spacing w:line="400" w:lineRule="exact"/>
              <w:ind w:left="1" w:firstLine="1"/>
              <w:jc w:val="center"/>
              <w:rPr>
                <w:rFonts w:hint="eastAsia" w:ascii="宋体" w:hAnsi="宋体" w:cs="宋体"/>
                <w:color w:val="000000"/>
              </w:rPr>
            </w:pPr>
            <w:r>
              <w:rPr>
                <w:rFonts w:ascii="宋体" w:hAnsi="宋体" w:cs="宋体"/>
                <w:color w:val="000000"/>
              </w:rPr>
              <w:t>2.2.4(3)</w:t>
            </w:r>
          </w:p>
        </w:tc>
        <w:tc>
          <w:tcPr>
            <w:tcW w:w="851" w:type="dxa"/>
            <w:gridSpan w:val="2"/>
            <w:noWrap w:val="0"/>
            <w:vAlign w:val="center"/>
          </w:tcPr>
          <w:p>
            <w:pPr>
              <w:spacing w:line="400" w:lineRule="exact"/>
              <w:ind w:left="1" w:firstLine="1"/>
              <w:jc w:val="center"/>
              <w:rPr>
                <w:rFonts w:hint="eastAsia" w:ascii="宋体" w:hAnsi="宋体" w:cs="宋体"/>
                <w:color w:val="000000"/>
              </w:rPr>
            </w:pPr>
            <w:r>
              <w:rPr>
                <w:rFonts w:hint="eastAsia" w:ascii="宋体" w:hAnsi="宋体" w:cs="宋体"/>
                <w:color w:val="000000"/>
              </w:rPr>
              <w:t>评标价</w:t>
            </w:r>
          </w:p>
        </w:tc>
        <w:tc>
          <w:tcPr>
            <w:tcW w:w="1134" w:type="dxa"/>
            <w:gridSpan w:val="2"/>
            <w:noWrap w:val="0"/>
            <w:vAlign w:val="center"/>
          </w:tcPr>
          <w:p>
            <w:pPr>
              <w:spacing w:line="400" w:lineRule="exact"/>
              <w:ind w:left="1" w:firstLine="1"/>
              <w:jc w:val="center"/>
              <w:rPr>
                <w:rFonts w:hint="eastAsia" w:ascii="宋体" w:hAnsi="宋体" w:cs="宋体"/>
                <w:color w:val="000000"/>
              </w:rPr>
            </w:pPr>
            <w:r>
              <w:rPr>
                <w:rFonts w:hint="eastAsia" w:ascii="宋体" w:hAnsi="宋体" w:cs="宋体"/>
                <w:color w:val="000000"/>
              </w:rPr>
              <w:t>25分</w:t>
            </w:r>
          </w:p>
        </w:tc>
        <w:tc>
          <w:tcPr>
            <w:tcW w:w="6512" w:type="dxa"/>
            <w:gridSpan w:val="4"/>
            <w:noWrap w:val="0"/>
            <w:vAlign w:val="top"/>
          </w:tcPr>
          <w:p>
            <w:pPr>
              <w:spacing w:line="400" w:lineRule="exact"/>
              <w:ind w:left="1" w:firstLine="1"/>
              <w:rPr>
                <w:rFonts w:ascii="宋体" w:hAnsi="宋体" w:cs="宋体"/>
                <w:color w:val="000000"/>
              </w:rPr>
            </w:pPr>
            <w:r>
              <w:rPr>
                <w:rFonts w:hint="eastAsia" w:ascii="宋体" w:hAnsi="宋体" w:cs="宋体"/>
                <w:color w:val="000000"/>
              </w:rPr>
              <w:t>评标价得分计算公式示例：</w:t>
            </w:r>
            <w:r>
              <w:rPr>
                <w:rFonts w:ascii="宋体" w:hAnsi="宋体" w:cs="宋体"/>
                <w:color w:val="000000"/>
              </w:rPr>
              <w:t xml:space="preserve"> </w:t>
            </w:r>
          </w:p>
          <w:p>
            <w:pPr>
              <w:spacing w:line="400" w:lineRule="exact"/>
              <w:ind w:left="1" w:firstLine="1"/>
              <w:rPr>
                <w:rFonts w:ascii="宋体" w:hAnsi="宋体" w:cs="宋体"/>
                <w:color w:val="000000"/>
              </w:rPr>
            </w:pPr>
            <w:r>
              <w:rPr>
                <w:rFonts w:ascii="宋体" w:hAnsi="宋体" w:cs="宋体"/>
                <w:color w:val="000000"/>
              </w:rPr>
              <w:t>(1)</w:t>
            </w:r>
            <w:r>
              <w:rPr>
                <w:rFonts w:hint="eastAsia" w:ascii="宋体" w:hAnsi="宋体" w:cs="宋体"/>
                <w:color w:val="000000"/>
              </w:rPr>
              <w:t>如果投标人的评标价</w:t>
            </w:r>
            <w:r>
              <w:rPr>
                <w:rFonts w:ascii="宋体" w:hAnsi="宋体" w:cs="宋体"/>
                <w:color w:val="000000"/>
              </w:rPr>
              <w:t>&gt;</w:t>
            </w:r>
            <w:r>
              <w:rPr>
                <w:rFonts w:hint="eastAsia" w:ascii="宋体" w:hAnsi="宋体" w:cs="宋体"/>
                <w:color w:val="000000"/>
              </w:rPr>
              <w:t>评标基准价，则评标价得分＝</w:t>
            </w:r>
            <w:r>
              <w:rPr>
                <w:rFonts w:ascii="宋体" w:hAnsi="宋体" w:cs="宋体"/>
                <w:color w:val="000000"/>
              </w:rPr>
              <w:t>F</w:t>
            </w:r>
            <w:r>
              <w:rPr>
                <w:rFonts w:hint="eastAsia" w:ascii="宋体" w:hAnsi="宋体" w:cs="宋体"/>
                <w:color w:val="000000"/>
              </w:rPr>
              <w:t>－偏差率×</w:t>
            </w:r>
            <w:r>
              <w:rPr>
                <w:rFonts w:ascii="宋体" w:hAnsi="宋体" w:cs="宋体"/>
                <w:color w:val="000000"/>
              </w:rPr>
              <w:t>100</w:t>
            </w:r>
            <w:r>
              <w:rPr>
                <w:rFonts w:hint="eastAsia" w:ascii="宋体" w:hAnsi="宋体" w:cs="宋体"/>
                <w:color w:val="000000"/>
              </w:rPr>
              <w:t>×</w:t>
            </w:r>
            <w:r>
              <w:rPr>
                <w:rFonts w:ascii="宋体" w:hAnsi="宋体" w:cs="宋体"/>
                <w:color w:val="000000"/>
              </w:rPr>
              <w:t xml:space="preserve"> </w:t>
            </w:r>
            <w:r>
              <w:rPr>
                <w:rFonts w:hint="eastAsia" w:ascii="宋体" w:hAnsi="宋体" w:cs="宋体"/>
                <w:color w:val="000000"/>
              </w:rPr>
              <w:t>D</w:t>
            </w:r>
            <w:r>
              <w:rPr>
                <w:rFonts w:ascii="宋体" w:hAnsi="宋体" w:cs="宋体"/>
                <w:color w:val="000000"/>
              </w:rPr>
              <w:t>1</w:t>
            </w:r>
            <w:r>
              <w:rPr>
                <w:rFonts w:hint="eastAsia" w:ascii="宋体" w:hAnsi="宋体" w:cs="宋体"/>
                <w:color w:val="000000"/>
              </w:rPr>
              <w:t>；</w:t>
            </w:r>
            <w:r>
              <w:rPr>
                <w:rFonts w:ascii="宋体" w:hAnsi="宋体" w:cs="宋体"/>
                <w:color w:val="000000"/>
              </w:rPr>
              <w:t xml:space="preserve"> </w:t>
            </w:r>
          </w:p>
          <w:p>
            <w:pPr>
              <w:spacing w:line="400" w:lineRule="exact"/>
              <w:ind w:left="1" w:firstLine="1"/>
              <w:rPr>
                <w:rFonts w:ascii="宋体" w:hAnsi="宋体" w:cs="宋体"/>
                <w:color w:val="000000"/>
              </w:rPr>
            </w:pPr>
            <w:r>
              <w:rPr>
                <w:rFonts w:ascii="宋体" w:hAnsi="宋体" w:cs="宋体"/>
                <w:color w:val="000000"/>
              </w:rPr>
              <w:t>(2)</w:t>
            </w:r>
            <w:r>
              <w:rPr>
                <w:rFonts w:hint="eastAsia" w:ascii="宋体" w:hAnsi="宋体" w:cs="宋体"/>
                <w:color w:val="000000"/>
              </w:rPr>
              <w:t>如果投标人的评标价≤评标基准价，则评标价得分＝</w:t>
            </w:r>
            <w:r>
              <w:rPr>
                <w:rFonts w:ascii="宋体" w:hAnsi="宋体" w:cs="宋体"/>
                <w:color w:val="000000"/>
              </w:rPr>
              <w:t>F</w:t>
            </w:r>
            <w:r>
              <w:rPr>
                <w:rFonts w:hint="eastAsia" w:ascii="宋体" w:hAnsi="宋体" w:cs="宋体"/>
                <w:color w:val="000000"/>
              </w:rPr>
              <w:t>＋偏差率×</w:t>
            </w:r>
            <w:r>
              <w:rPr>
                <w:rFonts w:ascii="宋体" w:hAnsi="宋体" w:cs="宋体"/>
                <w:color w:val="000000"/>
              </w:rPr>
              <w:t xml:space="preserve"> 100</w:t>
            </w:r>
            <w:r>
              <w:rPr>
                <w:rFonts w:hint="eastAsia" w:ascii="宋体" w:hAnsi="宋体" w:cs="宋体"/>
                <w:color w:val="000000"/>
              </w:rPr>
              <w:t>× D</w:t>
            </w:r>
            <w:r>
              <w:rPr>
                <w:rFonts w:ascii="宋体" w:hAnsi="宋体" w:cs="宋体"/>
                <w:color w:val="000000"/>
              </w:rPr>
              <w:t>2</w:t>
            </w:r>
            <w:r>
              <w:rPr>
                <w:rFonts w:hint="eastAsia" w:ascii="宋体" w:hAnsi="宋体" w:cs="宋体"/>
                <w:color w:val="000000"/>
              </w:rPr>
              <w:t>。</w:t>
            </w:r>
            <w:r>
              <w:rPr>
                <w:rFonts w:ascii="宋体" w:hAnsi="宋体" w:cs="宋体"/>
                <w:color w:val="000000"/>
              </w:rPr>
              <w:t xml:space="preserve"> </w:t>
            </w:r>
          </w:p>
          <w:p>
            <w:pPr>
              <w:spacing w:line="400" w:lineRule="exact"/>
              <w:ind w:left="1" w:firstLine="1"/>
              <w:rPr>
                <w:rFonts w:ascii="宋体" w:hAnsi="宋体" w:cs="宋体"/>
                <w:color w:val="000000"/>
              </w:rPr>
            </w:pPr>
            <w:r>
              <w:rPr>
                <w:rFonts w:hint="eastAsia" w:ascii="宋体" w:hAnsi="宋体" w:cs="宋体"/>
                <w:color w:val="000000"/>
              </w:rPr>
              <w:t>其中：</w:t>
            </w:r>
            <w:r>
              <w:rPr>
                <w:rFonts w:ascii="宋体" w:hAnsi="宋体" w:cs="宋体"/>
                <w:color w:val="000000"/>
              </w:rPr>
              <w:t>F=</w:t>
            </w:r>
            <w:r>
              <w:rPr>
                <w:rFonts w:hint="eastAsia" w:ascii="宋体" w:hAnsi="宋体" w:cs="宋体"/>
                <w:color w:val="000000"/>
              </w:rPr>
              <w:t>25，D</w:t>
            </w:r>
            <w:r>
              <w:rPr>
                <w:rFonts w:ascii="宋体" w:hAnsi="宋体" w:cs="宋体"/>
                <w:color w:val="000000"/>
              </w:rPr>
              <w:t>1=</w:t>
            </w:r>
            <w:r>
              <w:rPr>
                <w:rFonts w:hint="eastAsia" w:ascii="宋体" w:hAnsi="宋体" w:cs="宋体"/>
                <w:color w:val="000000"/>
              </w:rPr>
              <w:t>1.0，D</w:t>
            </w:r>
            <w:r>
              <w:rPr>
                <w:rFonts w:ascii="宋体" w:hAnsi="宋体" w:cs="宋体"/>
                <w:color w:val="000000"/>
              </w:rPr>
              <w:t>2=0.</w:t>
            </w:r>
            <w:r>
              <w:rPr>
                <w:rFonts w:hint="eastAsia" w:ascii="宋体" w:hAnsi="宋体" w:cs="宋体"/>
                <w:color w:val="000000"/>
              </w:rPr>
              <w:t>5</w:t>
            </w:r>
            <w:r>
              <w:rPr>
                <w:rFonts w:ascii="宋体" w:hAnsi="宋体" w:cs="宋体"/>
                <w:color w:val="000000"/>
              </w:rPr>
              <w:t xml:space="preserve"> </w:t>
            </w:r>
          </w:p>
          <w:p>
            <w:pPr>
              <w:spacing w:line="400" w:lineRule="exact"/>
              <w:ind w:left="1" w:firstLine="1"/>
              <w:rPr>
                <w:rFonts w:hint="eastAsia" w:ascii="宋体" w:hAnsi="宋体" w:cs="宋体"/>
                <w:color w:val="000000"/>
              </w:rPr>
            </w:pPr>
            <w:r>
              <w:rPr>
                <w:rFonts w:hint="eastAsia" w:ascii="宋体" w:hAnsi="宋体" w:cs="宋体"/>
                <w:color w:val="000000"/>
              </w:rPr>
              <w:t>注：评标价得分计算保留小数点后四位，小数点后第五位“四舍五入”。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1" w:hRule="atLeast"/>
          <w:jc w:val="center"/>
        </w:trPr>
        <w:tc>
          <w:tcPr>
            <w:tcW w:w="675" w:type="dxa"/>
            <w:vMerge w:val="restart"/>
            <w:noWrap w:val="0"/>
            <w:vAlign w:val="center"/>
          </w:tcPr>
          <w:p>
            <w:pPr>
              <w:spacing w:line="400" w:lineRule="exact"/>
              <w:ind w:left="1" w:firstLine="1"/>
              <w:jc w:val="center"/>
              <w:rPr>
                <w:rFonts w:hint="eastAsia" w:ascii="宋体" w:hAnsi="宋体" w:cs="宋体"/>
                <w:color w:val="000000"/>
              </w:rPr>
            </w:pPr>
            <w:r>
              <w:rPr>
                <w:rFonts w:hint="eastAsia" w:ascii="宋体" w:hAnsi="宋体" w:cs="宋体"/>
                <w:color w:val="000000"/>
              </w:rPr>
              <w:t>2.2.4（4）</w:t>
            </w:r>
          </w:p>
        </w:tc>
        <w:tc>
          <w:tcPr>
            <w:tcW w:w="851" w:type="dxa"/>
            <w:gridSpan w:val="2"/>
            <w:vMerge w:val="restart"/>
            <w:noWrap w:val="0"/>
            <w:vAlign w:val="center"/>
          </w:tcPr>
          <w:p>
            <w:pPr>
              <w:spacing w:line="400" w:lineRule="exact"/>
              <w:ind w:left="1" w:firstLine="1"/>
              <w:jc w:val="center"/>
              <w:rPr>
                <w:rFonts w:hint="eastAsia" w:ascii="宋体" w:hAnsi="宋体" w:cs="宋体"/>
                <w:color w:val="000000"/>
              </w:rPr>
            </w:pPr>
            <w:r>
              <w:rPr>
                <w:rFonts w:hint="eastAsia" w:ascii="宋体" w:hAnsi="宋体" w:cs="宋体"/>
                <w:color w:val="000000"/>
              </w:rPr>
              <w:t>其他</w:t>
            </w:r>
          </w:p>
          <w:p>
            <w:pPr>
              <w:spacing w:line="400" w:lineRule="exact"/>
              <w:ind w:left="1" w:firstLine="1"/>
              <w:jc w:val="center"/>
              <w:rPr>
                <w:rFonts w:hint="eastAsia" w:ascii="宋体" w:hAnsi="宋体" w:cs="宋体"/>
                <w:color w:val="000000"/>
              </w:rPr>
            </w:pPr>
            <w:r>
              <w:rPr>
                <w:rFonts w:hint="eastAsia" w:ascii="宋体" w:hAnsi="宋体" w:cs="宋体"/>
                <w:color w:val="000000"/>
              </w:rPr>
              <w:t>因素</w:t>
            </w:r>
          </w:p>
        </w:tc>
        <w:tc>
          <w:tcPr>
            <w:tcW w:w="1134" w:type="dxa"/>
            <w:gridSpan w:val="2"/>
            <w:noWrap w:val="0"/>
            <w:vAlign w:val="center"/>
          </w:tcPr>
          <w:p>
            <w:pPr>
              <w:spacing w:line="400" w:lineRule="exact"/>
              <w:ind w:left="1" w:firstLine="1"/>
              <w:jc w:val="center"/>
              <w:rPr>
                <w:rFonts w:hint="eastAsia" w:ascii="宋体" w:hAnsi="宋体" w:cs="宋体"/>
                <w:color w:val="000000"/>
              </w:rPr>
            </w:pPr>
            <w:r>
              <w:rPr>
                <w:rFonts w:hint="eastAsia" w:ascii="宋体" w:hAnsi="宋体" w:cs="宋体"/>
                <w:color w:val="000000"/>
              </w:rPr>
              <w:t>业绩</w:t>
            </w:r>
          </w:p>
        </w:tc>
        <w:tc>
          <w:tcPr>
            <w:tcW w:w="1134" w:type="dxa"/>
            <w:noWrap w:val="0"/>
            <w:vAlign w:val="center"/>
          </w:tcPr>
          <w:p>
            <w:pPr>
              <w:spacing w:line="400" w:lineRule="exact"/>
              <w:ind w:left="1" w:firstLine="1"/>
              <w:jc w:val="center"/>
              <w:rPr>
                <w:rFonts w:hint="eastAsia" w:ascii="宋体" w:hAnsi="宋体" w:cs="宋体"/>
                <w:color w:val="000000"/>
              </w:rPr>
            </w:pPr>
            <w:r>
              <w:rPr>
                <w:rFonts w:hint="eastAsia" w:ascii="宋体" w:hAnsi="宋体" w:cs="宋体"/>
                <w:color w:val="000000"/>
              </w:rPr>
              <w:t>5分</w:t>
            </w:r>
          </w:p>
        </w:tc>
        <w:tc>
          <w:tcPr>
            <w:tcW w:w="850" w:type="dxa"/>
            <w:noWrap w:val="0"/>
            <w:vAlign w:val="center"/>
          </w:tcPr>
          <w:p>
            <w:pPr>
              <w:spacing w:line="400" w:lineRule="exact"/>
              <w:ind w:left="1" w:firstLine="1"/>
              <w:jc w:val="center"/>
              <w:rPr>
                <w:rFonts w:hint="eastAsia" w:ascii="宋体" w:hAnsi="宋体" w:cs="宋体"/>
                <w:color w:val="000000"/>
              </w:rPr>
            </w:pPr>
            <w:r>
              <w:rPr>
                <w:rFonts w:hint="eastAsia" w:ascii="宋体" w:hAnsi="宋体" w:cs="宋体"/>
                <w:color w:val="000000"/>
              </w:rPr>
              <w:t>业绩</w:t>
            </w:r>
          </w:p>
        </w:tc>
        <w:tc>
          <w:tcPr>
            <w:tcW w:w="930" w:type="dxa"/>
            <w:noWrap w:val="0"/>
            <w:vAlign w:val="center"/>
          </w:tcPr>
          <w:p>
            <w:pPr>
              <w:spacing w:line="400" w:lineRule="exact"/>
              <w:ind w:left="1" w:firstLine="1"/>
              <w:jc w:val="center"/>
              <w:rPr>
                <w:rFonts w:hint="eastAsia" w:ascii="宋体" w:hAnsi="宋体" w:cs="宋体"/>
                <w:color w:val="000000"/>
              </w:rPr>
            </w:pPr>
            <w:r>
              <w:rPr>
                <w:rFonts w:hint="eastAsia" w:ascii="宋体" w:hAnsi="宋体" w:cs="宋体"/>
                <w:color w:val="000000"/>
              </w:rPr>
              <w:t>5分</w:t>
            </w:r>
          </w:p>
        </w:tc>
        <w:tc>
          <w:tcPr>
            <w:tcW w:w="3598" w:type="dxa"/>
            <w:noWrap w:val="0"/>
            <w:vAlign w:val="center"/>
          </w:tcPr>
          <w:p>
            <w:pPr>
              <w:spacing w:line="400" w:lineRule="exact"/>
              <w:ind w:left="1" w:firstLine="1"/>
              <w:jc w:val="left"/>
              <w:rPr>
                <w:rFonts w:hint="eastAsia" w:ascii="宋体" w:hAnsi="宋体" w:cs="宋体"/>
                <w:color w:val="000000"/>
              </w:rPr>
            </w:pPr>
            <w:r>
              <w:rPr>
                <w:rFonts w:hint="eastAsia" w:ascii="宋体" w:hAnsi="宋体" w:cs="宋体"/>
                <w:color w:val="000000"/>
              </w:rPr>
              <w:t xml:space="preserve">1.满足招标文件附录2业绩最低要求的，得3分。 </w:t>
            </w:r>
          </w:p>
          <w:p>
            <w:pPr>
              <w:spacing w:line="400" w:lineRule="exact"/>
              <w:ind w:left="1" w:firstLine="1"/>
              <w:jc w:val="left"/>
              <w:rPr>
                <w:rFonts w:hint="eastAsia" w:ascii="宋体" w:hAnsi="宋体" w:cs="宋体"/>
                <w:color w:val="000000"/>
              </w:rPr>
            </w:pPr>
            <w:r>
              <w:rPr>
                <w:rFonts w:hint="eastAsia" w:ascii="宋体" w:hAnsi="宋体" w:cs="宋体"/>
                <w:color w:val="000000"/>
              </w:rPr>
              <w:t>2.在满足业绩最低要求的基础上，每增加一项类似工程测量业绩的加1分，最多加2分。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noWrap w:val="0"/>
            <w:vAlign w:val="center"/>
          </w:tcPr>
          <w:p>
            <w:pPr>
              <w:spacing w:line="400" w:lineRule="exact"/>
              <w:ind w:left="1" w:firstLine="1"/>
              <w:jc w:val="center"/>
              <w:rPr>
                <w:rFonts w:hint="eastAsia" w:ascii="宋体" w:hAnsi="宋体" w:cs="宋体"/>
                <w:color w:val="000000"/>
              </w:rPr>
            </w:pPr>
          </w:p>
        </w:tc>
        <w:tc>
          <w:tcPr>
            <w:tcW w:w="851" w:type="dxa"/>
            <w:gridSpan w:val="2"/>
            <w:vMerge w:val="continue"/>
            <w:noWrap w:val="0"/>
            <w:vAlign w:val="center"/>
          </w:tcPr>
          <w:p>
            <w:pPr>
              <w:spacing w:line="400" w:lineRule="exact"/>
              <w:ind w:left="1" w:firstLine="1"/>
              <w:jc w:val="center"/>
              <w:rPr>
                <w:rFonts w:hint="eastAsia" w:ascii="宋体" w:hAnsi="宋体" w:cs="宋体"/>
                <w:color w:val="000000"/>
              </w:rPr>
            </w:pPr>
          </w:p>
        </w:tc>
        <w:tc>
          <w:tcPr>
            <w:tcW w:w="1134" w:type="dxa"/>
            <w:gridSpan w:val="2"/>
            <w:noWrap w:val="0"/>
            <w:vAlign w:val="center"/>
          </w:tcPr>
          <w:p>
            <w:pPr>
              <w:spacing w:line="400" w:lineRule="exact"/>
              <w:ind w:left="1" w:firstLine="1"/>
              <w:jc w:val="center"/>
              <w:rPr>
                <w:rFonts w:hint="eastAsia" w:ascii="宋体" w:hAnsi="宋体" w:cs="宋体"/>
                <w:color w:val="000000"/>
              </w:rPr>
            </w:pPr>
            <w:r>
              <w:rPr>
                <w:rFonts w:hint="eastAsia" w:ascii="宋体" w:hAnsi="宋体" w:cs="宋体"/>
                <w:color w:val="000000"/>
              </w:rPr>
              <w:t>履约信誉</w:t>
            </w:r>
          </w:p>
        </w:tc>
        <w:tc>
          <w:tcPr>
            <w:tcW w:w="1134" w:type="dxa"/>
            <w:noWrap w:val="0"/>
            <w:vAlign w:val="center"/>
          </w:tcPr>
          <w:p>
            <w:pPr>
              <w:spacing w:line="400" w:lineRule="exact"/>
              <w:ind w:left="1" w:firstLine="1"/>
              <w:jc w:val="center"/>
              <w:rPr>
                <w:rFonts w:hint="eastAsia" w:ascii="宋体" w:hAnsi="宋体" w:cs="宋体"/>
                <w:color w:val="000000"/>
              </w:rPr>
            </w:pPr>
            <w:r>
              <w:rPr>
                <w:rFonts w:hint="eastAsia" w:ascii="宋体" w:hAnsi="宋体" w:cs="宋体"/>
                <w:color w:val="000000"/>
              </w:rPr>
              <w:t>10分</w:t>
            </w:r>
          </w:p>
        </w:tc>
        <w:tc>
          <w:tcPr>
            <w:tcW w:w="850" w:type="dxa"/>
            <w:noWrap w:val="0"/>
            <w:vAlign w:val="center"/>
          </w:tcPr>
          <w:p>
            <w:pPr>
              <w:spacing w:line="400" w:lineRule="exact"/>
              <w:ind w:left="1" w:firstLine="1"/>
              <w:jc w:val="center"/>
              <w:rPr>
                <w:rFonts w:hint="eastAsia" w:ascii="宋体" w:hAnsi="宋体" w:cs="宋体"/>
                <w:color w:val="000000"/>
              </w:rPr>
            </w:pPr>
            <w:r>
              <w:rPr>
                <w:rFonts w:hint="eastAsia" w:ascii="宋体" w:hAnsi="宋体" w:cs="宋体"/>
                <w:color w:val="000000"/>
              </w:rPr>
              <w:t>投标人的信誉</w:t>
            </w:r>
          </w:p>
        </w:tc>
        <w:tc>
          <w:tcPr>
            <w:tcW w:w="930" w:type="dxa"/>
            <w:noWrap w:val="0"/>
            <w:vAlign w:val="center"/>
          </w:tcPr>
          <w:p>
            <w:pPr>
              <w:spacing w:line="400" w:lineRule="exact"/>
              <w:ind w:left="1" w:firstLine="1"/>
              <w:jc w:val="center"/>
              <w:rPr>
                <w:rFonts w:hint="eastAsia" w:ascii="宋体" w:hAnsi="宋体" w:cs="宋体"/>
                <w:color w:val="000000"/>
              </w:rPr>
            </w:pPr>
            <w:r>
              <w:rPr>
                <w:rFonts w:hint="eastAsia" w:ascii="宋体" w:hAnsi="宋体" w:cs="宋体"/>
                <w:color w:val="000000"/>
              </w:rPr>
              <w:t>10分</w:t>
            </w:r>
          </w:p>
        </w:tc>
        <w:tc>
          <w:tcPr>
            <w:tcW w:w="3598" w:type="dxa"/>
            <w:noWrap w:val="0"/>
            <w:vAlign w:val="center"/>
          </w:tcPr>
          <w:p>
            <w:pPr>
              <w:spacing w:line="400" w:lineRule="exact"/>
              <w:jc w:val="left"/>
              <w:rPr>
                <w:rFonts w:hint="eastAsia" w:ascii="宋体" w:hAnsi="宋体" w:cs="宋体"/>
                <w:color w:val="000000"/>
              </w:rPr>
            </w:pPr>
            <w:r>
              <w:rPr>
                <w:rFonts w:hint="eastAsia" w:ascii="宋体" w:hAnsi="宋体" w:cs="宋体"/>
                <w:color w:val="000000"/>
              </w:rPr>
              <w:t>若没出现下述情形得满分</w:t>
            </w:r>
            <w:r>
              <w:rPr>
                <w:rFonts w:hint="eastAsia" w:ascii="宋体" w:hAnsi="宋体"/>
              </w:rPr>
              <w:t>：</w:t>
            </w:r>
            <w:r>
              <w:rPr>
                <w:rFonts w:hint="eastAsia" w:ascii="宋体" w:hAnsi="宋体" w:cs="宋体"/>
                <w:color w:val="000000"/>
              </w:rPr>
              <w:t>投标文件递交截止日前1年内，投标人因水运工程（含附属设施）质量、安全、履约或招标投标问题等原因被：（1）交通运输部行政处罚的，扣5分/次。（2）广东省交通运输厅行政处罚的，扣3分/次。（3）项目所在地地级以上市交通运输局行政处罚的，扣1.5分/次。（4）广东省交通运输厅正式约谈的，扣0.1分/次。注：同一事项同时被多个部门行政处罚或正式约谈只按最高的扣分计算1次。（本条内容所指的行政处罚和正式约谈是指本范本施行之日起发生的行政处罚和正式约谈。其中：正式约谈是指从业单位的企业法人因建设项目质量、安全、履约或招标投标等问题，被上述单位约谈的情形。行政处罚要以上述单位正式发文为依据，以正式发文时间为准；正式约谈要以上述单位的书面通知和约谈会议纪要为依据，时间以约谈会议纪要发文时间为准。）如果扣完本项分值，可以从投标人总得分中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72" w:type="dxa"/>
            <w:gridSpan w:val="9"/>
            <w:noWrap w:val="0"/>
            <w:vAlign w:val="center"/>
          </w:tcPr>
          <w:p>
            <w:pPr>
              <w:spacing w:line="400" w:lineRule="exact"/>
              <w:ind w:left="1" w:firstLine="1"/>
              <w:jc w:val="center"/>
              <w:rPr>
                <w:rFonts w:ascii="宋体" w:hAnsi="宋体" w:cs="宋体"/>
                <w:color w:val="000000"/>
              </w:rPr>
            </w:pPr>
            <w:r>
              <w:rPr>
                <w:rFonts w:hint="eastAsia" w:ascii="宋体" w:hAnsi="宋体" w:cs="宋体"/>
                <w:b/>
                <w:bCs/>
                <w:color w:val="000000"/>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gridSpan w:val="3"/>
            <w:noWrap w:val="0"/>
            <w:vAlign w:val="center"/>
          </w:tcPr>
          <w:p>
            <w:pPr>
              <w:spacing w:line="400" w:lineRule="exact"/>
              <w:ind w:left="1" w:firstLine="1"/>
              <w:jc w:val="center"/>
              <w:rPr>
                <w:rFonts w:hint="eastAsia" w:ascii="宋体" w:hAnsi="宋体" w:cs="宋体"/>
                <w:color w:val="000000"/>
              </w:rPr>
            </w:pPr>
            <w:r>
              <w:rPr>
                <w:rFonts w:hint="eastAsia" w:ascii="宋体" w:hAnsi="宋体" w:cs="宋体"/>
                <w:color w:val="000000"/>
              </w:rPr>
              <w:t>条款号</w:t>
            </w:r>
          </w:p>
        </w:tc>
        <w:tc>
          <w:tcPr>
            <w:tcW w:w="7646" w:type="dxa"/>
            <w:gridSpan w:val="6"/>
            <w:noWrap w:val="0"/>
            <w:vAlign w:val="center"/>
          </w:tcPr>
          <w:p>
            <w:pPr>
              <w:spacing w:line="400" w:lineRule="exact"/>
              <w:ind w:left="1" w:firstLine="1"/>
              <w:jc w:val="center"/>
              <w:rPr>
                <w:rFonts w:ascii="宋体" w:hAnsi="宋体" w:cs="宋体"/>
                <w:color w:val="000000"/>
              </w:rPr>
            </w:pPr>
            <w:r>
              <w:rPr>
                <w:rFonts w:hint="eastAsia" w:ascii="宋体" w:hAnsi="宋体" w:cs="宋体"/>
                <w:color w:val="000000"/>
              </w:rPr>
              <w:t>补充或修改的内容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gridSpan w:val="3"/>
            <w:noWrap w:val="0"/>
            <w:vAlign w:val="center"/>
          </w:tcPr>
          <w:p>
            <w:pPr>
              <w:spacing w:line="400" w:lineRule="exact"/>
              <w:ind w:left="1" w:firstLine="1"/>
              <w:jc w:val="center"/>
              <w:rPr>
                <w:rFonts w:ascii="宋体" w:hAnsi="宋体" w:cs="宋体"/>
                <w:color w:val="000000"/>
              </w:rPr>
            </w:pPr>
            <w:r>
              <w:rPr>
                <w:rFonts w:hint="eastAsia" w:ascii="宋体" w:hAnsi="宋体" w:cs="宋体"/>
                <w:color w:val="000000"/>
              </w:rPr>
              <w:t>3.2.2</w:t>
            </w:r>
          </w:p>
        </w:tc>
        <w:tc>
          <w:tcPr>
            <w:tcW w:w="7646" w:type="dxa"/>
            <w:gridSpan w:val="6"/>
            <w:noWrap w:val="0"/>
            <w:vAlign w:val="center"/>
          </w:tcPr>
          <w:p>
            <w:pPr>
              <w:spacing w:line="400" w:lineRule="exact"/>
              <w:ind w:left="1" w:firstLine="1"/>
              <w:jc w:val="left"/>
              <w:rPr>
                <w:rFonts w:ascii="宋体" w:hAnsi="宋体" w:cs="宋体"/>
                <w:color w:val="000000"/>
              </w:rPr>
            </w:pPr>
            <w:r>
              <w:rPr>
                <w:rFonts w:hint="eastAsia" w:ascii="宋体" w:hAnsi="宋体" w:cs="宋体"/>
                <w:color w:val="000000"/>
              </w:rPr>
              <w:t>原</w:t>
            </w:r>
            <w:r>
              <w:rPr>
                <w:rFonts w:ascii="宋体" w:hAnsi="宋体" w:cs="宋体"/>
                <w:color w:val="000000"/>
              </w:rPr>
              <w:t>3.2.2</w:t>
            </w:r>
            <w:r>
              <w:rPr>
                <w:rFonts w:hint="eastAsia" w:ascii="宋体" w:hAnsi="宋体" w:cs="宋体"/>
                <w:color w:val="000000"/>
              </w:rPr>
              <w:t>条款补充细化如下：</w:t>
            </w:r>
          </w:p>
          <w:p>
            <w:pPr>
              <w:spacing w:line="400" w:lineRule="exact"/>
              <w:jc w:val="left"/>
              <w:rPr>
                <w:rFonts w:hint="eastAsia" w:ascii="宋体" w:hAnsi="宋体" w:cs="宋体"/>
                <w:color w:val="000000"/>
              </w:rPr>
            </w:pPr>
            <w:r>
              <w:rPr>
                <w:rFonts w:hint="eastAsia" w:ascii="宋体" w:hAnsi="宋体" w:cs="宋体"/>
                <w:color w:val="000000"/>
              </w:rPr>
              <w:t>投标人的商务和技术得分分值计算保留小数点后三位，小数点后第四位“四舍五入”。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gridSpan w:val="3"/>
            <w:noWrap w:val="0"/>
            <w:vAlign w:val="center"/>
          </w:tcPr>
          <w:p>
            <w:pPr>
              <w:spacing w:line="400" w:lineRule="exact"/>
              <w:ind w:left="1" w:firstLine="1"/>
              <w:jc w:val="center"/>
              <w:rPr>
                <w:rFonts w:hint="eastAsia" w:ascii="宋体" w:hAnsi="宋体" w:cs="宋体"/>
                <w:color w:val="000000"/>
              </w:rPr>
            </w:pPr>
            <w:r>
              <w:rPr>
                <w:rFonts w:hint="eastAsia" w:ascii="宋体" w:hAnsi="宋体" w:cs="宋体"/>
                <w:color w:val="000000"/>
              </w:rPr>
              <w:t>3.2.3</w:t>
            </w:r>
          </w:p>
        </w:tc>
        <w:tc>
          <w:tcPr>
            <w:tcW w:w="7646" w:type="dxa"/>
            <w:gridSpan w:val="6"/>
            <w:noWrap w:val="0"/>
            <w:vAlign w:val="center"/>
          </w:tcPr>
          <w:p>
            <w:pPr>
              <w:spacing w:line="400" w:lineRule="exact"/>
              <w:jc w:val="left"/>
              <w:rPr>
                <w:rFonts w:hint="eastAsia" w:ascii="宋体" w:hAnsi="宋体" w:cs="宋体"/>
                <w:color w:val="000000"/>
              </w:rPr>
            </w:pPr>
            <w:r>
              <w:rPr>
                <w:rFonts w:hint="eastAsia" w:ascii="宋体" w:hAnsi="宋体" w:cs="宋体"/>
                <w:color w:val="000000"/>
              </w:rPr>
              <w:t>将评标办法范本原文第 3.2.3 项细化如下：</w:t>
            </w:r>
          </w:p>
          <w:p>
            <w:pPr>
              <w:spacing w:line="400" w:lineRule="exact"/>
              <w:ind w:firstLine="420" w:firstLineChars="200"/>
              <w:jc w:val="left"/>
              <w:rPr>
                <w:rFonts w:hint="eastAsia" w:ascii="宋体" w:hAnsi="宋体" w:cs="宋体"/>
                <w:color w:val="000000"/>
              </w:rPr>
            </w:pPr>
            <w:r>
              <w:rPr>
                <w:rFonts w:hint="eastAsia" w:ascii="宋体" w:hAnsi="宋体" w:cs="宋体"/>
                <w:color w:val="000000"/>
              </w:rPr>
              <w:t>投标人的商务和技术得分=A+B+D。</w:t>
            </w:r>
          </w:p>
          <w:p>
            <w:pPr>
              <w:spacing w:line="400" w:lineRule="exact"/>
              <w:ind w:firstLine="420" w:firstLineChars="200"/>
              <w:jc w:val="left"/>
              <w:rPr>
                <w:rFonts w:hint="eastAsia" w:ascii="宋体" w:hAnsi="宋体" w:cs="宋体"/>
                <w:color w:val="000000"/>
              </w:rPr>
            </w:pPr>
            <w:r>
              <w:rPr>
                <w:rFonts w:hint="eastAsia" w:ascii="宋体" w:hAnsi="宋体" w:cs="宋体"/>
                <w:color w:val="000000"/>
              </w:rPr>
              <w:t>投标文件评分因素</w:t>
            </w:r>
            <w:r>
              <w:rPr>
                <w:rFonts w:hint="eastAsia" w:ascii="宋体" w:hAnsi="宋体" w:cs="宋体"/>
                <w:color w:val="000000"/>
                <w:u w:val="single"/>
              </w:rPr>
              <w:t>（技术建议书）</w:t>
            </w:r>
            <w:r>
              <w:rPr>
                <w:rFonts w:hint="eastAsia" w:ascii="宋体" w:hAnsi="宋体" w:cs="宋体"/>
                <w:color w:val="000000"/>
              </w:rPr>
              <w:t>细分项得分均不应低于其权重分的60%，评分低于权重分值60%的，评标委员会成员应当在评标报告中作出说明。</w:t>
            </w:r>
          </w:p>
          <w:p>
            <w:pPr>
              <w:spacing w:line="400" w:lineRule="exact"/>
              <w:ind w:firstLine="420" w:firstLineChars="200"/>
              <w:jc w:val="left"/>
              <w:rPr>
                <w:rFonts w:ascii="宋体" w:hAnsi="宋体" w:cs="宋体"/>
                <w:color w:val="000000"/>
              </w:rPr>
            </w:pPr>
            <w:r>
              <w:rPr>
                <w:rFonts w:hint="eastAsia" w:ascii="宋体" w:hAnsi="宋体" w:cs="宋体"/>
                <w:color w:val="000000"/>
              </w:rPr>
              <w:t>评标委员会人数为7人时，计算投标人技术得分时：各评分因素细分项中取消一个最高、一个最低分后计算算术平均值的和为投标人的最终技术得分，平均值计算保留小数点后三位，小数点后第四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gridSpan w:val="3"/>
            <w:noWrap w:val="0"/>
            <w:vAlign w:val="center"/>
          </w:tcPr>
          <w:p>
            <w:pPr>
              <w:spacing w:line="400" w:lineRule="exact"/>
              <w:ind w:left="1" w:firstLine="1"/>
              <w:jc w:val="center"/>
              <w:rPr>
                <w:rFonts w:hint="eastAsia" w:ascii="宋体" w:hAnsi="宋体" w:cs="宋体"/>
                <w:color w:val="000000"/>
              </w:rPr>
            </w:pPr>
            <w:r>
              <w:rPr>
                <w:rFonts w:ascii="宋体" w:hAnsi="宋体" w:cs="宋体"/>
                <w:color w:val="000000"/>
              </w:rPr>
              <w:t>3.</w:t>
            </w:r>
            <w:r>
              <w:rPr>
                <w:rFonts w:hint="eastAsia" w:ascii="宋体" w:hAnsi="宋体" w:cs="宋体"/>
                <w:color w:val="000000"/>
              </w:rPr>
              <w:t>9</w:t>
            </w:r>
          </w:p>
        </w:tc>
        <w:tc>
          <w:tcPr>
            <w:tcW w:w="7646" w:type="dxa"/>
            <w:gridSpan w:val="6"/>
            <w:noWrap w:val="0"/>
            <w:vAlign w:val="center"/>
          </w:tcPr>
          <w:p>
            <w:pPr>
              <w:spacing w:line="400" w:lineRule="exact"/>
              <w:ind w:left="1" w:firstLine="1"/>
              <w:jc w:val="left"/>
              <w:rPr>
                <w:rFonts w:hint="eastAsia" w:ascii="宋体" w:hAnsi="宋体" w:cs="宋体"/>
                <w:color w:val="000000"/>
              </w:rPr>
            </w:pPr>
            <w:r>
              <w:rPr>
                <w:rFonts w:hint="eastAsia" w:ascii="宋体" w:hAnsi="宋体" w:cs="宋体"/>
                <w:color w:val="000000"/>
              </w:rPr>
              <w:t>增加 3.9.3-3.9.7 项：</w:t>
            </w:r>
          </w:p>
          <w:p>
            <w:pPr>
              <w:spacing w:line="400" w:lineRule="exact"/>
              <w:ind w:left="1" w:firstLine="1"/>
              <w:jc w:val="left"/>
              <w:rPr>
                <w:rFonts w:hint="eastAsia" w:ascii="宋体" w:hAnsi="宋体" w:cs="宋体"/>
                <w:color w:val="000000"/>
              </w:rPr>
            </w:pPr>
            <w:r>
              <w:rPr>
                <w:rFonts w:hint="eastAsia" w:ascii="宋体" w:hAnsi="宋体" w:cs="宋体"/>
                <w:color w:val="000000"/>
              </w:rPr>
              <w:t>3.9.3 如允许多个标段同时投标，推荐中标候选人方式：（1）已被推荐为某一标段的第一中标候选人，自动失去其在本次招标中其他标段的中标候选人资格。（2）按标段最高投标限价由高到低顺序依次选定各标段中标候选人，如果出现投标人在多个标段都排名第一，将确定该投标人为最高投标限价较高的标段的第一中标候选人，同时该投标人自动失去在本次招标中其他标段的中标候选人资格，其他标段的综合排名名次高者自动上升为中标候选人，以此类推。</w:t>
            </w:r>
          </w:p>
          <w:p>
            <w:pPr>
              <w:spacing w:line="400" w:lineRule="exact"/>
              <w:ind w:left="1" w:firstLine="1"/>
              <w:jc w:val="left"/>
              <w:rPr>
                <w:rFonts w:hint="eastAsia" w:ascii="宋体" w:hAnsi="宋体" w:cs="宋体"/>
                <w:color w:val="000000"/>
              </w:rPr>
            </w:pPr>
            <w:r>
              <w:rPr>
                <w:rFonts w:hint="eastAsia" w:ascii="宋体" w:hAnsi="宋体" w:cs="宋体"/>
                <w:color w:val="000000"/>
              </w:rPr>
              <w:t>3.9.4 通过第一个信封商务和技术文件评审的投标人少于 3 个的，评标委员会可以否决全部投标；未否决全部投标的，评标委员会应当在评标报告中阐明理由，招标人应当按照招标文件规定的程序进行第二个信封（报价文件）开标，但评标委员会在进行报价评审时仍有权否决全部投标；评标委员会未在报价文件评审时否决全部投标的，应当在评标报告中阐明理由并推荐中标候选人。</w:t>
            </w:r>
          </w:p>
          <w:p>
            <w:pPr>
              <w:spacing w:line="400" w:lineRule="exact"/>
              <w:ind w:left="1" w:firstLine="1"/>
              <w:jc w:val="left"/>
              <w:rPr>
                <w:rFonts w:hint="eastAsia" w:ascii="宋体" w:hAnsi="宋体" w:cs="宋体"/>
                <w:color w:val="000000"/>
              </w:rPr>
            </w:pPr>
            <w:r>
              <w:rPr>
                <w:rFonts w:hint="eastAsia" w:ascii="宋体" w:hAnsi="宋体" w:cs="宋体"/>
                <w:color w:val="000000"/>
              </w:rPr>
              <w:t>3.9.5 通过第一个信封商务和技术文件评审的投标人在 3 个及以上的，招标人应当按照招标文件规定的程序进行第二个信封（报价文件）开标；在对报价文件进行评审后，有效投标不足 3 个的，评标委员会可以否决全部投标。未否决全部投</w:t>
            </w:r>
          </w:p>
          <w:p>
            <w:pPr>
              <w:spacing w:line="400" w:lineRule="exact"/>
              <w:ind w:left="1" w:firstLine="1"/>
              <w:jc w:val="left"/>
              <w:rPr>
                <w:rFonts w:hint="eastAsia" w:ascii="宋体" w:hAnsi="宋体" w:cs="宋体"/>
                <w:color w:val="000000"/>
              </w:rPr>
            </w:pPr>
            <w:r>
              <w:rPr>
                <w:rFonts w:hint="eastAsia" w:ascii="宋体" w:hAnsi="宋体" w:cs="宋体"/>
                <w:color w:val="000000"/>
              </w:rPr>
              <w:t>标的，评标委员会应当在评标报告中阐明理由并推荐中标候选人。</w:t>
            </w:r>
          </w:p>
          <w:p>
            <w:pPr>
              <w:spacing w:line="400" w:lineRule="exact"/>
              <w:ind w:left="1" w:firstLine="1"/>
              <w:jc w:val="left"/>
              <w:rPr>
                <w:rFonts w:hint="eastAsia" w:ascii="宋体" w:hAnsi="宋体" w:cs="宋体"/>
                <w:color w:val="000000"/>
              </w:rPr>
            </w:pPr>
            <w:r>
              <w:rPr>
                <w:rFonts w:hint="eastAsia" w:ascii="宋体" w:hAnsi="宋体" w:cs="宋体"/>
                <w:color w:val="000000"/>
              </w:rPr>
              <w:t>3.9.6 如果发生无法确定推荐中标候选人的其它意外情况，评标委员会可建议招标人重新招标。</w:t>
            </w:r>
          </w:p>
          <w:p>
            <w:pPr>
              <w:spacing w:line="400" w:lineRule="exact"/>
              <w:ind w:left="1" w:firstLine="1"/>
              <w:jc w:val="left"/>
              <w:rPr>
                <w:rFonts w:hint="eastAsia" w:ascii="宋体" w:hAnsi="宋体" w:cs="宋体"/>
                <w:color w:val="000000"/>
              </w:rPr>
            </w:pPr>
            <w:r>
              <w:rPr>
                <w:rFonts w:hint="eastAsia" w:ascii="宋体" w:hAnsi="宋体" w:cs="宋体"/>
                <w:color w:val="000000"/>
              </w:rPr>
              <w:t>3.9.7 本招标文件规定的否决投标条款包含在以下条款：</w:t>
            </w:r>
          </w:p>
          <w:p>
            <w:pPr>
              <w:spacing w:line="400" w:lineRule="exact"/>
              <w:ind w:left="1" w:firstLine="1"/>
              <w:jc w:val="left"/>
              <w:rPr>
                <w:rFonts w:hint="eastAsia" w:ascii="宋体" w:hAnsi="宋体" w:cs="宋体"/>
                <w:color w:val="000000"/>
              </w:rPr>
            </w:pPr>
            <w:r>
              <w:rPr>
                <w:rFonts w:hint="eastAsia" w:ascii="宋体" w:hAnsi="宋体" w:cs="宋体"/>
                <w:color w:val="000000"/>
              </w:rPr>
              <w:t>（1）招标公告第 3 点 投标人资格要求；</w:t>
            </w:r>
          </w:p>
          <w:p>
            <w:pPr>
              <w:spacing w:line="400" w:lineRule="exact"/>
              <w:ind w:left="1" w:firstLine="1"/>
              <w:jc w:val="left"/>
              <w:rPr>
                <w:rFonts w:hint="eastAsia" w:ascii="宋体" w:hAnsi="宋体" w:cs="宋体"/>
                <w:color w:val="000000"/>
              </w:rPr>
            </w:pPr>
            <w:r>
              <w:rPr>
                <w:rFonts w:hint="eastAsia" w:ascii="宋体" w:hAnsi="宋体" w:cs="宋体"/>
                <w:color w:val="000000"/>
              </w:rPr>
              <w:t>（2）投标人须知 1.4.3 项、1.4.4 项、1.12.2 项、3.4.2 项、3.5.8 项、3.6.1 项；</w:t>
            </w:r>
          </w:p>
          <w:p>
            <w:pPr>
              <w:spacing w:line="400" w:lineRule="exact"/>
              <w:ind w:left="1" w:firstLine="1"/>
              <w:jc w:val="left"/>
              <w:rPr>
                <w:rFonts w:ascii="宋体" w:hAnsi="宋体" w:cs="宋体"/>
                <w:color w:val="000000"/>
              </w:rPr>
            </w:pPr>
            <w:r>
              <w:rPr>
                <w:rFonts w:hint="eastAsia" w:ascii="宋体" w:hAnsi="宋体" w:cs="宋体"/>
                <w:color w:val="000000"/>
              </w:rPr>
              <w:t>（3）本评标办法的否决条款。</w:t>
            </w:r>
          </w:p>
        </w:tc>
      </w:tr>
    </w:tbl>
    <w:p>
      <w:pPr>
        <w:spacing w:line="360" w:lineRule="auto"/>
        <w:rPr>
          <w:rFonts w:hint="eastAsia" w:ascii="宋体" w:hAnsi="宋体" w:cs="宋体"/>
          <w:b/>
          <w:bCs/>
          <w:color w:val="000000"/>
          <w:sz w:val="22"/>
          <w:szCs w:val="24"/>
        </w:rPr>
      </w:pPr>
      <w:r>
        <w:rPr>
          <w:rFonts w:hint="eastAsia" w:ascii="宋体" w:hAnsi="宋体" w:cs="宋体"/>
          <w:b/>
          <w:bCs/>
          <w:color w:val="000000"/>
          <w:sz w:val="22"/>
          <w:szCs w:val="24"/>
        </w:rPr>
        <w:t xml:space="preserve">1. 评标方法 </w:t>
      </w:r>
    </w:p>
    <w:p>
      <w:pPr>
        <w:spacing w:line="360" w:lineRule="auto"/>
        <w:rPr>
          <w:rFonts w:hint="eastAsia" w:ascii="宋体" w:hAnsi="宋体" w:cs="宋体"/>
          <w:color w:val="000000"/>
          <w:sz w:val="22"/>
          <w:szCs w:val="24"/>
        </w:rPr>
      </w:pPr>
      <w:r>
        <w:rPr>
          <w:rFonts w:hint="eastAsia" w:ascii="宋体" w:hAnsi="宋体" w:cs="宋体"/>
          <w:color w:val="000000"/>
          <w:sz w:val="22"/>
          <w:szCs w:val="24"/>
        </w:rPr>
        <w:t>1.1 评标方法</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本次评标采用双信封的综合评分法。评标委员会对满足招标文件实质性要求的投标文件，按照本章第 2.2 款规定的评分标准进行打分，并按得分由高到低顺序推荐中标候选人，但投标报价低于其成本的除外。综合评分相等时，评标委员会应按照评标办法前附表规定的优先次序推荐中标候选人或确定中标人。</w:t>
      </w:r>
    </w:p>
    <w:p>
      <w:pPr>
        <w:spacing w:line="360" w:lineRule="auto"/>
        <w:rPr>
          <w:rFonts w:hint="eastAsia" w:ascii="宋体" w:hAnsi="宋体" w:cs="宋体"/>
          <w:color w:val="000000"/>
          <w:sz w:val="22"/>
          <w:szCs w:val="24"/>
        </w:rPr>
      </w:pPr>
      <w:r>
        <w:rPr>
          <w:rFonts w:hint="eastAsia" w:ascii="宋体" w:hAnsi="宋体" w:cs="宋体"/>
          <w:color w:val="000000"/>
          <w:sz w:val="22"/>
          <w:szCs w:val="24"/>
        </w:rPr>
        <w:t>1.2 评标组织</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1.2.1 协助工作组</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招标人可在评标工作开始前成立协助工作组，选派熟悉招标工作、政治素质高的人员组成，协助评标委员会工作。协助工作组人员的具体数量由招标人视评标工作量确定，评标责任由评标委员会负责。</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招标人可以协助评标委员会开展下列工作并提供相关信息：</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（1）根据招标文件，编制评标使用的相应表格；</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（2）对投标报价进行算术性校核；</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（3）以评标标准和方法为依据，列出投标文件相对于招标文件的所有偏差，并进行归类汇总；</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（4）对投标人的资质、业绩、主要人员资历和目前在岗情况、信用等级进行核实。</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招标人不得对投标文件作出任何评价，不得故意遗漏或者片面摘录，不得在评标委员会对所有偏差定性之前透露存有偏差的投标人名称。</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1.2.2 评标委员会</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评标委员会由招标人按国家、广东省等的有关规定依法组建。评标委员人数参见本招标文件“投标人须知前附表第 6.1.1 款。评标委员会的主要工作内容包括：</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（1）评标委员会开始评标工作之前，首先听取招标人、协助工作组关于工程情况和辅助工作的说明，并认真研读招标文件，获取评标所需的重要信息和数据；</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（2）对协助工作组提供的评标工作用表和评标内容进行核查。</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（3）按照以下 1.3 款程序进行各项评审工作。</w:t>
      </w:r>
    </w:p>
    <w:p>
      <w:pPr>
        <w:spacing w:line="360" w:lineRule="auto"/>
        <w:rPr>
          <w:rFonts w:hint="eastAsia" w:ascii="宋体" w:hAnsi="宋体" w:cs="宋体"/>
          <w:color w:val="000000"/>
          <w:sz w:val="22"/>
          <w:szCs w:val="24"/>
        </w:rPr>
      </w:pPr>
      <w:r>
        <w:rPr>
          <w:rFonts w:hint="eastAsia" w:ascii="宋体" w:hAnsi="宋体" w:cs="宋体"/>
          <w:color w:val="000000"/>
          <w:sz w:val="22"/>
          <w:szCs w:val="24"/>
        </w:rPr>
        <w:t>1.3 评审工作程序</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（一）第一信封（商务及技术文件）：</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l、初步评审：包括形式评审与响应性评审、资格评审；</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2、详细评审（评审打分）：评标委员会首先对通过初步评审的投标文件第一个信封（商务及技术文件）进行详细评审，对投标人的技术建议书、主要人员、其他因素等分别评审打分。</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（二）第二信封（报价文件）：</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1、初步评审：</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（1）只有投标文件第一个信封通过详细评审的投标人才能继续参加第二信封（报价文件）的形式评审与响应性评审；</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（2）报价算术性修正；</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2、详细评审：计算评标基准价、评标价得分及综合得分；</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（三）投标文件相关信息的核查。</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（四）投标文件的澄清和说明(如有)</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（五）按评标办法规定推荐中标候选人，编写评标报告。</w:t>
      </w:r>
    </w:p>
    <w:p>
      <w:pPr>
        <w:spacing w:line="360" w:lineRule="auto"/>
        <w:rPr>
          <w:rFonts w:hint="eastAsia" w:ascii="宋体" w:hAnsi="宋体" w:cs="宋体"/>
          <w:b/>
          <w:bCs/>
          <w:color w:val="000000"/>
          <w:sz w:val="22"/>
          <w:szCs w:val="24"/>
        </w:rPr>
      </w:pPr>
      <w:r>
        <w:rPr>
          <w:rFonts w:hint="eastAsia" w:ascii="宋体" w:hAnsi="宋体" w:cs="宋体"/>
          <w:b/>
          <w:bCs/>
          <w:color w:val="000000"/>
          <w:sz w:val="22"/>
          <w:szCs w:val="24"/>
        </w:rPr>
        <w:t>2. 评审标准</w:t>
      </w:r>
    </w:p>
    <w:p>
      <w:pPr>
        <w:spacing w:line="360" w:lineRule="auto"/>
        <w:rPr>
          <w:rFonts w:hint="eastAsia" w:ascii="宋体" w:hAnsi="宋体" w:cs="宋体"/>
          <w:color w:val="000000"/>
          <w:sz w:val="22"/>
          <w:szCs w:val="24"/>
        </w:rPr>
      </w:pPr>
      <w:r>
        <w:rPr>
          <w:rFonts w:hint="eastAsia" w:ascii="宋体" w:hAnsi="宋体" w:cs="宋体"/>
          <w:color w:val="000000"/>
          <w:sz w:val="22"/>
          <w:szCs w:val="24"/>
        </w:rPr>
        <w:t>2.1 初步评审标准</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2.1.1 形式评审标准：见评标办法前附表。</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2.1.2 资格评审标准：见评标办法前附表。</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2.1.3 响应性评审标准：见评标办法前附表。</w:t>
      </w:r>
    </w:p>
    <w:p>
      <w:pPr>
        <w:spacing w:line="360" w:lineRule="auto"/>
        <w:rPr>
          <w:rFonts w:hint="eastAsia" w:ascii="宋体" w:hAnsi="宋体" w:cs="宋体"/>
          <w:color w:val="000000"/>
          <w:sz w:val="22"/>
          <w:szCs w:val="24"/>
        </w:rPr>
      </w:pPr>
      <w:r>
        <w:rPr>
          <w:rFonts w:hint="eastAsia" w:ascii="宋体" w:hAnsi="宋体" w:cs="宋体"/>
          <w:color w:val="000000"/>
          <w:sz w:val="22"/>
          <w:szCs w:val="24"/>
        </w:rPr>
        <w:t>2.2 分值构成与评分标准</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2.2.1 分值构成</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（1）技术建议书：见评标办法前附表；</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（2）主要人员：见评标办法前附表；</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（3）投标报价：见评标办法前附表；</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（4）其他评分因素：见评标办法前附表。</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2.2.2 评标基准价计算</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评标基准价计算方法：见评标办法前附表。</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2.2.3 评标价的偏差率计算</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评标价的偏差率计算公式：见评标办法前附表。</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2.2.4 评分标准</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（1）技术建议书评分标准：见评标办法前附表；</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（2）主要人员评分标准：见评标办法前附表；</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（3）投标报价评分标准：见评标办法前附表；</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（4）其他因素评分标准：见评标办法前附表。</w:t>
      </w:r>
    </w:p>
    <w:p>
      <w:pPr>
        <w:spacing w:line="360" w:lineRule="auto"/>
        <w:rPr>
          <w:rFonts w:hint="eastAsia" w:ascii="宋体" w:hAnsi="宋体" w:cs="宋体"/>
          <w:b/>
          <w:bCs/>
          <w:color w:val="000000"/>
          <w:sz w:val="22"/>
          <w:szCs w:val="24"/>
        </w:rPr>
      </w:pPr>
      <w:r>
        <w:rPr>
          <w:rFonts w:hint="eastAsia" w:ascii="宋体" w:hAnsi="宋体" w:cs="宋体"/>
          <w:b/>
          <w:bCs/>
          <w:color w:val="000000"/>
          <w:sz w:val="22"/>
          <w:szCs w:val="24"/>
        </w:rPr>
        <w:t>3. 评标程序</w:t>
      </w:r>
    </w:p>
    <w:p>
      <w:pPr>
        <w:spacing w:line="360" w:lineRule="auto"/>
        <w:rPr>
          <w:rFonts w:hint="eastAsia" w:ascii="宋体" w:hAnsi="宋体" w:cs="宋体"/>
          <w:color w:val="000000"/>
          <w:sz w:val="22"/>
          <w:szCs w:val="24"/>
        </w:rPr>
      </w:pPr>
      <w:r>
        <w:rPr>
          <w:rFonts w:hint="eastAsia" w:ascii="宋体" w:hAnsi="宋体" w:cs="宋体"/>
          <w:color w:val="000000"/>
          <w:sz w:val="22"/>
          <w:szCs w:val="24"/>
        </w:rPr>
        <w:t>3.1 第一个信封初步评审</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3.1.1 评标委员会可以要求投标人提交第二章“投标人须知”第 3.5.1 项至第3.5.5 项规定的有关证明和证件的原件，以便核验。评标委员会依据本章第 2.1 款规定的标准对投标文件第一个信封（商务及技术文件）进行初步评审。有一项不符合评审标准的，评标委员会应否决其投标。</w:t>
      </w:r>
    </w:p>
    <w:p>
      <w:pPr>
        <w:spacing w:line="360" w:lineRule="auto"/>
        <w:rPr>
          <w:rFonts w:hint="eastAsia" w:ascii="宋体" w:hAnsi="宋体" w:cs="宋体"/>
          <w:color w:val="000000"/>
          <w:sz w:val="22"/>
          <w:szCs w:val="24"/>
        </w:rPr>
      </w:pPr>
      <w:r>
        <w:rPr>
          <w:rFonts w:hint="eastAsia" w:ascii="宋体" w:hAnsi="宋体" w:cs="宋体"/>
          <w:color w:val="000000"/>
          <w:sz w:val="22"/>
          <w:szCs w:val="24"/>
        </w:rPr>
        <w:t>3.2 第一个信封详细评审</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3.2.1 评标委员会按本章第 2.2 款规定的量化因素和分值进行打分，并计算出各投标人的商务和技术得分。</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（1）按本章第 2.2.4 项（1）目规定的评审因素和分值对技术建议书部分计算出得分 A；</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（2）按本章第 2.2.4 项（2）目规定的评审因素和分值对主要人员部分计算出得分 B；</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（3）按本章第 2.2.4 项（4）目规定的评审因素和分值对其他部分计算出得分 D。</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3.2.2 投标人的商务和技术得分分值计算保留小数点后两位，小数点后第三位“四舍五入”。</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3.2.3 投标人的商务和技术得分=A+B+D。</w:t>
      </w:r>
    </w:p>
    <w:p>
      <w:pPr>
        <w:spacing w:line="360" w:lineRule="auto"/>
        <w:rPr>
          <w:rFonts w:hint="eastAsia" w:ascii="宋体" w:hAnsi="宋体" w:cs="宋体"/>
          <w:color w:val="000000"/>
          <w:sz w:val="22"/>
          <w:szCs w:val="24"/>
        </w:rPr>
      </w:pPr>
      <w:r>
        <w:rPr>
          <w:rFonts w:hint="eastAsia" w:ascii="宋体" w:hAnsi="宋体" w:cs="宋体"/>
          <w:color w:val="000000"/>
          <w:sz w:val="22"/>
          <w:szCs w:val="24"/>
        </w:rPr>
        <w:t>3.3 第二个信封开标</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第一个信封（商务及技术文件）评审结束后，招标人将按照第二章“投标人须知”第 5.1 款规定的时间和地点对通过投标文件第一个信封（商务及技术文件）评审的投标文件第二个信封（报价文件）进行开标。</w:t>
      </w:r>
    </w:p>
    <w:p>
      <w:pPr>
        <w:spacing w:line="360" w:lineRule="auto"/>
        <w:rPr>
          <w:rFonts w:hint="eastAsia" w:ascii="宋体" w:hAnsi="宋体" w:cs="宋体"/>
          <w:color w:val="000000"/>
          <w:sz w:val="22"/>
          <w:szCs w:val="24"/>
        </w:rPr>
      </w:pPr>
      <w:r>
        <w:rPr>
          <w:rFonts w:hint="eastAsia" w:ascii="宋体" w:hAnsi="宋体" w:cs="宋体"/>
          <w:color w:val="000000"/>
          <w:sz w:val="22"/>
          <w:szCs w:val="24"/>
        </w:rPr>
        <w:t>3.4 第二个信封初步评审</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3.4.1 评标委员会依据本章第 2.1.1 项、第 2.1.3 项规定的评审标准对投标文件第二个信封（报价文件）进行初步评审。有一项不符合评审标准的，评标委员会应否决其投标。</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3.4.2 投标报价有算术错误的，评标委员会按以下原则对投标报价进行修正，修正的价格经投标人书面确认后具有约束力。投标人不接受修正价格的，评标委员会应否决其投标。</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（1）投标文件中的大写金额与小写金额不一致的，以大写金额为准；</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（2）总价金额与依据单价计算出的结果不一致的，以单价金额为准修正总价，但单价金额小数点有明显错误的除外；</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（3）当单价与数量相乘不等于合价时，以单价计算为准，如果单价有明显的小数点位置差错，应以标出的合价为准，同时对单价予以修正；</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（4）当各子目的合价累计不等于总价时，应以各子目合价累计数为准，修正总价。</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3.4.3 修正后的最终投标报价若超过最高投标限价（如有），评标委员会应否决其投标。</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3.4.4 修正后的最终投标报价仅作为签订合同的一个依据，不参与评标价得分的计算。</w:t>
      </w:r>
    </w:p>
    <w:p>
      <w:pPr>
        <w:spacing w:line="360" w:lineRule="auto"/>
        <w:rPr>
          <w:rFonts w:hint="eastAsia" w:ascii="宋体" w:hAnsi="宋体" w:cs="宋体"/>
          <w:color w:val="000000"/>
          <w:sz w:val="22"/>
          <w:szCs w:val="24"/>
        </w:rPr>
      </w:pPr>
      <w:r>
        <w:rPr>
          <w:rFonts w:hint="eastAsia" w:ascii="宋体" w:hAnsi="宋体" w:cs="宋体"/>
          <w:color w:val="000000"/>
          <w:sz w:val="22"/>
          <w:szCs w:val="24"/>
        </w:rPr>
        <w:t>3.5 第二个信封详细评审</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3.5.1 评标委员会按本章第 2.2.4 项（3）目规定的评审因素和分值对评标价计算出得分 C。评标价得分分值计算保留小数点后两位，小数点后第三位“四舍五入”。</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3.5.2 投标人综合得分=投标人的商务和技术得分+C。</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3.5.3 评标委员会发现投标人的报价明显低于其他投标报价，使得其投标报价可能低于其个别成本的，应要求该投标人作出书面说明并提供相应的证明材料。投标人不能合理说明或不能提供相应证明材料的，评标委员会应认定该投标人以低于成本报价竞标，并否决其投标。</w:t>
      </w:r>
    </w:p>
    <w:p>
      <w:pPr>
        <w:spacing w:line="360" w:lineRule="auto"/>
        <w:rPr>
          <w:rFonts w:hint="eastAsia" w:ascii="宋体" w:hAnsi="宋体" w:cs="宋体"/>
          <w:color w:val="000000"/>
          <w:sz w:val="22"/>
          <w:szCs w:val="24"/>
        </w:rPr>
      </w:pPr>
      <w:r>
        <w:rPr>
          <w:rFonts w:hint="eastAsia" w:ascii="宋体" w:hAnsi="宋体" w:cs="宋体"/>
          <w:color w:val="000000"/>
          <w:sz w:val="22"/>
          <w:szCs w:val="24"/>
        </w:rPr>
        <w:t>3.6 投标文件相关信息的核查</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3.6.1评标委员会应对在评标过程中发现的投标人与投标人之间、投标人与招标人之间存在的串通投标的情形进行评审和认定。投标人存在串通投标、弄虚作假、行贿等违法行为的，评标委员会应否决其投标。</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（1）有下列情形之一的，属于投标人相互串通投标：</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a.投标人之间协商投标报价等投标文件的实质性内容；</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b.投标人之间约定中标人；</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c.投标人之间约定部分投标人放弃投标或中标；</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d.属于同一集团、协会、商会等组织成员的投标人按照该组织要求协同投标；</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e.投标人之间为谋取中标或排斥特定投标人而采取的其他联合行动。</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（2）有下列情形之一的，视为投标人相互串通投标：</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a.不同投标人的投标文件由同一单位或个人编制；</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b.不同投标人委托同一单位或个人办理投标事宜；</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c.不同投标人的投标文件载明的项目管理成员为同一人；</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d.不同投标人的投标文件异常一致或投标报价呈规律性差异；</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e.不同投标人的投标文件相互混装；</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f.不同投标人的投标保证金从同一单位或个人的账户转出。</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g.广东省实施《中华人民共和国招标投标法》办法第十六条规定的情形。</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（3）有下列情形之一的，属于招标人与投标人串通投标：</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a.招标人在开标前开启投标文件并将有关信息泄露给其他投标人;</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b.招标人直接或间接向投标人泄露标底、评标委员会成员等信息；</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c.招标人明示或暗示投标人压低或抬高投标报价；</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d.招标人授意投标人撤换、修改投标文件；</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e.招标人明示或暗示投标人为特定投标人中标提供方便；</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f.招标人与投标人为谋求特定投标人中标而采取的其他串通行为。</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（4）投标人有下列情形之一的，属于弄虚作假的行为：</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a.使用通过受让或租借等方式获取的资格、资质证书投标；</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b.使用伪造、变造的许可证件；</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c.提供虚假的财务状况或业绩；</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d.提供虚假的项目负责人或主要技术人员简历、劳动关系证明；</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e.提供虚假的信用状况；</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f.其他弄虚作假的行为。</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3.6.3 依法必须进行招标的项目，除第一中标候选人或者中标人，其他投标人存在串通投标、弄虚作假、行贿情形且在评标过程中未被发现的，视为对中标结果没有造成实质性影响，招标人可以依法继续开展招标活动。投标人的违法行为由行政监督部门依法处理。</w:t>
      </w:r>
    </w:p>
    <w:p>
      <w:pPr>
        <w:spacing w:line="360" w:lineRule="auto"/>
        <w:rPr>
          <w:rFonts w:hint="eastAsia" w:ascii="宋体" w:hAnsi="宋体" w:cs="宋体"/>
          <w:color w:val="000000"/>
          <w:sz w:val="22"/>
          <w:szCs w:val="24"/>
        </w:rPr>
      </w:pPr>
      <w:r>
        <w:rPr>
          <w:rFonts w:hint="eastAsia" w:ascii="宋体" w:hAnsi="宋体" w:cs="宋体"/>
          <w:color w:val="000000"/>
          <w:sz w:val="22"/>
          <w:szCs w:val="24"/>
        </w:rPr>
        <w:t>3.7 投标文件的澄清和说明</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3.7.1 在评标过程中，评标委员会可以书面形式要求投标人对投标文件中含义不明确的内容、明显文字或计算错误进行书面澄清或说明。评标委员会不接受投标人主动提出的澄清、说明。投标人不按评标委员会要求澄清或说明的，评标委员会应否决其投标。</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3.7.2 澄清和说明不得超出投标文件的范围或改变投标文件的实质性内容（算术性错误的修正除外）。投标人的书面澄清、说明属于投标文件的组成部分。</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3.7.3 评标委员会不得暗示或诱导投标人作出澄清、说明，对投标人提交的澄清、说明有疑问的，可以要求投标人进一步澄清或说明，直至满足评标委员会的要求。</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3.7.4 凡超出招标文件规定的或给委托人带来未曾要求的利益的变化、偏差或其他因素在评标时不予考虑。</w:t>
      </w:r>
    </w:p>
    <w:p>
      <w:pPr>
        <w:spacing w:line="360" w:lineRule="auto"/>
        <w:rPr>
          <w:rFonts w:hint="eastAsia" w:ascii="宋体" w:hAnsi="宋体" w:cs="宋体"/>
          <w:color w:val="000000"/>
          <w:sz w:val="22"/>
          <w:szCs w:val="24"/>
        </w:rPr>
      </w:pPr>
      <w:r>
        <w:rPr>
          <w:rFonts w:hint="eastAsia" w:ascii="宋体" w:hAnsi="宋体" w:cs="宋体"/>
          <w:color w:val="000000"/>
          <w:sz w:val="22"/>
          <w:szCs w:val="24"/>
        </w:rPr>
        <w:t>3.8 不得否决投标的情形</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投标文件存在第二章“投标人须知”第 1.12.3 项所列情形的，均视为细微偏差，评标委员会不得否决投标人的投标，应按照第二章“投标人须知”第 1.12.4 项规定的原则处理。</w:t>
      </w:r>
    </w:p>
    <w:p>
      <w:pPr>
        <w:spacing w:line="360" w:lineRule="auto"/>
        <w:rPr>
          <w:rFonts w:hint="eastAsia" w:ascii="宋体" w:hAnsi="宋体" w:cs="宋体"/>
          <w:color w:val="000000"/>
          <w:sz w:val="22"/>
          <w:szCs w:val="24"/>
        </w:rPr>
      </w:pPr>
      <w:r>
        <w:rPr>
          <w:rFonts w:hint="eastAsia" w:ascii="宋体" w:hAnsi="宋体" w:cs="宋体"/>
          <w:color w:val="000000"/>
          <w:sz w:val="22"/>
          <w:szCs w:val="24"/>
        </w:rPr>
        <w:t>3.9 评标结果</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3.9.1 除第二章“投标人须知”前附表授权直接确定中标人外，评标委员会按照得分由高到低的顺序推荐中标候选人，并标明排序。</w:t>
      </w:r>
    </w:p>
    <w:p>
      <w:r>
        <w:rPr>
          <w:rFonts w:hint="eastAsia" w:ascii="宋体" w:hAnsi="宋体" w:cs="宋体"/>
          <w:color w:val="000000"/>
          <w:sz w:val="22"/>
          <w:szCs w:val="24"/>
        </w:rPr>
        <w:t>3.9.2 评标委员会完成评标后，应向招标人提交书面评标报告。</w:t>
      </w:r>
      <w:bookmarkStart w:id="1" w:name="_GoBack"/>
      <w:bookmarkEnd w:id="1"/>
    </w:p>
    <w:sectPr>
      <w:headerReference r:id="rId3" w:type="default"/>
      <w:footerReference r:id="rId4" w:type="default"/>
      <w:pgSz w:w="11901" w:h="16838"/>
      <w:pgMar w:top="1418" w:right="1418" w:bottom="1134" w:left="1418" w:header="850" w:footer="99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MingLiU">
    <w:altName w:val="PMingLiU-ExtB"/>
    <w:panose1 w:val="02010609000101010101"/>
    <w:charset w:val="88"/>
    <w:family w:val="modern"/>
    <w:pitch w:val="default"/>
    <w:sig w:usb0="00000000" w:usb1="00000000" w:usb2="00000016" w:usb3="00000000" w:csb0="00100001" w:csb1="00000000"/>
  </w:font>
  <w:font w:name="MingLiU_HKSCS">
    <w:altName w:val="PMingLiU-ExtB"/>
    <w:panose1 w:val="00000000000000000000"/>
    <w:charset w:val="88"/>
    <w:family w:val="roman"/>
    <w:pitch w:val="default"/>
    <w:sig w:usb0="00000000" w:usb1="00000000" w:usb2="00000016" w:usb3="00000000" w:csb0="00100001" w:csb1="00000000"/>
  </w:font>
  <w:font w:name="黑体t.祯畴">
    <w:altName w:val="黑体"/>
    <w:panose1 w:val="00000000000000000000"/>
    <w:charset w:val="86"/>
    <w:family w:val="swiss"/>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00" w:lineRule="exact"/>
      <w:jc w:val="center"/>
      <w:rPr>
        <w:rFonts w:ascii="微软雅黑" w:hAnsi="微软雅黑"/>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285115" cy="195580"/>
              <wp:effectExtent l="0" t="0" r="0" b="0"/>
              <wp:wrapNone/>
              <wp:docPr id="2" name="文本框 2"/>
              <wp:cNvGraphicFramePr/>
              <a:graphic xmlns:a="http://schemas.openxmlformats.org/drawingml/2006/main">
                <a:graphicData uri="http://schemas.microsoft.com/office/word/2010/wordprocessingShape">
                  <wps:wsp>
                    <wps:cNvSpPr txBox="1"/>
                    <wps:spPr>
                      <a:xfrm>
                        <a:off x="0" y="0"/>
                        <a:ext cx="285115" cy="195580"/>
                      </a:xfrm>
                      <a:prstGeom prst="rect">
                        <a:avLst/>
                      </a:prstGeom>
                      <a:noFill/>
                      <a:ln w="15875">
                        <a:noFill/>
                      </a:ln>
                    </wps:spPr>
                    <wps:txbx>
                      <w:txbxContent>
                        <w:p>
                          <w:pPr>
                            <w:pStyle w:val="11"/>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lIns="0" tIns="0" rIns="0" bIns="0"/>
                  </wps:wsp>
                </a:graphicData>
              </a:graphic>
            </wp:anchor>
          </w:drawing>
        </mc:Choice>
        <mc:Fallback>
          <w:pict>
            <v:shape id="_x0000_s1026" o:spid="_x0000_s1026" o:spt="202" type="#_x0000_t202" style="position:absolute;left:0pt;margin-top:0pt;height:15.4pt;width:22.45pt;mso-position-horizontal:center;mso-position-horizontal-relative:margin;z-index:251659264;mso-width-relative:page;mso-height-relative:page;" filled="f" stroked="f" coordsize="21600,21600" o:gfxdata="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NfReW1AAAAAMBAAAPAAAAAAAAAAEAIAAAACIAAABkcnMvZG93bnJldi54bWxQSwECFAAU&#10;AAAACACHTuJAfSM/KLwBAABvAwAADgAAAAAAAAABACAAAAAjAQAAZHJzL2Uyb0RvYy54bWxQSwUG&#10;AAAAAAYABgBZAQAAUQUAAAAA&#10;">
              <v:fill on="f" focussize="0,0"/>
              <v:stroke on="f" weight="1.25pt"/>
              <v:imagedata o:title=""/>
              <o:lock v:ext="edit" aspectratio="f"/>
              <v:textbox inset="0mm,0mm,0mm,0mm">
                <w:txbxContent>
                  <w:p>
                    <w:pPr>
                      <w:pStyle w:val="11"/>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cs="Calibr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hideSpellingError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VkNWI5ZjhhZjQ1ZjNkZjQ1NzNkYmZhYWI4NTc4NDYifQ=="/>
  </w:docVars>
  <w:rsids>
    <w:rsidRoot w:val="00E9371E"/>
    <w:rsid w:val="000040BD"/>
    <w:rsid w:val="0002590A"/>
    <w:rsid w:val="00037023"/>
    <w:rsid w:val="00053B79"/>
    <w:rsid w:val="00064637"/>
    <w:rsid w:val="00077D32"/>
    <w:rsid w:val="000907D9"/>
    <w:rsid w:val="0009462C"/>
    <w:rsid w:val="000950BB"/>
    <w:rsid w:val="000B3D06"/>
    <w:rsid w:val="000C1FF9"/>
    <w:rsid w:val="000C46C5"/>
    <w:rsid w:val="000D7E7B"/>
    <w:rsid w:val="00101176"/>
    <w:rsid w:val="00127198"/>
    <w:rsid w:val="00140558"/>
    <w:rsid w:val="00142230"/>
    <w:rsid w:val="00154A9E"/>
    <w:rsid w:val="00187B5D"/>
    <w:rsid w:val="001D02A2"/>
    <w:rsid w:val="0022383D"/>
    <w:rsid w:val="00226F4B"/>
    <w:rsid w:val="00227FF5"/>
    <w:rsid w:val="00240661"/>
    <w:rsid w:val="00250EFE"/>
    <w:rsid w:val="00275C80"/>
    <w:rsid w:val="00276931"/>
    <w:rsid w:val="0028190A"/>
    <w:rsid w:val="002921D6"/>
    <w:rsid w:val="002947A7"/>
    <w:rsid w:val="002B6923"/>
    <w:rsid w:val="002D2E89"/>
    <w:rsid w:val="002D35D3"/>
    <w:rsid w:val="002D366E"/>
    <w:rsid w:val="002F532C"/>
    <w:rsid w:val="00301EE5"/>
    <w:rsid w:val="00310F8E"/>
    <w:rsid w:val="003219B2"/>
    <w:rsid w:val="00330C98"/>
    <w:rsid w:val="0034196C"/>
    <w:rsid w:val="00350671"/>
    <w:rsid w:val="00353291"/>
    <w:rsid w:val="00382DF3"/>
    <w:rsid w:val="003B7529"/>
    <w:rsid w:val="003C1563"/>
    <w:rsid w:val="003D4D08"/>
    <w:rsid w:val="004122B5"/>
    <w:rsid w:val="00425E73"/>
    <w:rsid w:val="00433BB3"/>
    <w:rsid w:val="00437111"/>
    <w:rsid w:val="00442DBD"/>
    <w:rsid w:val="004463F1"/>
    <w:rsid w:val="00466483"/>
    <w:rsid w:val="004A4CF4"/>
    <w:rsid w:val="004B4B71"/>
    <w:rsid w:val="004B77AF"/>
    <w:rsid w:val="004C7587"/>
    <w:rsid w:val="00513B4B"/>
    <w:rsid w:val="005775E1"/>
    <w:rsid w:val="005B1A79"/>
    <w:rsid w:val="005C274A"/>
    <w:rsid w:val="005D2586"/>
    <w:rsid w:val="005D66CF"/>
    <w:rsid w:val="005E473F"/>
    <w:rsid w:val="005E5CA2"/>
    <w:rsid w:val="005E73A9"/>
    <w:rsid w:val="005F72BE"/>
    <w:rsid w:val="0060509F"/>
    <w:rsid w:val="00612345"/>
    <w:rsid w:val="00624450"/>
    <w:rsid w:val="00651459"/>
    <w:rsid w:val="00664860"/>
    <w:rsid w:val="006719AC"/>
    <w:rsid w:val="00676FDD"/>
    <w:rsid w:val="006874E1"/>
    <w:rsid w:val="006A2543"/>
    <w:rsid w:val="006A5180"/>
    <w:rsid w:val="006E61D4"/>
    <w:rsid w:val="00717479"/>
    <w:rsid w:val="00725DDF"/>
    <w:rsid w:val="007267BC"/>
    <w:rsid w:val="007277CC"/>
    <w:rsid w:val="00732078"/>
    <w:rsid w:val="00744E6C"/>
    <w:rsid w:val="0075318D"/>
    <w:rsid w:val="00761F48"/>
    <w:rsid w:val="00787BB8"/>
    <w:rsid w:val="007C35A6"/>
    <w:rsid w:val="007C4CBB"/>
    <w:rsid w:val="007C7A24"/>
    <w:rsid w:val="007D5973"/>
    <w:rsid w:val="007E512C"/>
    <w:rsid w:val="007F4506"/>
    <w:rsid w:val="00821BEC"/>
    <w:rsid w:val="00854F3F"/>
    <w:rsid w:val="008624FF"/>
    <w:rsid w:val="00865D1A"/>
    <w:rsid w:val="008811BF"/>
    <w:rsid w:val="008B39F5"/>
    <w:rsid w:val="008B5614"/>
    <w:rsid w:val="008C6C8E"/>
    <w:rsid w:val="008E6B3D"/>
    <w:rsid w:val="008F32E1"/>
    <w:rsid w:val="00900035"/>
    <w:rsid w:val="00915E6A"/>
    <w:rsid w:val="00951A38"/>
    <w:rsid w:val="0096296B"/>
    <w:rsid w:val="00970005"/>
    <w:rsid w:val="00970042"/>
    <w:rsid w:val="00973369"/>
    <w:rsid w:val="0098526C"/>
    <w:rsid w:val="009853C0"/>
    <w:rsid w:val="00986F9D"/>
    <w:rsid w:val="009A5166"/>
    <w:rsid w:val="009D0248"/>
    <w:rsid w:val="009D4255"/>
    <w:rsid w:val="009D61B4"/>
    <w:rsid w:val="009F0634"/>
    <w:rsid w:val="009F525A"/>
    <w:rsid w:val="00A10010"/>
    <w:rsid w:val="00A2156E"/>
    <w:rsid w:val="00A21779"/>
    <w:rsid w:val="00A37102"/>
    <w:rsid w:val="00A432B3"/>
    <w:rsid w:val="00A52757"/>
    <w:rsid w:val="00A74A7B"/>
    <w:rsid w:val="00A77861"/>
    <w:rsid w:val="00A90A40"/>
    <w:rsid w:val="00AB356C"/>
    <w:rsid w:val="00AC619E"/>
    <w:rsid w:val="00AD629B"/>
    <w:rsid w:val="00AE784A"/>
    <w:rsid w:val="00AF0D37"/>
    <w:rsid w:val="00B01D59"/>
    <w:rsid w:val="00B5189B"/>
    <w:rsid w:val="00B56E5A"/>
    <w:rsid w:val="00B76A35"/>
    <w:rsid w:val="00BA126E"/>
    <w:rsid w:val="00BA5160"/>
    <w:rsid w:val="00BA6E33"/>
    <w:rsid w:val="00BB4F1E"/>
    <w:rsid w:val="00BE72FF"/>
    <w:rsid w:val="00C3230F"/>
    <w:rsid w:val="00C47D62"/>
    <w:rsid w:val="00C73080"/>
    <w:rsid w:val="00C81E9A"/>
    <w:rsid w:val="00C95AA5"/>
    <w:rsid w:val="00CA2DB3"/>
    <w:rsid w:val="00CB77AE"/>
    <w:rsid w:val="00D01E1F"/>
    <w:rsid w:val="00DB62ED"/>
    <w:rsid w:val="00E31A2C"/>
    <w:rsid w:val="00E32BC9"/>
    <w:rsid w:val="00E40123"/>
    <w:rsid w:val="00E46C53"/>
    <w:rsid w:val="00E46E20"/>
    <w:rsid w:val="00E80DC0"/>
    <w:rsid w:val="00E87733"/>
    <w:rsid w:val="00E92F05"/>
    <w:rsid w:val="00E92FAF"/>
    <w:rsid w:val="00E9371E"/>
    <w:rsid w:val="00E95677"/>
    <w:rsid w:val="00EA5E9A"/>
    <w:rsid w:val="00EB0EB7"/>
    <w:rsid w:val="00EB17F4"/>
    <w:rsid w:val="00ED35A6"/>
    <w:rsid w:val="00EE3D36"/>
    <w:rsid w:val="00EF6C82"/>
    <w:rsid w:val="00F1554D"/>
    <w:rsid w:val="00F264A0"/>
    <w:rsid w:val="00F277D0"/>
    <w:rsid w:val="00F43AD3"/>
    <w:rsid w:val="00F54BC5"/>
    <w:rsid w:val="00F62D43"/>
    <w:rsid w:val="00F6504D"/>
    <w:rsid w:val="00F71C38"/>
    <w:rsid w:val="00F72405"/>
    <w:rsid w:val="00F75F11"/>
    <w:rsid w:val="00F802FD"/>
    <w:rsid w:val="00F806C4"/>
    <w:rsid w:val="00F94C7A"/>
    <w:rsid w:val="00F96093"/>
    <w:rsid w:val="00FD16DE"/>
    <w:rsid w:val="012932EB"/>
    <w:rsid w:val="0134755F"/>
    <w:rsid w:val="015F2E01"/>
    <w:rsid w:val="0183453D"/>
    <w:rsid w:val="018F4C12"/>
    <w:rsid w:val="019E4ED3"/>
    <w:rsid w:val="01B2077D"/>
    <w:rsid w:val="01BE4DA9"/>
    <w:rsid w:val="01BF1294"/>
    <w:rsid w:val="01CF7E1B"/>
    <w:rsid w:val="01D703AB"/>
    <w:rsid w:val="01DB6127"/>
    <w:rsid w:val="01DF5C17"/>
    <w:rsid w:val="01E84DD2"/>
    <w:rsid w:val="01FC03B8"/>
    <w:rsid w:val="01FF4D3D"/>
    <w:rsid w:val="020B6834"/>
    <w:rsid w:val="022C6E9B"/>
    <w:rsid w:val="02346988"/>
    <w:rsid w:val="02377801"/>
    <w:rsid w:val="02385767"/>
    <w:rsid w:val="02502038"/>
    <w:rsid w:val="025103CB"/>
    <w:rsid w:val="02775E4F"/>
    <w:rsid w:val="02881E0B"/>
    <w:rsid w:val="02922C89"/>
    <w:rsid w:val="02B20C36"/>
    <w:rsid w:val="02B63A95"/>
    <w:rsid w:val="02C44E0D"/>
    <w:rsid w:val="02CD309D"/>
    <w:rsid w:val="02DB56B4"/>
    <w:rsid w:val="02DC3F04"/>
    <w:rsid w:val="030E7E36"/>
    <w:rsid w:val="0320206D"/>
    <w:rsid w:val="03265180"/>
    <w:rsid w:val="03276F1F"/>
    <w:rsid w:val="032B6C3A"/>
    <w:rsid w:val="03353615"/>
    <w:rsid w:val="03463A74"/>
    <w:rsid w:val="035D4EAA"/>
    <w:rsid w:val="0362415B"/>
    <w:rsid w:val="03646718"/>
    <w:rsid w:val="03661A20"/>
    <w:rsid w:val="036D7252"/>
    <w:rsid w:val="037E2237"/>
    <w:rsid w:val="038F71C9"/>
    <w:rsid w:val="03A04F32"/>
    <w:rsid w:val="03AD58A1"/>
    <w:rsid w:val="03B15391"/>
    <w:rsid w:val="03B41CD7"/>
    <w:rsid w:val="03BC0A04"/>
    <w:rsid w:val="03BD5772"/>
    <w:rsid w:val="03C36E72"/>
    <w:rsid w:val="03E77005"/>
    <w:rsid w:val="03E80687"/>
    <w:rsid w:val="03EC079D"/>
    <w:rsid w:val="03FC5F2A"/>
    <w:rsid w:val="040335BB"/>
    <w:rsid w:val="04073203"/>
    <w:rsid w:val="040C25C7"/>
    <w:rsid w:val="04136253"/>
    <w:rsid w:val="041D6583"/>
    <w:rsid w:val="042F4508"/>
    <w:rsid w:val="04363AE8"/>
    <w:rsid w:val="043760A5"/>
    <w:rsid w:val="045621C5"/>
    <w:rsid w:val="046C4ECF"/>
    <w:rsid w:val="0473673D"/>
    <w:rsid w:val="047B14FB"/>
    <w:rsid w:val="04963FC8"/>
    <w:rsid w:val="049802FF"/>
    <w:rsid w:val="04B0389B"/>
    <w:rsid w:val="04BB73B4"/>
    <w:rsid w:val="04BC3FEE"/>
    <w:rsid w:val="04C9670A"/>
    <w:rsid w:val="05085485"/>
    <w:rsid w:val="05235E1B"/>
    <w:rsid w:val="05264766"/>
    <w:rsid w:val="054A1C93"/>
    <w:rsid w:val="05500BDA"/>
    <w:rsid w:val="05527564"/>
    <w:rsid w:val="05557F9E"/>
    <w:rsid w:val="05600182"/>
    <w:rsid w:val="05634469"/>
    <w:rsid w:val="056D52E8"/>
    <w:rsid w:val="058D1EA6"/>
    <w:rsid w:val="05AB1859"/>
    <w:rsid w:val="05B2497E"/>
    <w:rsid w:val="05CB200E"/>
    <w:rsid w:val="05D15D91"/>
    <w:rsid w:val="05E502B2"/>
    <w:rsid w:val="05EF315A"/>
    <w:rsid w:val="061B4CE2"/>
    <w:rsid w:val="06255E8C"/>
    <w:rsid w:val="06316315"/>
    <w:rsid w:val="06336A6E"/>
    <w:rsid w:val="0636392C"/>
    <w:rsid w:val="0654588B"/>
    <w:rsid w:val="06654211"/>
    <w:rsid w:val="06A53383"/>
    <w:rsid w:val="06B17456"/>
    <w:rsid w:val="06D123C6"/>
    <w:rsid w:val="06D3561E"/>
    <w:rsid w:val="06DA4A0D"/>
    <w:rsid w:val="06E20753"/>
    <w:rsid w:val="07010C1A"/>
    <w:rsid w:val="07023F74"/>
    <w:rsid w:val="073E4E79"/>
    <w:rsid w:val="074A2961"/>
    <w:rsid w:val="07594DD3"/>
    <w:rsid w:val="07796682"/>
    <w:rsid w:val="07837045"/>
    <w:rsid w:val="0795649F"/>
    <w:rsid w:val="07A50D69"/>
    <w:rsid w:val="07AD6D60"/>
    <w:rsid w:val="07C5765D"/>
    <w:rsid w:val="07CB6D56"/>
    <w:rsid w:val="07D75CBB"/>
    <w:rsid w:val="07D94EB6"/>
    <w:rsid w:val="07F77A80"/>
    <w:rsid w:val="07F92B3A"/>
    <w:rsid w:val="07FB67F7"/>
    <w:rsid w:val="08144141"/>
    <w:rsid w:val="08161C67"/>
    <w:rsid w:val="08207405"/>
    <w:rsid w:val="08266B60"/>
    <w:rsid w:val="082E31F3"/>
    <w:rsid w:val="0837398B"/>
    <w:rsid w:val="084C38DA"/>
    <w:rsid w:val="08512C9F"/>
    <w:rsid w:val="08591B53"/>
    <w:rsid w:val="08680C58"/>
    <w:rsid w:val="087150EF"/>
    <w:rsid w:val="087C316B"/>
    <w:rsid w:val="08815F59"/>
    <w:rsid w:val="0888740E"/>
    <w:rsid w:val="088F4004"/>
    <w:rsid w:val="08A47272"/>
    <w:rsid w:val="08C51502"/>
    <w:rsid w:val="08F0070A"/>
    <w:rsid w:val="08FD1B2B"/>
    <w:rsid w:val="08FD2E27"/>
    <w:rsid w:val="08FD4BD5"/>
    <w:rsid w:val="09175198"/>
    <w:rsid w:val="092C3463"/>
    <w:rsid w:val="09347A0A"/>
    <w:rsid w:val="093F0D49"/>
    <w:rsid w:val="094B3B92"/>
    <w:rsid w:val="094F65B3"/>
    <w:rsid w:val="0957472D"/>
    <w:rsid w:val="095F6E80"/>
    <w:rsid w:val="09622C8A"/>
    <w:rsid w:val="0969226A"/>
    <w:rsid w:val="096D1D5A"/>
    <w:rsid w:val="09831C8A"/>
    <w:rsid w:val="099217C1"/>
    <w:rsid w:val="09C556F2"/>
    <w:rsid w:val="09D70571"/>
    <w:rsid w:val="09EA0DEB"/>
    <w:rsid w:val="0A0D3A79"/>
    <w:rsid w:val="0A2368BD"/>
    <w:rsid w:val="0A2F5262"/>
    <w:rsid w:val="0A504E9E"/>
    <w:rsid w:val="0A5711E0"/>
    <w:rsid w:val="0A5C592B"/>
    <w:rsid w:val="0A652BC2"/>
    <w:rsid w:val="0A80786B"/>
    <w:rsid w:val="0A8774E4"/>
    <w:rsid w:val="0AA572D2"/>
    <w:rsid w:val="0AB94B2B"/>
    <w:rsid w:val="0AC26A79"/>
    <w:rsid w:val="0AD552DB"/>
    <w:rsid w:val="0AEC7FF8"/>
    <w:rsid w:val="0AF3628F"/>
    <w:rsid w:val="0AF81D2E"/>
    <w:rsid w:val="0AFC1786"/>
    <w:rsid w:val="0B106A7D"/>
    <w:rsid w:val="0B135418"/>
    <w:rsid w:val="0B3532C7"/>
    <w:rsid w:val="0B3866B7"/>
    <w:rsid w:val="0B4D6210"/>
    <w:rsid w:val="0B5C3E34"/>
    <w:rsid w:val="0B6006A5"/>
    <w:rsid w:val="0B6A1FFD"/>
    <w:rsid w:val="0B8D66E4"/>
    <w:rsid w:val="0B980BE5"/>
    <w:rsid w:val="0BBC48D3"/>
    <w:rsid w:val="0BBF1C25"/>
    <w:rsid w:val="0BC32E46"/>
    <w:rsid w:val="0BDA2FAB"/>
    <w:rsid w:val="0BDC4F75"/>
    <w:rsid w:val="0BE52FAF"/>
    <w:rsid w:val="0BF127E9"/>
    <w:rsid w:val="0BF80CC5"/>
    <w:rsid w:val="0C1E0947"/>
    <w:rsid w:val="0C361DE5"/>
    <w:rsid w:val="0C404922"/>
    <w:rsid w:val="0C430B50"/>
    <w:rsid w:val="0C5600D7"/>
    <w:rsid w:val="0C591439"/>
    <w:rsid w:val="0C64167F"/>
    <w:rsid w:val="0C7B653C"/>
    <w:rsid w:val="0C8F1FE8"/>
    <w:rsid w:val="0C937D2A"/>
    <w:rsid w:val="0CCA0A89"/>
    <w:rsid w:val="0CCA3020"/>
    <w:rsid w:val="0CE07235"/>
    <w:rsid w:val="0CE10BC9"/>
    <w:rsid w:val="0CEF0CD8"/>
    <w:rsid w:val="0CF62067"/>
    <w:rsid w:val="0CFC291C"/>
    <w:rsid w:val="0CFD51A3"/>
    <w:rsid w:val="0D29057F"/>
    <w:rsid w:val="0D607DC0"/>
    <w:rsid w:val="0D852D97"/>
    <w:rsid w:val="0D864317"/>
    <w:rsid w:val="0D8B0A01"/>
    <w:rsid w:val="0D8D29CB"/>
    <w:rsid w:val="0D9B3985"/>
    <w:rsid w:val="0DA45021"/>
    <w:rsid w:val="0DA81D1E"/>
    <w:rsid w:val="0DA90E87"/>
    <w:rsid w:val="0DAA09C6"/>
    <w:rsid w:val="0DAC22ED"/>
    <w:rsid w:val="0DB52802"/>
    <w:rsid w:val="0DC12235"/>
    <w:rsid w:val="0DC857B1"/>
    <w:rsid w:val="0DC9777B"/>
    <w:rsid w:val="0DCA2C26"/>
    <w:rsid w:val="0DD26323"/>
    <w:rsid w:val="0DD9641B"/>
    <w:rsid w:val="0DF50322"/>
    <w:rsid w:val="0E2A021A"/>
    <w:rsid w:val="0E302325"/>
    <w:rsid w:val="0E326BA2"/>
    <w:rsid w:val="0E3D4D49"/>
    <w:rsid w:val="0E476A61"/>
    <w:rsid w:val="0E545297"/>
    <w:rsid w:val="0E5815BF"/>
    <w:rsid w:val="0E6361CE"/>
    <w:rsid w:val="0E6A2D0C"/>
    <w:rsid w:val="0E8536A2"/>
    <w:rsid w:val="0E8C2C83"/>
    <w:rsid w:val="0E9D6C3E"/>
    <w:rsid w:val="0E9E29B6"/>
    <w:rsid w:val="0EB307AE"/>
    <w:rsid w:val="0EB61AAE"/>
    <w:rsid w:val="0EE03885"/>
    <w:rsid w:val="0EE20AF5"/>
    <w:rsid w:val="0F114F36"/>
    <w:rsid w:val="0F2F3934"/>
    <w:rsid w:val="0F2F7063"/>
    <w:rsid w:val="0F312C7C"/>
    <w:rsid w:val="0F340C24"/>
    <w:rsid w:val="0F3835E7"/>
    <w:rsid w:val="0F4F5908"/>
    <w:rsid w:val="0F531B2E"/>
    <w:rsid w:val="0F7A0D2D"/>
    <w:rsid w:val="0F7E08B8"/>
    <w:rsid w:val="0FC8099D"/>
    <w:rsid w:val="0FCE0971"/>
    <w:rsid w:val="0FDE23D0"/>
    <w:rsid w:val="10084E01"/>
    <w:rsid w:val="100B407B"/>
    <w:rsid w:val="10125409"/>
    <w:rsid w:val="10280789"/>
    <w:rsid w:val="1029043F"/>
    <w:rsid w:val="103435D2"/>
    <w:rsid w:val="10384174"/>
    <w:rsid w:val="103A5C8E"/>
    <w:rsid w:val="104F6810"/>
    <w:rsid w:val="10532E05"/>
    <w:rsid w:val="10560578"/>
    <w:rsid w:val="105E23FD"/>
    <w:rsid w:val="106F0166"/>
    <w:rsid w:val="1073668B"/>
    <w:rsid w:val="1084098E"/>
    <w:rsid w:val="10973B61"/>
    <w:rsid w:val="10C304B2"/>
    <w:rsid w:val="10CF6E57"/>
    <w:rsid w:val="10D0497D"/>
    <w:rsid w:val="10DA7887"/>
    <w:rsid w:val="10E723F2"/>
    <w:rsid w:val="10F70556"/>
    <w:rsid w:val="110A0E7A"/>
    <w:rsid w:val="111753C0"/>
    <w:rsid w:val="11290C5D"/>
    <w:rsid w:val="11335637"/>
    <w:rsid w:val="11567B18"/>
    <w:rsid w:val="11625934"/>
    <w:rsid w:val="116B3023"/>
    <w:rsid w:val="11835FE2"/>
    <w:rsid w:val="11994D85"/>
    <w:rsid w:val="119B6578"/>
    <w:rsid w:val="11C75D80"/>
    <w:rsid w:val="11D87F8D"/>
    <w:rsid w:val="11E538F1"/>
    <w:rsid w:val="11EA319D"/>
    <w:rsid w:val="11EC1851"/>
    <w:rsid w:val="11F0700F"/>
    <w:rsid w:val="11FC011F"/>
    <w:rsid w:val="120C3CBD"/>
    <w:rsid w:val="121D4375"/>
    <w:rsid w:val="12336561"/>
    <w:rsid w:val="123478B9"/>
    <w:rsid w:val="12394ECF"/>
    <w:rsid w:val="12437230"/>
    <w:rsid w:val="12503FC7"/>
    <w:rsid w:val="12510DA2"/>
    <w:rsid w:val="12562D9C"/>
    <w:rsid w:val="12565EFB"/>
    <w:rsid w:val="126857B5"/>
    <w:rsid w:val="12696E37"/>
    <w:rsid w:val="12AA1929"/>
    <w:rsid w:val="12AB744F"/>
    <w:rsid w:val="12B5207C"/>
    <w:rsid w:val="12BA4BDF"/>
    <w:rsid w:val="12BB7B87"/>
    <w:rsid w:val="12CD386A"/>
    <w:rsid w:val="12DD6110"/>
    <w:rsid w:val="12F10232"/>
    <w:rsid w:val="12F56162"/>
    <w:rsid w:val="13046443"/>
    <w:rsid w:val="131075E5"/>
    <w:rsid w:val="13223ECA"/>
    <w:rsid w:val="133E642D"/>
    <w:rsid w:val="134D1487"/>
    <w:rsid w:val="134E37C3"/>
    <w:rsid w:val="1351449B"/>
    <w:rsid w:val="13637D2A"/>
    <w:rsid w:val="136F66CF"/>
    <w:rsid w:val="13C24080"/>
    <w:rsid w:val="13EC5B14"/>
    <w:rsid w:val="13F13588"/>
    <w:rsid w:val="13F76DF0"/>
    <w:rsid w:val="140D3E2B"/>
    <w:rsid w:val="140D728C"/>
    <w:rsid w:val="141C7064"/>
    <w:rsid w:val="142A7EF5"/>
    <w:rsid w:val="147723EC"/>
    <w:rsid w:val="14887D3A"/>
    <w:rsid w:val="14A44572"/>
    <w:rsid w:val="14C111AC"/>
    <w:rsid w:val="14CA7EE9"/>
    <w:rsid w:val="14FA32EB"/>
    <w:rsid w:val="14FC0982"/>
    <w:rsid w:val="150F1F18"/>
    <w:rsid w:val="150F3093"/>
    <w:rsid w:val="151614F8"/>
    <w:rsid w:val="15676DB7"/>
    <w:rsid w:val="15760409"/>
    <w:rsid w:val="157A300D"/>
    <w:rsid w:val="158B784A"/>
    <w:rsid w:val="15A00DC2"/>
    <w:rsid w:val="15BA3249"/>
    <w:rsid w:val="15C50828"/>
    <w:rsid w:val="15EC4007"/>
    <w:rsid w:val="15F27940"/>
    <w:rsid w:val="160E6673"/>
    <w:rsid w:val="161947F9"/>
    <w:rsid w:val="162E680B"/>
    <w:rsid w:val="163065E9"/>
    <w:rsid w:val="16346F4D"/>
    <w:rsid w:val="164125A5"/>
    <w:rsid w:val="16414353"/>
    <w:rsid w:val="16654FFF"/>
    <w:rsid w:val="166F5FB6"/>
    <w:rsid w:val="16783F76"/>
    <w:rsid w:val="167A7A65"/>
    <w:rsid w:val="168356FE"/>
    <w:rsid w:val="168B10C2"/>
    <w:rsid w:val="1695644C"/>
    <w:rsid w:val="16A060D8"/>
    <w:rsid w:val="16A20B69"/>
    <w:rsid w:val="16A74423"/>
    <w:rsid w:val="16B014D8"/>
    <w:rsid w:val="16B12EF1"/>
    <w:rsid w:val="16C64858"/>
    <w:rsid w:val="16CA259A"/>
    <w:rsid w:val="16FF535B"/>
    <w:rsid w:val="170020D5"/>
    <w:rsid w:val="170512F9"/>
    <w:rsid w:val="172F68A1"/>
    <w:rsid w:val="17326391"/>
    <w:rsid w:val="17397720"/>
    <w:rsid w:val="175D7112"/>
    <w:rsid w:val="17667DE9"/>
    <w:rsid w:val="177079C6"/>
    <w:rsid w:val="17822E75"/>
    <w:rsid w:val="178564C1"/>
    <w:rsid w:val="17966920"/>
    <w:rsid w:val="17991C3C"/>
    <w:rsid w:val="17A96653"/>
    <w:rsid w:val="17AE310C"/>
    <w:rsid w:val="17C25FFF"/>
    <w:rsid w:val="17DB1D81"/>
    <w:rsid w:val="17EA0A1A"/>
    <w:rsid w:val="17EF6030"/>
    <w:rsid w:val="17F14580"/>
    <w:rsid w:val="17F76828"/>
    <w:rsid w:val="18040CDB"/>
    <w:rsid w:val="18121892"/>
    <w:rsid w:val="18295B69"/>
    <w:rsid w:val="182E26E0"/>
    <w:rsid w:val="18355762"/>
    <w:rsid w:val="18356139"/>
    <w:rsid w:val="18363C5F"/>
    <w:rsid w:val="184372BC"/>
    <w:rsid w:val="18502F73"/>
    <w:rsid w:val="187C5B16"/>
    <w:rsid w:val="18814952"/>
    <w:rsid w:val="188C294A"/>
    <w:rsid w:val="18AF34F4"/>
    <w:rsid w:val="18AF707B"/>
    <w:rsid w:val="18E354D8"/>
    <w:rsid w:val="18E84F59"/>
    <w:rsid w:val="18FD53D8"/>
    <w:rsid w:val="19207507"/>
    <w:rsid w:val="19293A45"/>
    <w:rsid w:val="192D6E10"/>
    <w:rsid w:val="19377C8F"/>
    <w:rsid w:val="19391A60"/>
    <w:rsid w:val="193957B5"/>
    <w:rsid w:val="1942676A"/>
    <w:rsid w:val="1943007F"/>
    <w:rsid w:val="194C3B6E"/>
    <w:rsid w:val="19566367"/>
    <w:rsid w:val="195720DF"/>
    <w:rsid w:val="19574E5B"/>
    <w:rsid w:val="19662322"/>
    <w:rsid w:val="19720CC7"/>
    <w:rsid w:val="19792055"/>
    <w:rsid w:val="1981099C"/>
    <w:rsid w:val="19810F0A"/>
    <w:rsid w:val="198A6011"/>
    <w:rsid w:val="198C16D7"/>
    <w:rsid w:val="199B021E"/>
    <w:rsid w:val="19AB181D"/>
    <w:rsid w:val="19AC5F87"/>
    <w:rsid w:val="19AD58EE"/>
    <w:rsid w:val="19B27315"/>
    <w:rsid w:val="19C21FF7"/>
    <w:rsid w:val="19CE286F"/>
    <w:rsid w:val="19D02412"/>
    <w:rsid w:val="19DD0CF1"/>
    <w:rsid w:val="19EE083D"/>
    <w:rsid w:val="1A023DF9"/>
    <w:rsid w:val="1A0A53A3"/>
    <w:rsid w:val="1A1D4FF5"/>
    <w:rsid w:val="1A22449B"/>
    <w:rsid w:val="1A330456"/>
    <w:rsid w:val="1A45329D"/>
    <w:rsid w:val="1A5403CD"/>
    <w:rsid w:val="1A552120"/>
    <w:rsid w:val="1A571CAA"/>
    <w:rsid w:val="1A5B357B"/>
    <w:rsid w:val="1A5F2FF9"/>
    <w:rsid w:val="1AB0663C"/>
    <w:rsid w:val="1AB1581F"/>
    <w:rsid w:val="1AED2CFB"/>
    <w:rsid w:val="1B010CBE"/>
    <w:rsid w:val="1B501B2E"/>
    <w:rsid w:val="1B5A0736"/>
    <w:rsid w:val="1B827539"/>
    <w:rsid w:val="1B911ED7"/>
    <w:rsid w:val="1BA027E4"/>
    <w:rsid w:val="1BAA4748"/>
    <w:rsid w:val="1BDD64C4"/>
    <w:rsid w:val="1BDE1796"/>
    <w:rsid w:val="1BE8267A"/>
    <w:rsid w:val="1C16284B"/>
    <w:rsid w:val="1C4416D3"/>
    <w:rsid w:val="1C71170A"/>
    <w:rsid w:val="1CAE500A"/>
    <w:rsid w:val="1CB20235"/>
    <w:rsid w:val="1CB82E95"/>
    <w:rsid w:val="1CBD494F"/>
    <w:rsid w:val="1CD7615D"/>
    <w:rsid w:val="1CE617B0"/>
    <w:rsid w:val="1CFC5B29"/>
    <w:rsid w:val="1D083E1C"/>
    <w:rsid w:val="1D300C7D"/>
    <w:rsid w:val="1D46710D"/>
    <w:rsid w:val="1D523031"/>
    <w:rsid w:val="1D551587"/>
    <w:rsid w:val="1D6E4BC9"/>
    <w:rsid w:val="1D6E79F7"/>
    <w:rsid w:val="1D8E6825"/>
    <w:rsid w:val="1DA623B1"/>
    <w:rsid w:val="1DAF24EA"/>
    <w:rsid w:val="1DC45325"/>
    <w:rsid w:val="1DCD2970"/>
    <w:rsid w:val="1DD45AAC"/>
    <w:rsid w:val="1DD97567"/>
    <w:rsid w:val="1DE63A32"/>
    <w:rsid w:val="1DF919B7"/>
    <w:rsid w:val="1DFC1D87"/>
    <w:rsid w:val="1E002D45"/>
    <w:rsid w:val="1E0572E4"/>
    <w:rsid w:val="1E0A3BC4"/>
    <w:rsid w:val="1E1E65FA"/>
    <w:rsid w:val="1E302B54"/>
    <w:rsid w:val="1E48649A"/>
    <w:rsid w:val="1E78073D"/>
    <w:rsid w:val="1E8B3659"/>
    <w:rsid w:val="1E9E60BA"/>
    <w:rsid w:val="1EB26790"/>
    <w:rsid w:val="1EB51D82"/>
    <w:rsid w:val="1EE45788"/>
    <w:rsid w:val="1EE8653C"/>
    <w:rsid w:val="1EEB5328"/>
    <w:rsid w:val="1EEF6975"/>
    <w:rsid w:val="1F047610"/>
    <w:rsid w:val="1F065805"/>
    <w:rsid w:val="1F0B7E9B"/>
    <w:rsid w:val="1F0D396C"/>
    <w:rsid w:val="1F113BB9"/>
    <w:rsid w:val="1F1D47CD"/>
    <w:rsid w:val="1F233BBC"/>
    <w:rsid w:val="1F2667DB"/>
    <w:rsid w:val="1F445FB7"/>
    <w:rsid w:val="1F4C4FBD"/>
    <w:rsid w:val="1F664E2A"/>
    <w:rsid w:val="1F666BD8"/>
    <w:rsid w:val="1F867381"/>
    <w:rsid w:val="1F8D685B"/>
    <w:rsid w:val="1F8E6CC4"/>
    <w:rsid w:val="1F903C55"/>
    <w:rsid w:val="1F9A2D26"/>
    <w:rsid w:val="1F9F655D"/>
    <w:rsid w:val="1FA927C1"/>
    <w:rsid w:val="1FAB4B9E"/>
    <w:rsid w:val="1FB738D7"/>
    <w:rsid w:val="1FB913FE"/>
    <w:rsid w:val="1FD2426D"/>
    <w:rsid w:val="1FE31481"/>
    <w:rsid w:val="1FE3647B"/>
    <w:rsid w:val="1FE521F3"/>
    <w:rsid w:val="1FF044EA"/>
    <w:rsid w:val="200308CB"/>
    <w:rsid w:val="201523AC"/>
    <w:rsid w:val="201A3FF8"/>
    <w:rsid w:val="204809D3"/>
    <w:rsid w:val="204A2F8F"/>
    <w:rsid w:val="207E0BF5"/>
    <w:rsid w:val="20887022"/>
    <w:rsid w:val="20992FDD"/>
    <w:rsid w:val="209B0F2C"/>
    <w:rsid w:val="20A51982"/>
    <w:rsid w:val="20B87907"/>
    <w:rsid w:val="20CF38B8"/>
    <w:rsid w:val="20D924E2"/>
    <w:rsid w:val="20DC7264"/>
    <w:rsid w:val="20E64474"/>
    <w:rsid w:val="20F052F3"/>
    <w:rsid w:val="20F46465"/>
    <w:rsid w:val="20F7091F"/>
    <w:rsid w:val="20FB5A46"/>
    <w:rsid w:val="210112AE"/>
    <w:rsid w:val="211431D7"/>
    <w:rsid w:val="21143EE5"/>
    <w:rsid w:val="212D7486"/>
    <w:rsid w:val="213137A5"/>
    <w:rsid w:val="2136082C"/>
    <w:rsid w:val="213C5BD7"/>
    <w:rsid w:val="21470C8B"/>
    <w:rsid w:val="21507B40"/>
    <w:rsid w:val="215E458A"/>
    <w:rsid w:val="21626848"/>
    <w:rsid w:val="21787096"/>
    <w:rsid w:val="217A4BBD"/>
    <w:rsid w:val="21AB746C"/>
    <w:rsid w:val="21C1113B"/>
    <w:rsid w:val="22061336"/>
    <w:rsid w:val="220D3C83"/>
    <w:rsid w:val="220D77DF"/>
    <w:rsid w:val="221A55CD"/>
    <w:rsid w:val="22356938"/>
    <w:rsid w:val="22433200"/>
    <w:rsid w:val="224C6559"/>
    <w:rsid w:val="22605873"/>
    <w:rsid w:val="22700284"/>
    <w:rsid w:val="229A609C"/>
    <w:rsid w:val="22BE4F7D"/>
    <w:rsid w:val="22D24A4D"/>
    <w:rsid w:val="22D874CD"/>
    <w:rsid w:val="22DD3655"/>
    <w:rsid w:val="22DD5403"/>
    <w:rsid w:val="22DF561F"/>
    <w:rsid w:val="23133FE2"/>
    <w:rsid w:val="23294AEC"/>
    <w:rsid w:val="232E3EB1"/>
    <w:rsid w:val="234E30ED"/>
    <w:rsid w:val="2366364A"/>
    <w:rsid w:val="236819A8"/>
    <w:rsid w:val="236D16F9"/>
    <w:rsid w:val="23751ADF"/>
    <w:rsid w:val="23865695"/>
    <w:rsid w:val="23865A00"/>
    <w:rsid w:val="23A6613D"/>
    <w:rsid w:val="23B75C54"/>
    <w:rsid w:val="23BF0FAD"/>
    <w:rsid w:val="23C953E0"/>
    <w:rsid w:val="23C95987"/>
    <w:rsid w:val="23E45806"/>
    <w:rsid w:val="23E46C65"/>
    <w:rsid w:val="23ED78C8"/>
    <w:rsid w:val="23FF1752"/>
    <w:rsid w:val="240834CF"/>
    <w:rsid w:val="24111CD9"/>
    <w:rsid w:val="242B5451"/>
    <w:rsid w:val="243948BB"/>
    <w:rsid w:val="244268B5"/>
    <w:rsid w:val="244B58CB"/>
    <w:rsid w:val="2452597D"/>
    <w:rsid w:val="246166B7"/>
    <w:rsid w:val="247468D3"/>
    <w:rsid w:val="24831FDA"/>
    <w:rsid w:val="24975A86"/>
    <w:rsid w:val="24A3442A"/>
    <w:rsid w:val="24B7634F"/>
    <w:rsid w:val="24DF634A"/>
    <w:rsid w:val="24E7742B"/>
    <w:rsid w:val="24EC5DD1"/>
    <w:rsid w:val="24EC7B7F"/>
    <w:rsid w:val="24F35209"/>
    <w:rsid w:val="25001EA9"/>
    <w:rsid w:val="250076E0"/>
    <w:rsid w:val="250321B4"/>
    <w:rsid w:val="25090731"/>
    <w:rsid w:val="250E4EB1"/>
    <w:rsid w:val="25166A9C"/>
    <w:rsid w:val="254A65A9"/>
    <w:rsid w:val="25585215"/>
    <w:rsid w:val="25822292"/>
    <w:rsid w:val="25951197"/>
    <w:rsid w:val="259E4E53"/>
    <w:rsid w:val="25A43BC6"/>
    <w:rsid w:val="25A97AD1"/>
    <w:rsid w:val="25AB17E9"/>
    <w:rsid w:val="25AD37B3"/>
    <w:rsid w:val="25AD43EA"/>
    <w:rsid w:val="25BF5294"/>
    <w:rsid w:val="25C26F77"/>
    <w:rsid w:val="25C603D0"/>
    <w:rsid w:val="25D64C34"/>
    <w:rsid w:val="25DE1BBE"/>
    <w:rsid w:val="25E13D08"/>
    <w:rsid w:val="25E802D7"/>
    <w:rsid w:val="25ED4EEF"/>
    <w:rsid w:val="25F81961"/>
    <w:rsid w:val="2604755F"/>
    <w:rsid w:val="26235823"/>
    <w:rsid w:val="26463B7F"/>
    <w:rsid w:val="2650632F"/>
    <w:rsid w:val="26564231"/>
    <w:rsid w:val="265C2AE3"/>
    <w:rsid w:val="265D18B9"/>
    <w:rsid w:val="26655E3B"/>
    <w:rsid w:val="26914E82"/>
    <w:rsid w:val="26A6639B"/>
    <w:rsid w:val="26AA61AC"/>
    <w:rsid w:val="26B91CE3"/>
    <w:rsid w:val="26D46A6A"/>
    <w:rsid w:val="26D46B1D"/>
    <w:rsid w:val="26D905D7"/>
    <w:rsid w:val="26EA4592"/>
    <w:rsid w:val="26F50752"/>
    <w:rsid w:val="270345EF"/>
    <w:rsid w:val="27085286"/>
    <w:rsid w:val="271621A9"/>
    <w:rsid w:val="274852AF"/>
    <w:rsid w:val="2749750B"/>
    <w:rsid w:val="27606603"/>
    <w:rsid w:val="277773B2"/>
    <w:rsid w:val="27787DF0"/>
    <w:rsid w:val="278241EB"/>
    <w:rsid w:val="279E430F"/>
    <w:rsid w:val="27D2250A"/>
    <w:rsid w:val="27FA041D"/>
    <w:rsid w:val="2802590C"/>
    <w:rsid w:val="28036DCC"/>
    <w:rsid w:val="282A55A2"/>
    <w:rsid w:val="28546167"/>
    <w:rsid w:val="28553C8E"/>
    <w:rsid w:val="286C2EFF"/>
    <w:rsid w:val="286E03F0"/>
    <w:rsid w:val="2876420B"/>
    <w:rsid w:val="287814A2"/>
    <w:rsid w:val="28897DCD"/>
    <w:rsid w:val="289360AA"/>
    <w:rsid w:val="28A454C6"/>
    <w:rsid w:val="28A759AF"/>
    <w:rsid w:val="28AF7842"/>
    <w:rsid w:val="28BC18CA"/>
    <w:rsid w:val="28DA4193"/>
    <w:rsid w:val="290D27BA"/>
    <w:rsid w:val="29205964"/>
    <w:rsid w:val="292813A2"/>
    <w:rsid w:val="292F4663"/>
    <w:rsid w:val="29491A44"/>
    <w:rsid w:val="296C3DBD"/>
    <w:rsid w:val="297D0CAE"/>
    <w:rsid w:val="29972B83"/>
    <w:rsid w:val="299C497E"/>
    <w:rsid w:val="29A95707"/>
    <w:rsid w:val="29C56BF1"/>
    <w:rsid w:val="29C72A75"/>
    <w:rsid w:val="29C8458A"/>
    <w:rsid w:val="29D07A70"/>
    <w:rsid w:val="29D11A3A"/>
    <w:rsid w:val="29E6402D"/>
    <w:rsid w:val="2A00650F"/>
    <w:rsid w:val="2A1F41BD"/>
    <w:rsid w:val="2A202079"/>
    <w:rsid w:val="2A2C0EE7"/>
    <w:rsid w:val="2A424D20"/>
    <w:rsid w:val="2A441BD8"/>
    <w:rsid w:val="2A9154ED"/>
    <w:rsid w:val="2A971E00"/>
    <w:rsid w:val="2A99728A"/>
    <w:rsid w:val="2AA91E72"/>
    <w:rsid w:val="2AC66FDF"/>
    <w:rsid w:val="2ACB1715"/>
    <w:rsid w:val="2ADA66CC"/>
    <w:rsid w:val="2ADC0AA6"/>
    <w:rsid w:val="2AE211B2"/>
    <w:rsid w:val="2AED63FF"/>
    <w:rsid w:val="2AF07C9E"/>
    <w:rsid w:val="2AFB2372"/>
    <w:rsid w:val="2B1240B8"/>
    <w:rsid w:val="2B2D7144"/>
    <w:rsid w:val="2B326508"/>
    <w:rsid w:val="2B361B54"/>
    <w:rsid w:val="2B560448"/>
    <w:rsid w:val="2B7E3ED1"/>
    <w:rsid w:val="2B823F42"/>
    <w:rsid w:val="2B844752"/>
    <w:rsid w:val="2B9608D4"/>
    <w:rsid w:val="2BAE4FAB"/>
    <w:rsid w:val="2BBA09D7"/>
    <w:rsid w:val="2BC35FF1"/>
    <w:rsid w:val="2BFC3990"/>
    <w:rsid w:val="2C025D11"/>
    <w:rsid w:val="2C1300E8"/>
    <w:rsid w:val="2C300C99"/>
    <w:rsid w:val="2C3167C0"/>
    <w:rsid w:val="2C4E63EA"/>
    <w:rsid w:val="2C500A11"/>
    <w:rsid w:val="2C5C383D"/>
    <w:rsid w:val="2C8767FB"/>
    <w:rsid w:val="2CB2345D"/>
    <w:rsid w:val="2CBA61BA"/>
    <w:rsid w:val="2CD0422B"/>
    <w:rsid w:val="2CDC7482"/>
    <w:rsid w:val="2CE101E6"/>
    <w:rsid w:val="2D0F547C"/>
    <w:rsid w:val="2D194365"/>
    <w:rsid w:val="2D1B3143"/>
    <w:rsid w:val="2D2E11B0"/>
    <w:rsid w:val="2D5B051D"/>
    <w:rsid w:val="2D6B3C93"/>
    <w:rsid w:val="2D945258"/>
    <w:rsid w:val="2DA21448"/>
    <w:rsid w:val="2DBD030B"/>
    <w:rsid w:val="2DC25921"/>
    <w:rsid w:val="2DC3340F"/>
    <w:rsid w:val="2DCB3029"/>
    <w:rsid w:val="2DD83397"/>
    <w:rsid w:val="2DDA4F77"/>
    <w:rsid w:val="2DF340A7"/>
    <w:rsid w:val="2E0D2197"/>
    <w:rsid w:val="2E1C2A2B"/>
    <w:rsid w:val="2E1D524D"/>
    <w:rsid w:val="2E25003C"/>
    <w:rsid w:val="2E4345B4"/>
    <w:rsid w:val="2E61338C"/>
    <w:rsid w:val="2E776A61"/>
    <w:rsid w:val="2E78040C"/>
    <w:rsid w:val="2E7953E4"/>
    <w:rsid w:val="2E943223"/>
    <w:rsid w:val="2EC74F3C"/>
    <w:rsid w:val="2ED0406E"/>
    <w:rsid w:val="2ED43AB3"/>
    <w:rsid w:val="2EE81635"/>
    <w:rsid w:val="2EF26936"/>
    <w:rsid w:val="2EF637C3"/>
    <w:rsid w:val="2EFB0F38"/>
    <w:rsid w:val="2F3565C7"/>
    <w:rsid w:val="2F656EAC"/>
    <w:rsid w:val="2F6F1AD9"/>
    <w:rsid w:val="2F7B222C"/>
    <w:rsid w:val="2F96182A"/>
    <w:rsid w:val="2FAF6379"/>
    <w:rsid w:val="2FB361F0"/>
    <w:rsid w:val="2FB62D97"/>
    <w:rsid w:val="2FBE55AC"/>
    <w:rsid w:val="2FCE5A5B"/>
    <w:rsid w:val="2FD467A6"/>
    <w:rsid w:val="2FE8451A"/>
    <w:rsid w:val="2FF811E4"/>
    <w:rsid w:val="30137B42"/>
    <w:rsid w:val="302E0FC2"/>
    <w:rsid w:val="30336FAA"/>
    <w:rsid w:val="30415520"/>
    <w:rsid w:val="30444D13"/>
    <w:rsid w:val="306B57A3"/>
    <w:rsid w:val="3083092C"/>
    <w:rsid w:val="308710A4"/>
    <w:rsid w:val="30913C98"/>
    <w:rsid w:val="3095288D"/>
    <w:rsid w:val="309C68FD"/>
    <w:rsid w:val="30AE6631"/>
    <w:rsid w:val="30B71989"/>
    <w:rsid w:val="30B878B7"/>
    <w:rsid w:val="30BA4399"/>
    <w:rsid w:val="30C6397A"/>
    <w:rsid w:val="30E520E5"/>
    <w:rsid w:val="30ED7159"/>
    <w:rsid w:val="30EF4A63"/>
    <w:rsid w:val="310F1DDC"/>
    <w:rsid w:val="31270645"/>
    <w:rsid w:val="31292574"/>
    <w:rsid w:val="312A197D"/>
    <w:rsid w:val="31440D43"/>
    <w:rsid w:val="31523460"/>
    <w:rsid w:val="316338F1"/>
    <w:rsid w:val="31695F5A"/>
    <w:rsid w:val="317E6003"/>
    <w:rsid w:val="318C4BC4"/>
    <w:rsid w:val="318D6246"/>
    <w:rsid w:val="31A67308"/>
    <w:rsid w:val="31A93643"/>
    <w:rsid w:val="31B33372"/>
    <w:rsid w:val="31B95FD4"/>
    <w:rsid w:val="31BB1708"/>
    <w:rsid w:val="31DF4498"/>
    <w:rsid w:val="31EC11BC"/>
    <w:rsid w:val="3203475A"/>
    <w:rsid w:val="32034EF7"/>
    <w:rsid w:val="32115940"/>
    <w:rsid w:val="32462F60"/>
    <w:rsid w:val="32476D3D"/>
    <w:rsid w:val="324803BF"/>
    <w:rsid w:val="32491521"/>
    <w:rsid w:val="324D0E73"/>
    <w:rsid w:val="32502020"/>
    <w:rsid w:val="325378F7"/>
    <w:rsid w:val="32586854"/>
    <w:rsid w:val="3269585C"/>
    <w:rsid w:val="327148B6"/>
    <w:rsid w:val="3276694A"/>
    <w:rsid w:val="32A20056"/>
    <w:rsid w:val="32A316B0"/>
    <w:rsid w:val="32A36B52"/>
    <w:rsid w:val="32AB5D01"/>
    <w:rsid w:val="32B118D1"/>
    <w:rsid w:val="32BF4CA5"/>
    <w:rsid w:val="32DB4A16"/>
    <w:rsid w:val="32ED1B36"/>
    <w:rsid w:val="330334F9"/>
    <w:rsid w:val="33123327"/>
    <w:rsid w:val="3326713C"/>
    <w:rsid w:val="332933D4"/>
    <w:rsid w:val="335229B5"/>
    <w:rsid w:val="33590AD6"/>
    <w:rsid w:val="3365538E"/>
    <w:rsid w:val="336F53E4"/>
    <w:rsid w:val="33756F28"/>
    <w:rsid w:val="33B43F5E"/>
    <w:rsid w:val="33CA638A"/>
    <w:rsid w:val="33CF2B46"/>
    <w:rsid w:val="33DE0FDB"/>
    <w:rsid w:val="33EC192C"/>
    <w:rsid w:val="340C3D9A"/>
    <w:rsid w:val="34351D28"/>
    <w:rsid w:val="3442561D"/>
    <w:rsid w:val="34605E94"/>
    <w:rsid w:val="346D7313"/>
    <w:rsid w:val="34863867"/>
    <w:rsid w:val="34880F47"/>
    <w:rsid w:val="348C5F98"/>
    <w:rsid w:val="34BB756E"/>
    <w:rsid w:val="34CF34ED"/>
    <w:rsid w:val="34D66156"/>
    <w:rsid w:val="34E256F1"/>
    <w:rsid w:val="34E71FB5"/>
    <w:rsid w:val="3518051D"/>
    <w:rsid w:val="35230286"/>
    <w:rsid w:val="353C4DCD"/>
    <w:rsid w:val="35417A73"/>
    <w:rsid w:val="354C01C6"/>
    <w:rsid w:val="35571045"/>
    <w:rsid w:val="355E591C"/>
    <w:rsid w:val="355E6877"/>
    <w:rsid w:val="35611EC4"/>
    <w:rsid w:val="35784B06"/>
    <w:rsid w:val="358362DE"/>
    <w:rsid w:val="35917DCF"/>
    <w:rsid w:val="359330B7"/>
    <w:rsid w:val="359517C6"/>
    <w:rsid w:val="35957770"/>
    <w:rsid w:val="35B93AAE"/>
    <w:rsid w:val="35C16E06"/>
    <w:rsid w:val="35C27393"/>
    <w:rsid w:val="35C3492C"/>
    <w:rsid w:val="35C97A69"/>
    <w:rsid w:val="3600792F"/>
    <w:rsid w:val="36064819"/>
    <w:rsid w:val="36173D86"/>
    <w:rsid w:val="3629482E"/>
    <w:rsid w:val="36296503"/>
    <w:rsid w:val="362A6094"/>
    <w:rsid w:val="363016C5"/>
    <w:rsid w:val="363C648D"/>
    <w:rsid w:val="364610BA"/>
    <w:rsid w:val="3660007A"/>
    <w:rsid w:val="36625EF3"/>
    <w:rsid w:val="36657792"/>
    <w:rsid w:val="366C0B20"/>
    <w:rsid w:val="366E3948"/>
    <w:rsid w:val="367F0C8C"/>
    <w:rsid w:val="368C41C4"/>
    <w:rsid w:val="36910587"/>
    <w:rsid w:val="36BD137C"/>
    <w:rsid w:val="36C50230"/>
    <w:rsid w:val="36D056D3"/>
    <w:rsid w:val="36DA1F2E"/>
    <w:rsid w:val="36E7464B"/>
    <w:rsid w:val="36FA3E2C"/>
    <w:rsid w:val="371371EE"/>
    <w:rsid w:val="371B0E37"/>
    <w:rsid w:val="371C6704"/>
    <w:rsid w:val="37414E11"/>
    <w:rsid w:val="374D4017"/>
    <w:rsid w:val="37507FF9"/>
    <w:rsid w:val="3754703E"/>
    <w:rsid w:val="375A12C0"/>
    <w:rsid w:val="375A7528"/>
    <w:rsid w:val="37876A26"/>
    <w:rsid w:val="37893954"/>
    <w:rsid w:val="378B76CC"/>
    <w:rsid w:val="379E11AD"/>
    <w:rsid w:val="37B00EE0"/>
    <w:rsid w:val="37C14E9C"/>
    <w:rsid w:val="37EB1F18"/>
    <w:rsid w:val="37F015A8"/>
    <w:rsid w:val="37FE7E9E"/>
    <w:rsid w:val="380D6333"/>
    <w:rsid w:val="38637139"/>
    <w:rsid w:val="38744170"/>
    <w:rsid w:val="38767A34"/>
    <w:rsid w:val="387727DD"/>
    <w:rsid w:val="387C71F4"/>
    <w:rsid w:val="38912AC0"/>
    <w:rsid w:val="38925A62"/>
    <w:rsid w:val="38AC6D32"/>
    <w:rsid w:val="38C06F01"/>
    <w:rsid w:val="38CB73BE"/>
    <w:rsid w:val="38D676C9"/>
    <w:rsid w:val="38E26E61"/>
    <w:rsid w:val="38FC5F41"/>
    <w:rsid w:val="390C16F1"/>
    <w:rsid w:val="390F2677"/>
    <w:rsid w:val="39182A0E"/>
    <w:rsid w:val="39203E44"/>
    <w:rsid w:val="393C17DA"/>
    <w:rsid w:val="39496281"/>
    <w:rsid w:val="39662D1B"/>
    <w:rsid w:val="39803F30"/>
    <w:rsid w:val="398268AC"/>
    <w:rsid w:val="398919E9"/>
    <w:rsid w:val="39943A7F"/>
    <w:rsid w:val="39A630E7"/>
    <w:rsid w:val="39C96289"/>
    <w:rsid w:val="39CE564E"/>
    <w:rsid w:val="39D76762"/>
    <w:rsid w:val="39D80F7D"/>
    <w:rsid w:val="39F77376"/>
    <w:rsid w:val="3A080B60"/>
    <w:rsid w:val="3A131DC0"/>
    <w:rsid w:val="3A2801BE"/>
    <w:rsid w:val="3A3B00A0"/>
    <w:rsid w:val="3A4678DA"/>
    <w:rsid w:val="3A514BDD"/>
    <w:rsid w:val="3A6B16A6"/>
    <w:rsid w:val="3A875FCD"/>
    <w:rsid w:val="3A8C0A4A"/>
    <w:rsid w:val="3A8D3066"/>
    <w:rsid w:val="3A8E336A"/>
    <w:rsid w:val="3A9262F0"/>
    <w:rsid w:val="3AA840F1"/>
    <w:rsid w:val="3AB31586"/>
    <w:rsid w:val="3AE856DE"/>
    <w:rsid w:val="3B07350D"/>
    <w:rsid w:val="3B0C4680"/>
    <w:rsid w:val="3B1B65BB"/>
    <w:rsid w:val="3B2D013E"/>
    <w:rsid w:val="3B312AAE"/>
    <w:rsid w:val="3B53708A"/>
    <w:rsid w:val="3B56094D"/>
    <w:rsid w:val="3B582897"/>
    <w:rsid w:val="3B5D687E"/>
    <w:rsid w:val="3B5F50F7"/>
    <w:rsid w:val="3B6B4751"/>
    <w:rsid w:val="3B6C3370"/>
    <w:rsid w:val="3B7D557D"/>
    <w:rsid w:val="3B9344C4"/>
    <w:rsid w:val="3B9C66E6"/>
    <w:rsid w:val="3BAC7C11"/>
    <w:rsid w:val="3BB450C0"/>
    <w:rsid w:val="3BDA1842"/>
    <w:rsid w:val="3BE63123"/>
    <w:rsid w:val="3BF47C3C"/>
    <w:rsid w:val="3C035BC2"/>
    <w:rsid w:val="3C4A2F0A"/>
    <w:rsid w:val="3C5255AE"/>
    <w:rsid w:val="3C617ADE"/>
    <w:rsid w:val="3C687483"/>
    <w:rsid w:val="3C8B5A78"/>
    <w:rsid w:val="3CF36340"/>
    <w:rsid w:val="3D096F2F"/>
    <w:rsid w:val="3D0F48FB"/>
    <w:rsid w:val="3D113A02"/>
    <w:rsid w:val="3D202664"/>
    <w:rsid w:val="3D2D6B2F"/>
    <w:rsid w:val="3D346A16"/>
    <w:rsid w:val="3D36127C"/>
    <w:rsid w:val="3D6A3C59"/>
    <w:rsid w:val="3D787C4F"/>
    <w:rsid w:val="3D7E738B"/>
    <w:rsid w:val="3D804EB1"/>
    <w:rsid w:val="3D874491"/>
    <w:rsid w:val="3DAA4C35"/>
    <w:rsid w:val="3DB557CE"/>
    <w:rsid w:val="3DB63FFD"/>
    <w:rsid w:val="3DBD4357"/>
    <w:rsid w:val="3DD47A32"/>
    <w:rsid w:val="3DD75419"/>
    <w:rsid w:val="3DD863C0"/>
    <w:rsid w:val="3DDF5CA7"/>
    <w:rsid w:val="3DE80A38"/>
    <w:rsid w:val="3DEB2C72"/>
    <w:rsid w:val="3DF0028F"/>
    <w:rsid w:val="3E0C2BE9"/>
    <w:rsid w:val="3E1F0BF9"/>
    <w:rsid w:val="3E2E6844"/>
    <w:rsid w:val="3E3C527C"/>
    <w:rsid w:val="3E3D7127"/>
    <w:rsid w:val="3E3E013F"/>
    <w:rsid w:val="3E682515"/>
    <w:rsid w:val="3E742C68"/>
    <w:rsid w:val="3E771147"/>
    <w:rsid w:val="3E7759B6"/>
    <w:rsid w:val="3E7E2577"/>
    <w:rsid w:val="3E81504E"/>
    <w:rsid w:val="3E88717C"/>
    <w:rsid w:val="3EB16BD6"/>
    <w:rsid w:val="3EB931E8"/>
    <w:rsid w:val="3ED656D0"/>
    <w:rsid w:val="3ED85EAC"/>
    <w:rsid w:val="3EFC2C5D"/>
    <w:rsid w:val="3F1104B7"/>
    <w:rsid w:val="3F205AEF"/>
    <w:rsid w:val="3F5B5BD6"/>
    <w:rsid w:val="3F9520B5"/>
    <w:rsid w:val="3F970B7A"/>
    <w:rsid w:val="3F980BD8"/>
    <w:rsid w:val="3FA62662"/>
    <w:rsid w:val="3FB177F2"/>
    <w:rsid w:val="3FC512A1"/>
    <w:rsid w:val="3FC92B3F"/>
    <w:rsid w:val="3FEE623F"/>
    <w:rsid w:val="3FF12080"/>
    <w:rsid w:val="4059053B"/>
    <w:rsid w:val="405C39B3"/>
    <w:rsid w:val="40786313"/>
    <w:rsid w:val="409B2C7E"/>
    <w:rsid w:val="40B53C35"/>
    <w:rsid w:val="40D45C40"/>
    <w:rsid w:val="41054F50"/>
    <w:rsid w:val="41067DC3"/>
    <w:rsid w:val="411B4114"/>
    <w:rsid w:val="413606A8"/>
    <w:rsid w:val="415E7BFF"/>
    <w:rsid w:val="4185518C"/>
    <w:rsid w:val="41A2426E"/>
    <w:rsid w:val="41A47AEC"/>
    <w:rsid w:val="41B92067"/>
    <w:rsid w:val="41B93309"/>
    <w:rsid w:val="41C0099D"/>
    <w:rsid w:val="41CD3BBB"/>
    <w:rsid w:val="41CE0187"/>
    <w:rsid w:val="41D34149"/>
    <w:rsid w:val="41FA1949"/>
    <w:rsid w:val="41FB2532"/>
    <w:rsid w:val="42114C71"/>
    <w:rsid w:val="421D2C9A"/>
    <w:rsid w:val="423050F8"/>
    <w:rsid w:val="4249440B"/>
    <w:rsid w:val="424B6CFD"/>
    <w:rsid w:val="42553E97"/>
    <w:rsid w:val="4255606F"/>
    <w:rsid w:val="425570BD"/>
    <w:rsid w:val="42576B28"/>
    <w:rsid w:val="42633843"/>
    <w:rsid w:val="426E68BC"/>
    <w:rsid w:val="42707BEA"/>
    <w:rsid w:val="42763593"/>
    <w:rsid w:val="42A85AFC"/>
    <w:rsid w:val="42B2779B"/>
    <w:rsid w:val="42BD04DB"/>
    <w:rsid w:val="42C43A92"/>
    <w:rsid w:val="43016A94"/>
    <w:rsid w:val="430664B8"/>
    <w:rsid w:val="430C2F26"/>
    <w:rsid w:val="431C742A"/>
    <w:rsid w:val="43282F33"/>
    <w:rsid w:val="433C5D1E"/>
    <w:rsid w:val="434056F4"/>
    <w:rsid w:val="43532174"/>
    <w:rsid w:val="43657023"/>
    <w:rsid w:val="43813731"/>
    <w:rsid w:val="43843C61"/>
    <w:rsid w:val="4387343D"/>
    <w:rsid w:val="438A6A89"/>
    <w:rsid w:val="43A538C3"/>
    <w:rsid w:val="43B835F7"/>
    <w:rsid w:val="43BD4B4A"/>
    <w:rsid w:val="43D2655C"/>
    <w:rsid w:val="43F45A44"/>
    <w:rsid w:val="440A7BCA"/>
    <w:rsid w:val="44157409"/>
    <w:rsid w:val="441D6909"/>
    <w:rsid w:val="441F3676"/>
    <w:rsid w:val="442C18EF"/>
    <w:rsid w:val="443864E5"/>
    <w:rsid w:val="443D1D4E"/>
    <w:rsid w:val="444430DC"/>
    <w:rsid w:val="444A6219"/>
    <w:rsid w:val="444C3D3F"/>
    <w:rsid w:val="44627E8E"/>
    <w:rsid w:val="44654E01"/>
    <w:rsid w:val="446562F9"/>
    <w:rsid w:val="4487121B"/>
    <w:rsid w:val="44A33985"/>
    <w:rsid w:val="44A502B6"/>
    <w:rsid w:val="44AB6CB7"/>
    <w:rsid w:val="44B952CC"/>
    <w:rsid w:val="44D2693A"/>
    <w:rsid w:val="44E00044"/>
    <w:rsid w:val="44E24DB2"/>
    <w:rsid w:val="44E65F41"/>
    <w:rsid w:val="44FB69A3"/>
    <w:rsid w:val="44FC39B7"/>
    <w:rsid w:val="450137F0"/>
    <w:rsid w:val="45366E65"/>
    <w:rsid w:val="45440EBA"/>
    <w:rsid w:val="454F5136"/>
    <w:rsid w:val="455375C0"/>
    <w:rsid w:val="45680710"/>
    <w:rsid w:val="45685D52"/>
    <w:rsid w:val="45725A92"/>
    <w:rsid w:val="457277D5"/>
    <w:rsid w:val="45752DA2"/>
    <w:rsid w:val="457D238B"/>
    <w:rsid w:val="458F16B5"/>
    <w:rsid w:val="4594599D"/>
    <w:rsid w:val="45946363"/>
    <w:rsid w:val="459E681C"/>
    <w:rsid w:val="45B93656"/>
    <w:rsid w:val="45C86557"/>
    <w:rsid w:val="45D73ADC"/>
    <w:rsid w:val="45DD7344"/>
    <w:rsid w:val="45F4468E"/>
    <w:rsid w:val="460744D3"/>
    <w:rsid w:val="46146ADE"/>
    <w:rsid w:val="46196D70"/>
    <w:rsid w:val="463159DA"/>
    <w:rsid w:val="46343AEB"/>
    <w:rsid w:val="463B13F8"/>
    <w:rsid w:val="46472A10"/>
    <w:rsid w:val="46474FDF"/>
    <w:rsid w:val="464B69A4"/>
    <w:rsid w:val="466F29A6"/>
    <w:rsid w:val="467557CF"/>
    <w:rsid w:val="46830A5B"/>
    <w:rsid w:val="468E194D"/>
    <w:rsid w:val="46B207D1"/>
    <w:rsid w:val="46B72648"/>
    <w:rsid w:val="46C9300C"/>
    <w:rsid w:val="46DA56D2"/>
    <w:rsid w:val="46E47C14"/>
    <w:rsid w:val="46FA3F26"/>
    <w:rsid w:val="471014C8"/>
    <w:rsid w:val="47276FD2"/>
    <w:rsid w:val="473236C0"/>
    <w:rsid w:val="4736017A"/>
    <w:rsid w:val="473C62ED"/>
    <w:rsid w:val="475E1398"/>
    <w:rsid w:val="476B0980"/>
    <w:rsid w:val="476B783C"/>
    <w:rsid w:val="478A34FC"/>
    <w:rsid w:val="478E4F50"/>
    <w:rsid w:val="47932F28"/>
    <w:rsid w:val="47AA221B"/>
    <w:rsid w:val="47B91683"/>
    <w:rsid w:val="480D7C89"/>
    <w:rsid w:val="48272AF9"/>
    <w:rsid w:val="482F19AD"/>
    <w:rsid w:val="483671E0"/>
    <w:rsid w:val="483B0352"/>
    <w:rsid w:val="484F02A2"/>
    <w:rsid w:val="485B00EC"/>
    <w:rsid w:val="4871646A"/>
    <w:rsid w:val="488321FC"/>
    <w:rsid w:val="488C150E"/>
    <w:rsid w:val="488E26A7"/>
    <w:rsid w:val="48961184"/>
    <w:rsid w:val="48A85859"/>
    <w:rsid w:val="48B21D51"/>
    <w:rsid w:val="48BC5937"/>
    <w:rsid w:val="48BF488B"/>
    <w:rsid w:val="48D04F3E"/>
    <w:rsid w:val="48E94252"/>
    <w:rsid w:val="490303C1"/>
    <w:rsid w:val="490848D8"/>
    <w:rsid w:val="490D6193"/>
    <w:rsid w:val="49124A19"/>
    <w:rsid w:val="49340DB7"/>
    <w:rsid w:val="49433E48"/>
    <w:rsid w:val="495F62C2"/>
    <w:rsid w:val="496833C9"/>
    <w:rsid w:val="4977360C"/>
    <w:rsid w:val="49793828"/>
    <w:rsid w:val="49C64593"/>
    <w:rsid w:val="49E36EF3"/>
    <w:rsid w:val="49E52C6C"/>
    <w:rsid w:val="49E87FBD"/>
    <w:rsid w:val="49EC636D"/>
    <w:rsid w:val="4A1007EB"/>
    <w:rsid w:val="4A196469"/>
    <w:rsid w:val="4A1E474A"/>
    <w:rsid w:val="4A266DE0"/>
    <w:rsid w:val="4A3E5330"/>
    <w:rsid w:val="4A574EB7"/>
    <w:rsid w:val="4A5844F4"/>
    <w:rsid w:val="4A591E5D"/>
    <w:rsid w:val="4A851D59"/>
    <w:rsid w:val="4A904BD7"/>
    <w:rsid w:val="4AA3092D"/>
    <w:rsid w:val="4AB56AE2"/>
    <w:rsid w:val="4ACE3438"/>
    <w:rsid w:val="4AD131F0"/>
    <w:rsid w:val="4AD81C6A"/>
    <w:rsid w:val="4AFB68D5"/>
    <w:rsid w:val="4B0B04B0"/>
    <w:rsid w:val="4B0C3CFC"/>
    <w:rsid w:val="4B1A05AF"/>
    <w:rsid w:val="4B3774F7"/>
    <w:rsid w:val="4B6978CC"/>
    <w:rsid w:val="4B6A1902"/>
    <w:rsid w:val="4B7F2C4C"/>
    <w:rsid w:val="4B9D6887"/>
    <w:rsid w:val="4BA13CA3"/>
    <w:rsid w:val="4BCA573F"/>
    <w:rsid w:val="4BCE3924"/>
    <w:rsid w:val="4BE3142D"/>
    <w:rsid w:val="4BEC0155"/>
    <w:rsid w:val="4C002B01"/>
    <w:rsid w:val="4C0833E5"/>
    <w:rsid w:val="4C2A52EF"/>
    <w:rsid w:val="4C343A36"/>
    <w:rsid w:val="4C4334E7"/>
    <w:rsid w:val="4C48766D"/>
    <w:rsid w:val="4C532DE7"/>
    <w:rsid w:val="4C5768B0"/>
    <w:rsid w:val="4C6C31D0"/>
    <w:rsid w:val="4C9444D5"/>
    <w:rsid w:val="4C9679F5"/>
    <w:rsid w:val="4C9F200D"/>
    <w:rsid w:val="4CA60321"/>
    <w:rsid w:val="4CAD6B07"/>
    <w:rsid w:val="4CC96874"/>
    <w:rsid w:val="4CCF6D5F"/>
    <w:rsid w:val="4CDA2830"/>
    <w:rsid w:val="4CEA0599"/>
    <w:rsid w:val="4CEA106A"/>
    <w:rsid w:val="4CF213BF"/>
    <w:rsid w:val="4CFE6137"/>
    <w:rsid w:val="4D227D33"/>
    <w:rsid w:val="4D326F7F"/>
    <w:rsid w:val="4D333749"/>
    <w:rsid w:val="4D372D00"/>
    <w:rsid w:val="4D381312"/>
    <w:rsid w:val="4D3A67DA"/>
    <w:rsid w:val="4D652396"/>
    <w:rsid w:val="4D78549A"/>
    <w:rsid w:val="4D7A4FF4"/>
    <w:rsid w:val="4D911907"/>
    <w:rsid w:val="4D994499"/>
    <w:rsid w:val="4D996326"/>
    <w:rsid w:val="4DA25F0B"/>
    <w:rsid w:val="4DBB5113"/>
    <w:rsid w:val="4DD02869"/>
    <w:rsid w:val="4DD21759"/>
    <w:rsid w:val="4DDF79D2"/>
    <w:rsid w:val="4DF146DD"/>
    <w:rsid w:val="4DF55205"/>
    <w:rsid w:val="4DFA2E25"/>
    <w:rsid w:val="4E047B7B"/>
    <w:rsid w:val="4E147F73"/>
    <w:rsid w:val="4E21448E"/>
    <w:rsid w:val="4E265601"/>
    <w:rsid w:val="4E5B79A0"/>
    <w:rsid w:val="4E747792"/>
    <w:rsid w:val="4E8A3DE2"/>
    <w:rsid w:val="4E98239D"/>
    <w:rsid w:val="4EAF3848"/>
    <w:rsid w:val="4EB3158A"/>
    <w:rsid w:val="4EB32BB1"/>
    <w:rsid w:val="4EBE5506"/>
    <w:rsid w:val="4ECE6B73"/>
    <w:rsid w:val="4EEC23A6"/>
    <w:rsid w:val="4EF676C9"/>
    <w:rsid w:val="4F050918"/>
    <w:rsid w:val="4F1162B1"/>
    <w:rsid w:val="4F2E7EAF"/>
    <w:rsid w:val="4F683EEF"/>
    <w:rsid w:val="4F706764"/>
    <w:rsid w:val="4F7F76BE"/>
    <w:rsid w:val="4F8C5937"/>
    <w:rsid w:val="4FBE3C37"/>
    <w:rsid w:val="4FCD5B8D"/>
    <w:rsid w:val="4FCE41A2"/>
    <w:rsid w:val="4FE24FA4"/>
    <w:rsid w:val="4FE65048"/>
    <w:rsid w:val="4FF534DD"/>
    <w:rsid w:val="4FF56EE1"/>
    <w:rsid w:val="4FFF25AD"/>
    <w:rsid w:val="50083210"/>
    <w:rsid w:val="500951DA"/>
    <w:rsid w:val="50140585"/>
    <w:rsid w:val="501C315F"/>
    <w:rsid w:val="5023455E"/>
    <w:rsid w:val="503404A9"/>
    <w:rsid w:val="505E1082"/>
    <w:rsid w:val="505E291A"/>
    <w:rsid w:val="50680222"/>
    <w:rsid w:val="50707007"/>
    <w:rsid w:val="50784BAA"/>
    <w:rsid w:val="50850D04"/>
    <w:rsid w:val="50947199"/>
    <w:rsid w:val="50A2159F"/>
    <w:rsid w:val="50A867A1"/>
    <w:rsid w:val="50B12FCB"/>
    <w:rsid w:val="50BC7D0D"/>
    <w:rsid w:val="50C01D3C"/>
    <w:rsid w:val="50C76F18"/>
    <w:rsid w:val="50CA6717"/>
    <w:rsid w:val="50FC37C6"/>
    <w:rsid w:val="510F05CE"/>
    <w:rsid w:val="51121E6C"/>
    <w:rsid w:val="512322CB"/>
    <w:rsid w:val="512A5408"/>
    <w:rsid w:val="51303983"/>
    <w:rsid w:val="51363DAD"/>
    <w:rsid w:val="51414393"/>
    <w:rsid w:val="51474873"/>
    <w:rsid w:val="516D6673"/>
    <w:rsid w:val="51D05FAF"/>
    <w:rsid w:val="51D1030F"/>
    <w:rsid w:val="51D22043"/>
    <w:rsid w:val="51E5535B"/>
    <w:rsid w:val="51E8779D"/>
    <w:rsid w:val="51F13387"/>
    <w:rsid w:val="51F7178E"/>
    <w:rsid w:val="523B1236"/>
    <w:rsid w:val="524904A8"/>
    <w:rsid w:val="5268443A"/>
    <w:rsid w:val="526979CD"/>
    <w:rsid w:val="526F225D"/>
    <w:rsid w:val="529178B6"/>
    <w:rsid w:val="52965C40"/>
    <w:rsid w:val="52BA5C46"/>
    <w:rsid w:val="52C84ED8"/>
    <w:rsid w:val="52CB14BF"/>
    <w:rsid w:val="52CE3896"/>
    <w:rsid w:val="52E51611"/>
    <w:rsid w:val="52F61A46"/>
    <w:rsid w:val="52FE69F6"/>
    <w:rsid w:val="530F6FAB"/>
    <w:rsid w:val="536410A5"/>
    <w:rsid w:val="53703FB0"/>
    <w:rsid w:val="53760DD8"/>
    <w:rsid w:val="537F2651"/>
    <w:rsid w:val="53A70F92"/>
    <w:rsid w:val="53AE2320"/>
    <w:rsid w:val="53B10062"/>
    <w:rsid w:val="53B67427"/>
    <w:rsid w:val="53C208DB"/>
    <w:rsid w:val="53C658BC"/>
    <w:rsid w:val="53C755D4"/>
    <w:rsid w:val="540035C1"/>
    <w:rsid w:val="54102FDB"/>
    <w:rsid w:val="54176117"/>
    <w:rsid w:val="545C3B2A"/>
    <w:rsid w:val="54624EB9"/>
    <w:rsid w:val="546F113D"/>
    <w:rsid w:val="54790B80"/>
    <w:rsid w:val="54806B30"/>
    <w:rsid w:val="548117E3"/>
    <w:rsid w:val="54813E9E"/>
    <w:rsid w:val="5495703C"/>
    <w:rsid w:val="549F610D"/>
    <w:rsid w:val="54D758A7"/>
    <w:rsid w:val="54DE4E87"/>
    <w:rsid w:val="54E06A79"/>
    <w:rsid w:val="54E104D3"/>
    <w:rsid w:val="54F50104"/>
    <w:rsid w:val="55213B45"/>
    <w:rsid w:val="552979ED"/>
    <w:rsid w:val="552D54C7"/>
    <w:rsid w:val="554051FA"/>
    <w:rsid w:val="55652EB2"/>
    <w:rsid w:val="556E6D05"/>
    <w:rsid w:val="55807523"/>
    <w:rsid w:val="55A75279"/>
    <w:rsid w:val="55B81234"/>
    <w:rsid w:val="55BA2BCA"/>
    <w:rsid w:val="55BD513A"/>
    <w:rsid w:val="55CC2F32"/>
    <w:rsid w:val="55CC64CB"/>
    <w:rsid w:val="55DE4CE4"/>
    <w:rsid w:val="55F36579"/>
    <w:rsid w:val="56021C76"/>
    <w:rsid w:val="560E7C83"/>
    <w:rsid w:val="563665FD"/>
    <w:rsid w:val="56476F17"/>
    <w:rsid w:val="564B3E56"/>
    <w:rsid w:val="56576C9F"/>
    <w:rsid w:val="565D1FD4"/>
    <w:rsid w:val="56692432"/>
    <w:rsid w:val="567105B4"/>
    <w:rsid w:val="567B7DC7"/>
    <w:rsid w:val="567E11E9"/>
    <w:rsid w:val="567F5ADC"/>
    <w:rsid w:val="56835CE6"/>
    <w:rsid w:val="568619F8"/>
    <w:rsid w:val="569E48CE"/>
    <w:rsid w:val="56BE3B20"/>
    <w:rsid w:val="56E32800"/>
    <w:rsid w:val="57004867"/>
    <w:rsid w:val="57103764"/>
    <w:rsid w:val="571406EC"/>
    <w:rsid w:val="571E156B"/>
    <w:rsid w:val="57432755"/>
    <w:rsid w:val="57574A7D"/>
    <w:rsid w:val="576C677A"/>
    <w:rsid w:val="57783371"/>
    <w:rsid w:val="577A1737"/>
    <w:rsid w:val="577D797B"/>
    <w:rsid w:val="57917F8F"/>
    <w:rsid w:val="579655A5"/>
    <w:rsid w:val="57A558DA"/>
    <w:rsid w:val="57B63E99"/>
    <w:rsid w:val="57BF3C61"/>
    <w:rsid w:val="57D936E4"/>
    <w:rsid w:val="57E04A72"/>
    <w:rsid w:val="57E736D6"/>
    <w:rsid w:val="57EA6A4A"/>
    <w:rsid w:val="57F4758F"/>
    <w:rsid w:val="57F624E8"/>
    <w:rsid w:val="57F87AFA"/>
    <w:rsid w:val="580D295F"/>
    <w:rsid w:val="580F7106"/>
    <w:rsid w:val="58186CB3"/>
    <w:rsid w:val="58256929"/>
    <w:rsid w:val="58261191"/>
    <w:rsid w:val="58296419"/>
    <w:rsid w:val="582B076C"/>
    <w:rsid w:val="582C7CB7"/>
    <w:rsid w:val="58466FCB"/>
    <w:rsid w:val="584C5771"/>
    <w:rsid w:val="58586CFE"/>
    <w:rsid w:val="586C4558"/>
    <w:rsid w:val="589C308F"/>
    <w:rsid w:val="58A40196"/>
    <w:rsid w:val="58A81A34"/>
    <w:rsid w:val="58BA1767"/>
    <w:rsid w:val="58D5034F"/>
    <w:rsid w:val="58F46A27"/>
    <w:rsid w:val="590F1AB3"/>
    <w:rsid w:val="59213594"/>
    <w:rsid w:val="593A167E"/>
    <w:rsid w:val="594904B3"/>
    <w:rsid w:val="59594ADC"/>
    <w:rsid w:val="59614CA3"/>
    <w:rsid w:val="5967354F"/>
    <w:rsid w:val="59682F71"/>
    <w:rsid w:val="59705BAE"/>
    <w:rsid w:val="597A573D"/>
    <w:rsid w:val="599A70AD"/>
    <w:rsid w:val="59A71CEC"/>
    <w:rsid w:val="59B166C6"/>
    <w:rsid w:val="59BB5797"/>
    <w:rsid w:val="59C04B5B"/>
    <w:rsid w:val="59D8398E"/>
    <w:rsid w:val="5A025174"/>
    <w:rsid w:val="5A0E1857"/>
    <w:rsid w:val="5A191C0D"/>
    <w:rsid w:val="5A1F4CBC"/>
    <w:rsid w:val="5A413FE0"/>
    <w:rsid w:val="5A56101C"/>
    <w:rsid w:val="5A5A3924"/>
    <w:rsid w:val="5A6B0F6B"/>
    <w:rsid w:val="5A6F4AB9"/>
    <w:rsid w:val="5A783688"/>
    <w:rsid w:val="5A940D98"/>
    <w:rsid w:val="5A9C41B2"/>
    <w:rsid w:val="5ADA3EB6"/>
    <w:rsid w:val="5ADD240D"/>
    <w:rsid w:val="5AE14D89"/>
    <w:rsid w:val="5AEF41DC"/>
    <w:rsid w:val="5AF423C3"/>
    <w:rsid w:val="5B0171D9"/>
    <w:rsid w:val="5B12588A"/>
    <w:rsid w:val="5B1D473C"/>
    <w:rsid w:val="5B1F58B2"/>
    <w:rsid w:val="5B3255E5"/>
    <w:rsid w:val="5B3D3AC2"/>
    <w:rsid w:val="5B3F5F54"/>
    <w:rsid w:val="5B4672E2"/>
    <w:rsid w:val="5B4D3242"/>
    <w:rsid w:val="5B5437AD"/>
    <w:rsid w:val="5B8371F4"/>
    <w:rsid w:val="5B991165"/>
    <w:rsid w:val="5B9B13DC"/>
    <w:rsid w:val="5BA364E3"/>
    <w:rsid w:val="5BAA161F"/>
    <w:rsid w:val="5BB22BCA"/>
    <w:rsid w:val="5BC052E6"/>
    <w:rsid w:val="5BC07095"/>
    <w:rsid w:val="5BF77C6D"/>
    <w:rsid w:val="5C1B7675"/>
    <w:rsid w:val="5C2F7D76"/>
    <w:rsid w:val="5C321615"/>
    <w:rsid w:val="5C3A6E47"/>
    <w:rsid w:val="5C4D796F"/>
    <w:rsid w:val="5C8835A6"/>
    <w:rsid w:val="5C902F0B"/>
    <w:rsid w:val="5C903405"/>
    <w:rsid w:val="5C9D4E36"/>
    <w:rsid w:val="5CA0647D"/>
    <w:rsid w:val="5CA40764"/>
    <w:rsid w:val="5CAC724A"/>
    <w:rsid w:val="5CAC7619"/>
    <w:rsid w:val="5CAF3AF1"/>
    <w:rsid w:val="5CB12E81"/>
    <w:rsid w:val="5CB35043"/>
    <w:rsid w:val="5CBC60F5"/>
    <w:rsid w:val="5CF54B1C"/>
    <w:rsid w:val="5CFB09C9"/>
    <w:rsid w:val="5D0134C1"/>
    <w:rsid w:val="5D0416EF"/>
    <w:rsid w:val="5D2378DB"/>
    <w:rsid w:val="5D3C274B"/>
    <w:rsid w:val="5D3F277F"/>
    <w:rsid w:val="5D4E1EA4"/>
    <w:rsid w:val="5D5757D7"/>
    <w:rsid w:val="5D7B75A5"/>
    <w:rsid w:val="5D7E0FB5"/>
    <w:rsid w:val="5D8A5BAC"/>
    <w:rsid w:val="5D8E28FB"/>
    <w:rsid w:val="5DA373AD"/>
    <w:rsid w:val="5DA56542"/>
    <w:rsid w:val="5DAD53F7"/>
    <w:rsid w:val="5DDD6CEB"/>
    <w:rsid w:val="5DE177A1"/>
    <w:rsid w:val="5E062D59"/>
    <w:rsid w:val="5E113BD7"/>
    <w:rsid w:val="5E145476"/>
    <w:rsid w:val="5E2205CA"/>
    <w:rsid w:val="5E2558D5"/>
    <w:rsid w:val="5E2D6537"/>
    <w:rsid w:val="5E3B0C54"/>
    <w:rsid w:val="5E4A70E9"/>
    <w:rsid w:val="5E5C6BAC"/>
    <w:rsid w:val="5E6006BB"/>
    <w:rsid w:val="5E633377"/>
    <w:rsid w:val="5E7355B0"/>
    <w:rsid w:val="5E794EDE"/>
    <w:rsid w:val="5E7D7A77"/>
    <w:rsid w:val="5E856D27"/>
    <w:rsid w:val="5E882385"/>
    <w:rsid w:val="5EA306D2"/>
    <w:rsid w:val="5EA7453C"/>
    <w:rsid w:val="5ED13367"/>
    <w:rsid w:val="5EE50BC0"/>
    <w:rsid w:val="5EEB2E89"/>
    <w:rsid w:val="5EFC0A8E"/>
    <w:rsid w:val="5F284C0E"/>
    <w:rsid w:val="5F2B6F1B"/>
    <w:rsid w:val="5F4070E6"/>
    <w:rsid w:val="5F426012"/>
    <w:rsid w:val="5F457F02"/>
    <w:rsid w:val="5F4E2C09"/>
    <w:rsid w:val="5F506981"/>
    <w:rsid w:val="5F592BBF"/>
    <w:rsid w:val="5F6146EB"/>
    <w:rsid w:val="5F6A335E"/>
    <w:rsid w:val="5F6D4AD6"/>
    <w:rsid w:val="5F814D8D"/>
    <w:rsid w:val="5F8A2976"/>
    <w:rsid w:val="5F8B79B9"/>
    <w:rsid w:val="5F906D7E"/>
    <w:rsid w:val="5FBC43D6"/>
    <w:rsid w:val="5FBF7663"/>
    <w:rsid w:val="5FC77254"/>
    <w:rsid w:val="5FCD0992"/>
    <w:rsid w:val="60113230"/>
    <w:rsid w:val="6012249B"/>
    <w:rsid w:val="60151A0B"/>
    <w:rsid w:val="60190FC6"/>
    <w:rsid w:val="604007A4"/>
    <w:rsid w:val="605D3104"/>
    <w:rsid w:val="60795A64"/>
    <w:rsid w:val="607D5554"/>
    <w:rsid w:val="60822B6A"/>
    <w:rsid w:val="608F34D9"/>
    <w:rsid w:val="60B30F76"/>
    <w:rsid w:val="60B77A39"/>
    <w:rsid w:val="60BD1DF5"/>
    <w:rsid w:val="60CE4002"/>
    <w:rsid w:val="60E62747"/>
    <w:rsid w:val="610E43FE"/>
    <w:rsid w:val="61126F33"/>
    <w:rsid w:val="61135EB8"/>
    <w:rsid w:val="61137C66"/>
    <w:rsid w:val="611655F8"/>
    <w:rsid w:val="61165BEF"/>
    <w:rsid w:val="61493688"/>
    <w:rsid w:val="616D0348"/>
    <w:rsid w:val="61885C49"/>
    <w:rsid w:val="618B5A4F"/>
    <w:rsid w:val="61B74A96"/>
    <w:rsid w:val="61B83B4B"/>
    <w:rsid w:val="61C96577"/>
    <w:rsid w:val="61E12D57"/>
    <w:rsid w:val="61FE02CD"/>
    <w:rsid w:val="621576B3"/>
    <w:rsid w:val="624D71A8"/>
    <w:rsid w:val="625C563D"/>
    <w:rsid w:val="6263077A"/>
    <w:rsid w:val="62853BC4"/>
    <w:rsid w:val="629848C7"/>
    <w:rsid w:val="629864C1"/>
    <w:rsid w:val="62A36DC8"/>
    <w:rsid w:val="62B47227"/>
    <w:rsid w:val="62B965EC"/>
    <w:rsid w:val="62D20578"/>
    <w:rsid w:val="62D954FE"/>
    <w:rsid w:val="62E73159"/>
    <w:rsid w:val="62E84B16"/>
    <w:rsid w:val="62ED3873"/>
    <w:rsid w:val="63002A2C"/>
    <w:rsid w:val="631D27A4"/>
    <w:rsid w:val="63275C4B"/>
    <w:rsid w:val="632909B0"/>
    <w:rsid w:val="63343EC4"/>
    <w:rsid w:val="63586994"/>
    <w:rsid w:val="63730E90"/>
    <w:rsid w:val="63974B7F"/>
    <w:rsid w:val="63AD43A2"/>
    <w:rsid w:val="63EB4B5E"/>
    <w:rsid w:val="63EE24CB"/>
    <w:rsid w:val="64213605"/>
    <w:rsid w:val="644E6E76"/>
    <w:rsid w:val="644F0FB6"/>
    <w:rsid w:val="6468651B"/>
    <w:rsid w:val="64786EB7"/>
    <w:rsid w:val="6479004C"/>
    <w:rsid w:val="649371CA"/>
    <w:rsid w:val="649410BE"/>
    <w:rsid w:val="64A84463"/>
    <w:rsid w:val="64B452BD"/>
    <w:rsid w:val="64BE7818"/>
    <w:rsid w:val="64BF6DD7"/>
    <w:rsid w:val="64CC2758"/>
    <w:rsid w:val="64CE659A"/>
    <w:rsid w:val="64D140C0"/>
    <w:rsid w:val="651B533C"/>
    <w:rsid w:val="652E102B"/>
    <w:rsid w:val="652F7039"/>
    <w:rsid w:val="65334880"/>
    <w:rsid w:val="655D371D"/>
    <w:rsid w:val="656B46CF"/>
    <w:rsid w:val="65711CFD"/>
    <w:rsid w:val="657716F6"/>
    <w:rsid w:val="657872E1"/>
    <w:rsid w:val="657B357C"/>
    <w:rsid w:val="65842EE1"/>
    <w:rsid w:val="658F3F7F"/>
    <w:rsid w:val="659B647C"/>
    <w:rsid w:val="65C23A09"/>
    <w:rsid w:val="65CE5F42"/>
    <w:rsid w:val="65D025CA"/>
    <w:rsid w:val="65D97752"/>
    <w:rsid w:val="65ED7C39"/>
    <w:rsid w:val="65F362B8"/>
    <w:rsid w:val="6610369A"/>
    <w:rsid w:val="661A074A"/>
    <w:rsid w:val="662E0D80"/>
    <w:rsid w:val="664A62D0"/>
    <w:rsid w:val="664E2757"/>
    <w:rsid w:val="665C06E5"/>
    <w:rsid w:val="6681025D"/>
    <w:rsid w:val="66845C1A"/>
    <w:rsid w:val="66A3792A"/>
    <w:rsid w:val="66B43C9A"/>
    <w:rsid w:val="66F16726"/>
    <w:rsid w:val="66FF23F5"/>
    <w:rsid w:val="67006EDF"/>
    <w:rsid w:val="670A6088"/>
    <w:rsid w:val="670D26FD"/>
    <w:rsid w:val="671C4F1D"/>
    <w:rsid w:val="672957C5"/>
    <w:rsid w:val="67404CC7"/>
    <w:rsid w:val="67534662"/>
    <w:rsid w:val="67715F8D"/>
    <w:rsid w:val="67762CFD"/>
    <w:rsid w:val="677A27ED"/>
    <w:rsid w:val="678278F4"/>
    <w:rsid w:val="67874F0A"/>
    <w:rsid w:val="678E70B8"/>
    <w:rsid w:val="679E40DF"/>
    <w:rsid w:val="67AE06E9"/>
    <w:rsid w:val="67B66297"/>
    <w:rsid w:val="67BC0C6C"/>
    <w:rsid w:val="67C27CF0"/>
    <w:rsid w:val="67CA4908"/>
    <w:rsid w:val="67CD5013"/>
    <w:rsid w:val="67D43D2A"/>
    <w:rsid w:val="67D603FB"/>
    <w:rsid w:val="67DE7AB7"/>
    <w:rsid w:val="67E22141"/>
    <w:rsid w:val="67EB7279"/>
    <w:rsid w:val="67F00D02"/>
    <w:rsid w:val="67FA0C0D"/>
    <w:rsid w:val="67FA4C32"/>
    <w:rsid w:val="67FC37A4"/>
    <w:rsid w:val="68073211"/>
    <w:rsid w:val="680D302E"/>
    <w:rsid w:val="68120C78"/>
    <w:rsid w:val="682254AB"/>
    <w:rsid w:val="68306922"/>
    <w:rsid w:val="683706DE"/>
    <w:rsid w:val="68456F93"/>
    <w:rsid w:val="68490D46"/>
    <w:rsid w:val="68644C18"/>
    <w:rsid w:val="686E2005"/>
    <w:rsid w:val="6873723D"/>
    <w:rsid w:val="688527C6"/>
    <w:rsid w:val="6897117D"/>
    <w:rsid w:val="68B65DAC"/>
    <w:rsid w:val="68B7181F"/>
    <w:rsid w:val="68C42F08"/>
    <w:rsid w:val="68D423D1"/>
    <w:rsid w:val="68DB3BE2"/>
    <w:rsid w:val="68E00D76"/>
    <w:rsid w:val="68EB0689"/>
    <w:rsid w:val="68ED02CC"/>
    <w:rsid w:val="68FE2FAA"/>
    <w:rsid w:val="6905258B"/>
    <w:rsid w:val="690757FD"/>
    <w:rsid w:val="694E58B9"/>
    <w:rsid w:val="694F7CAA"/>
    <w:rsid w:val="69543E93"/>
    <w:rsid w:val="695E7B16"/>
    <w:rsid w:val="69673CF2"/>
    <w:rsid w:val="696D7D64"/>
    <w:rsid w:val="697B5ECC"/>
    <w:rsid w:val="697E05AE"/>
    <w:rsid w:val="69AA0CD3"/>
    <w:rsid w:val="69AA3132"/>
    <w:rsid w:val="69C37534"/>
    <w:rsid w:val="69C416D7"/>
    <w:rsid w:val="69D76619"/>
    <w:rsid w:val="69DE62E5"/>
    <w:rsid w:val="69EA7D57"/>
    <w:rsid w:val="69F26D9C"/>
    <w:rsid w:val="6A132A85"/>
    <w:rsid w:val="6A1C5B42"/>
    <w:rsid w:val="6A2353BE"/>
    <w:rsid w:val="6A2D1B26"/>
    <w:rsid w:val="6A30572B"/>
    <w:rsid w:val="6A49573F"/>
    <w:rsid w:val="6A4B66C3"/>
    <w:rsid w:val="6A4E1D0F"/>
    <w:rsid w:val="6A507835"/>
    <w:rsid w:val="6A51141E"/>
    <w:rsid w:val="6A6D4C91"/>
    <w:rsid w:val="6AC66F2D"/>
    <w:rsid w:val="6AD05952"/>
    <w:rsid w:val="6ADC556D"/>
    <w:rsid w:val="6AFD7D57"/>
    <w:rsid w:val="6AFE0C49"/>
    <w:rsid w:val="6B0E014E"/>
    <w:rsid w:val="6B145866"/>
    <w:rsid w:val="6B1B3DAE"/>
    <w:rsid w:val="6B1B42E7"/>
    <w:rsid w:val="6B454EC0"/>
    <w:rsid w:val="6B4F5D3F"/>
    <w:rsid w:val="6B4F7662"/>
    <w:rsid w:val="6B503958"/>
    <w:rsid w:val="6B504DD7"/>
    <w:rsid w:val="6B72693D"/>
    <w:rsid w:val="6B855C05"/>
    <w:rsid w:val="6B8754D9"/>
    <w:rsid w:val="6BB22A33"/>
    <w:rsid w:val="6BC95AF1"/>
    <w:rsid w:val="6BDF3567"/>
    <w:rsid w:val="6BF663C6"/>
    <w:rsid w:val="6BFF1513"/>
    <w:rsid w:val="6C044D7B"/>
    <w:rsid w:val="6C07486C"/>
    <w:rsid w:val="6C2C1B32"/>
    <w:rsid w:val="6C2E1DF8"/>
    <w:rsid w:val="6C30660C"/>
    <w:rsid w:val="6C32689C"/>
    <w:rsid w:val="6C485AAB"/>
    <w:rsid w:val="6C5B501D"/>
    <w:rsid w:val="6C671FC1"/>
    <w:rsid w:val="6C6B6BA9"/>
    <w:rsid w:val="6C7250C1"/>
    <w:rsid w:val="6C8A3643"/>
    <w:rsid w:val="6C8E6D3B"/>
    <w:rsid w:val="6C9E6F7E"/>
    <w:rsid w:val="6C9E71E2"/>
    <w:rsid w:val="6CC85DA9"/>
    <w:rsid w:val="6CDA6A99"/>
    <w:rsid w:val="6CE30E35"/>
    <w:rsid w:val="6D0938B4"/>
    <w:rsid w:val="6D125276"/>
    <w:rsid w:val="6D441F80"/>
    <w:rsid w:val="6D5671C2"/>
    <w:rsid w:val="6D627B71"/>
    <w:rsid w:val="6D6614C9"/>
    <w:rsid w:val="6D7E290C"/>
    <w:rsid w:val="6D816DFC"/>
    <w:rsid w:val="6D836174"/>
    <w:rsid w:val="6DAB4FF7"/>
    <w:rsid w:val="6DB4632D"/>
    <w:rsid w:val="6DD74929"/>
    <w:rsid w:val="6DD8201C"/>
    <w:rsid w:val="6DD864C0"/>
    <w:rsid w:val="6DDB7D5E"/>
    <w:rsid w:val="6DE47554"/>
    <w:rsid w:val="6DE70C60"/>
    <w:rsid w:val="6DEA5F3A"/>
    <w:rsid w:val="6DEF6EF9"/>
    <w:rsid w:val="6DF13842"/>
    <w:rsid w:val="6E0E5B84"/>
    <w:rsid w:val="6E314502"/>
    <w:rsid w:val="6E450FA6"/>
    <w:rsid w:val="6E622D2D"/>
    <w:rsid w:val="6E652F74"/>
    <w:rsid w:val="6E675EF9"/>
    <w:rsid w:val="6E6E0BD2"/>
    <w:rsid w:val="6E880ED9"/>
    <w:rsid w:val="6E9A5523"/>
    <w:rsid w:val="6E9F0D8B"/>
    <w:rsid w:val="6EA3143E"/>
    <w:rsid w:val="6EA90192"/>
    <w:rsid w:val="6EB218E4"/>
    <w:rsid w:val="6EBD1290"/>
    <w:rsid w:val="6EC802E2"/>
    <w:rsid w:val="6ED00F45"/>
    <w:rsid w:val="6ED253BD"/>
    <w:rsid w:val="6ED924EF"/>
    <w:rsid w:val="6EF63668"/>
    <w:rsid w:val="6EFA1A61"/>
    <w:rsid w:val="6F0237C4"/>
    <w:rsid w:val="6F2179F2"/>
    <w:rsid w:val="6F2620D0"/>
    <w:rsid w:val="6F266C57"/>
    <w:rsid w:val="6F35349E"/>
    <w:rsid w:val="6F6F4C02"/>
    <w:rsid w:val="6F7E4E45"/>
    <w:rsid w:val="6F83747C"/>
    <w:rsid w:val="6F8B1310"/>
    <w:rsid w:val="6F8D2A5D"/>
    <w:rsid w:val="6F920C00"/>
    <w:rsid w:val="6FB37AF9"/>
    <w:rsid w:val="6FB410EE"/>
    <w:rsid w:val="6FB56DCD"/>
    <w:rsid w:val="6FC7059A"/>
    <w:rsid w:val="6FCD0BB3"/>
    <w:rsid w:val="6FE07C8E"/>
    <w:rsid w:val="6FEB4920"/>
    <w:rsid w:val="6FF8221F"/>
    <w:rsid w:val="7003534A"/>
    <w:rsid w:val="700F3CEF"/>
    <w:rsid w:val="70217B9A"/>
    <w:rsid w:val="70227EC6"/>
    <w:rsid w:val="70383246"/>
    <w:rsid w:val="70390D6C"/>
    <w:rsid w:val="703B1D32"/>
    <w:rsid w:val="70402BB8"/>
    <w:rsid w:val="70633683"/>
    <w:rsid w:val="70661949"/>
    <w:rsid w:val="70761788"/>
    <w:rsid w:val="7076459B"/>
    <w:rsid w:val="707A560C"/>
    <w:rsid w:val="70827219"/>
    <w:rsid w:val="70912956"/>
    <w:rsid w:val="70A02B99"/>
    <w:rsid w:val="70A71CF7"/>
    <w:rsid w:val="70B70694"/>
    <w:rsid w:val="70C525FF"/>
    <w:rsid w:val="70F15002"/>
    <w:rsid w:val="71125AF7"/>
    <w:rsid w:val="71227BBE"/>
    <w:rsid w:val="712D267F"/>
    <w:rsid w:val="71393A30"/>
    <w:rsid w:val="713C06FC"/>
    <w:rsid w:val="714C2C71"/>
    <w:rsid w:val="71662034"/>
    <w:rsid w:val="71710BE9"/>
    <w:rsid w:val="718304F0"/>
    <w:rsid w:val="71852E87"/>
    <w:rsid w:val="71880C5D"/>
    <w:rsid w:val="719251BA"/>
    <w:rsid w:val="71946BA2"/>
    <w:rsid w:val="71DD7011"/>
    <w:rsid w:val="71E80C9B"/>
    <w:rsid w:val="71FA568C"/>
    <w:rsid w:val="71FD4747"/>
    <w:rsid w:val="72023C15"/>
    <w:rsid w:val="720535FB"/>
    <w:rsid w:val="720A602E"/>
    <w:rsid w:val="7240241C"/>
    <w:rsid w:val="726102B7"/>
    <w:rsid w:val="726227FC"/>
    <w:rsid w:val="72832E2D"/>
    <w:rsid w:val="72AC67BD"/>
    <w:rsid w:val="72C45265"/>
    <w:rsid w:val="72C93E33"/>
    <w:rsid w:val="72E2393D"/>
    <w:rsid w:val="72E93067"/>
    <w:rsid w:val="72E967A5"/>
    <w:rsid w:val="73012015"/>
    <w:rsid w:val="730613D9"/>
    <w:rsid w:val="730A1890"/>
    <w:rsid w:val="7310016F"/>
    <w:rsid w:val="7346211D"/>
    <w:rsid w:val="7348321B"/>
    <w:rsid w:val="7358470B"/>
    <w:rsid w:val="735859AD"/>
    <w:rsid w:val="739014F4"/>
    <w:rsid w:val="73A624F6"/>
    <w:rsid w:val="73B50B5A"/>
    <w:rsid w:val="73BB61C1"/>
    <w:rsid w:val="73CA3A53"/>
    <w:rsid w:val="73E060CE"/>
    <w:rsid w:val="73E76964"/>
    <w:rsid w:val="73E94496"/>
    <w:rsid w:val="73F950FE"/>
    <w:rsid w:val="73FE47A6"/>
    <w:rsid w:val="74031DBD"/>
    <w:rsid w:val="74211FD2"/>
    <w:rsid w:val="7432548D"/>
    <w:rsid w:val="74561329"/>
    <w:rsid w:val="745919DD"/>
    <w:rsid w:val="746779EB"/>
    <w:rsid w:val="747A3EB5"/>
    <w:rsid w:val="747F6EA6"/>
    <w:rsid w:val="748A7DE8"/>
    <w:rsid w:val="749C3A8E"/>
    <w:rsid w:val="74A40EAA"/>
    <w:rsid w:val="74A52E74"/>
    <w:rsid w:val="74A62F76"/>
    <w:rsid w:val="74C432FA"/>
    <w:rsid w:val="74C6415A"/>
    <w:rsid w:val="74D9413E"/>
    <w:rsid w:val="74EC6D88"/>
    <w:rsid w:val="74ED5EE1"/>
    <w:rsid w:val="74F54825"/>
    <w:rsid w:val="750346A1"/>
    <w:rsid w:val="75297C98"/>
    <w:rsid w:val="753D30AC"/>
    <w:rsid w:val="756417D1"/>
    <w:rsid w:val="75846F2D"/>
    <w:rsid w:val="75994153"/>
    <w:rsid w:val="75B96BD7"/>
    <w:rsid w:val="75BA49D4"/>
    <w:rsid w:val="75BE41ED"/>
    <w:rsid w:val="75DC28C5"/>
    <w:rsid w:val="75E86FC4"/>
    <w:rsid w:val="75EA3ED3"/>
    <w:rsid w:val="75F145C2"/>
    <w:rsid w:val="75F45E61"/>
    <w:rsid w:val="761C7166"/>
    <w:rsid w:val="762322A2"/>
    <w:rsid w:val="76285B0A"/>
    <w:rsid w:val="76310B4B"/>
    <w:rsid w:val="76463CCB"/>
    <w:rsid w:val="765B79F0"/>
    <w:rsid w:val="766B0D4A"/>
    <w:rsid w:val="768C7E47"/>
    <w:rsid w:val="76BF021D"/>
    <w:rsid w:val="76C70E7F"/>
    <w:rsid w:val="76D14B6E"/>
    <w:rsid w:val="76E51514"/>
    <w:rsid w:val="76F82B81"/>
    <w:rsid w:val="771951E0"/>
    <w:rsid w:val="7730111A"/>
    <w:rsid w:val="77335F32"/>
    <w:rsid w:val="774B1B52"/>
    <w:rsid w:val="77505319"/>
    <w:rsid w:val="775741AC"/>
    <w:rsid w:val="775B5A6C"/>
    <w:rsid w:val="776D1464"/>
    <w:rsid w:val="776E39F1"/>
    <w:rsid w:val="777E21E8"/>
    <w:rsid w:val="77850422"/>
    <w:rsid w:val="77862AE9"/>
    <w:rsid w:val="77882D05"/>
    <w:rsid w:val="77890E3C"/>
    <w:rsid w:val="779C14E3"/>
    <w:rsid w:val="779F3F7B"/>
    <w:rsid w:val="77A411C1"/>
    <w:rsid w:val="77A92C7B"/>
    <w:rsid w:val="77AD6BD4"/>
    <w:rsid w:val="77C4778F"/>
    <w:rsid w:val="77D23F80"/>
    <w:rsid w:val="77DE46D3"/>
    <w:rsid w:val="77E9324E"/>
    <w:rsid w:val="77ED3D5C"/>
    <w:rsid w:val="77EE46EC"/>
    <w:rsid w:val="77FB4C8D"/>
    <w:rsid w:val="78025D40"/>
    <w:rsid w:val="78085BF3"/>
    <w:rsid w:val="78102904"/>
    <w:rsid w:val="7818151A"/>
    <w:rsid w:val="78354754"/>
    <w:rsid w:val="78686692"/>
    <w:rsid w:val="78713799"/>
    <w:rsid w:val="788F1735"/>
    <w:rsid w:val="78930456"/>
    <w:rsid w:val="789F425D"/>
    <w:rsid w:val="78A06008"/>
    <w:rsid w:val="78A43B6E"/>
    <w:rsid w:val="78C117D1"/>
    <w:rsid w:val="78C97416"/>
    <w:rsid w:val="78D04DB6"/>
    <w:rsid w:val="78D50BE4"/>
    <w:rsid w:val="78DB3308"/>
    <w:rsid w:val="78EC1071"/>
    <w:rsid w:val="78EC6490"/>
    <w:rsid w:val="78EF46BD"/>
    <w:rsid w:val="79054BBA"/>
    <w:rsid w:val="790E2F6B"/>
    <w:rsid w:val="7952069E"/>
    <w:rsid w:val="79536335"/>
    <w:rsid w:val="795409C4"/>
    <w:rsid w:val="795C650B"/>
    <w:rsid w:val="79607369"/>
    <w:rsid w:val="797177C8"/>
    <w:rsid w:val="797352EE"/>
    <w:rsid w:val="798E3ED6"/>
    <w:rsid w:val="79990A6E"/>
    <w:rsid w:val="79AC5227"/>
    <w:rsid w:val="79AD6A52"/>
    <w:rsid w:val="79B67B89"/>
    <w:rsid w:val="79B7342D"/>
    <w:rsid w:val="79B778D1"/>
    <w:rsid w:val="79C53217"/>
    <w:rsid w:val="79E32474"/>
    <w:rsid w:val="79E61F64"/>
    <w:rsid w:val="79EA1A55"/>
    <w:rsid w:val="79F65EAE"/>
    <w:rsid w:val="79FE72AE"/>
    <w:rsid w:val="7A0818A7"/>
    <w:rsid w:val="7A0D74F1"/>
    <w:rsid w:val="7A1545F8"/>
    <w:rsid w:val="7A386856"/>
    <w:rsid w:val="7A4A24F3"/>
    <w:rsid w:val="7A6115EB"/>
    <w:rsid w:val="7A9F176C"/>
    <w:rsid w:val="7AA53B79"/>
    <w:rsid w:val="7AA97E33"/>
    <w:rsid w:val="7AC9063C"/>
    <w:rsid w:val="7B136D89"/>
    <w:rsid w:val="7B205002"/>
    <w:rsid w:val="7B2745E3"/>
    <w:rsid w:val="7B454A69"/>
    <w:rsid w:val="7B4A2E33"/>
    <w:rsid w:val="7B4E03F5"/>
    <w:rsid w:val="7B5B24DE"/>
    <w:rsid w:val="7B5F7507"/>
    <w:rsid w:val="7B636CD3"/>
    <w:rsid w:val="7B7D4D04"/>
    <w:rsid w:val="7B98728E"/>
    <w:rsid w:val="7B9C5F93"/>
    <w:rsid w:val="7BA479E1"/>
    <w:rsid w:val="7BB45714"/>
    <w:rsid w:val="7BC4727D"/>
    <w:rsid w:val="7BE158A4"/>
    <w:rsid w:val="7BEB1AB4"/>
    <w:rsid w:val="7BEB3862"/>
    <w:rsid w:val="7C1C3A1B"/>
    <w:rsid w:val="7C222048"/>
    <w:rsid w:val="7C372140"/>
    <w:rsid w:val="7C4C02DB"/>
    <w:rsid w:val="7C55517F"/>
    <w:rsid w:val="7C647170"/>
    <w:rsid w:val="7C681333"/>
    <w:rsid w:val="7C743857"/>
    <w:rsid w:val="7C7E6A62"/>
    <w:rsid w:val="7C99372B"/>
    <w:rsid w:val="7CA3339F"/>
    <w:rsid w:val="7CAA7D73"/>
    <w:rsid w:val="7CAD4FBB"/>
    <w:rsid w:val="7CC73C21"/>
    <w:rsid w:val="7CC7607D"/>
    <w:rsid w:val="7CCA791B"/>
    <w:rsid w:val="7CD04806"/>
    <w:rsid w:val="7CD6006E"/>
    <w:rsid w:val="7CE07078"/>
    <w:rsid w:val="7CE34539"/>
    <w:rsid w:val="7CEB7F62"/>
    <w:rsid w:val="7CF90201"/>
    <w:rsid w:val="7D083FA0"/>
    <w:rsid w:val="7D1E4059"/>
    <w:rsid w:val="7D3905FD"/>
    <w:rsid w:val="7D3B4375"/>
    <w:rsid w:val="7D56152C"/>
    <w:rsid w:val="7D697E7F"/>
    <w:rsid w:val="7D755AD9"/>
    <w:rsid w:val="7D893333"/>
    <w:rsid w:val="7D9F222A"/>
    <w:rsid w:val="7DBB54B6"/>
    <w:rsid w:val="7DD1314A"/>
    <w:rsid w:val="7DED0FE8"/>
    <w:rsid w:val="7DF86305"/>
    <w:rsid w:val="7E1150D6"/>
    <w:rsid w:val="7E126DBA"/>
    <w:rsid w:val="7E153868"/>
    <w:rsid w:val="7E335196"/>
    <w:rsid w:val="7E3F1C43"/>
    <w:rsid w:val="7E421F1F"/>
    <w:rsid w:val="7E551467"/>
    <w:rsid w:val="7E55238A"/>
    <w:rsid w:val="7E5B355F"/>
    <w:rsid w:val="7E5C778A"/>
    <w:rsid w:val="7E6D0329"/>
    <w:rsid w:val="7E747B3F"/>
    <w:rsid w:val="7E78372F"/>
    <w:rsid w:val="7E7A2C7B"/>
    <w:rsid w:val="7E8E005E"/>
    <w:rsid w:val="7E97572C"/>
    <w:rsid w:val="7E9A50CB"/>
    <w:rsid w:val="7E9D4E93"/>
    <w:rsid w:val="7EB862A6"/>
    <w:rsid w:val="7EC5039A"/>
    <w:rsid w:val="7EC64112"/>
    <w:rsid w:val="7ECD54A1"/>
    <w:rsid w:val="7EE34AAB"/>
    <w:rsid w:val="7EE3571E"/>
    <w:rsid w:val="7EF35D13"/>
    <w:rsid w:val="7F004672"/>
    <w:rsid w:val="7F007624"/>
    <w:rsid w:val="7F241E0B"/>
    <w:rsid w:val="7F2F36CA"/>
    <w:rsid w:val="7F695FBB"/>
    <w:rsid w:val="7F735436"/>
    <w:rsid w:val="7F7818B1"/>
    <w:rsid w:val="7F857B2A"/>
    <w:rsid w:val="7FA2248A"/>
    <w:rsid w:val="7FA94E28"/>
    <w:rsid w:val="7FAC3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1"/>
      <w:lang w:val="en-US" w:eastAsia="zh-CN" w:bidi="ar-SA"/>
    </w:rPr>
  </w:style>
  <w:style w:type="paragraph" w:styleId="2">
    <w:name w:val="heading 1"/>
    <w:basedOn w:val="1"/>
    <w:next w:val="1"/>
    <w:autoRedefine/>
    <w:qFormat/>
    <w:uiPriority w:val="0"/>
    <w:pPr>
      <w:keepNext/>
      <w:keepLines/>
      <w:ind w:left="630" w:leftChars="100" w:right="100" w:rightChars="100"/>
      <w:jc w:val="center"/>
      <w:outlineLvl w:val="0"/>
    </w:pPr>
    <w:rPr>
      <w:rFonts w:cs="Times New Roman"/>
      <w:b/>
      <w:bCs/>
      <w:kern w:val="44"/>
      <w:sz w:val="36"/>
      <w:szCs w:val="44"/>
    </w:rPr>
  </w:style>
  <w:style w:type="paragraph" w:styleId="3">
    <w:name w:val="heading 2"/>
    <w:basedOn w:val="1"/>
    <w:next w:val="1"/>
    <w:autoRedefine/>
    <w:qFormat/>
    <w:uiPriority w:val="0"/>
    <w:pPr>
      <w:keepNext/>
      <w:keepLines/>
      <w:spacing w:before="140" w:after="140"/>
      <w:ind w:left="210" w:leftChars="100" w:right="100" w:rightChars="100"/>
      <w:jc w:val="center"/>
      <w:outlineLvl w:val="1"/>
    </w:pPr>
    <w:rPr>
      <w:rFonts w:ascii="Arial" w:hAnsi="Arial" w:cs="Times New Roman"/>
      <w:b/>
      <w:bCs/>
      <w:sz w:val="32"/>
      <w:szCs w:val="32"/>
    </w:rPr>
  </w:style>
  <w:style w:type="paragraph" w:styleId="4">
    <w:name w:val="heading 3"/>
    <w:basedOn w:val="1"/>
    <w:next w:val="1"/>
    <w:autoRedefine/>
    <w:qFormat/>
    <w:uiPriority w:val="0"/>
    <w:pPr>
      <w:keepNext/>
      <w:keepLines/>
      <w:spacing w:before="260" w:after="260" w:line="415" w:lineRule="auto"/>
      <w:outlineLvl w:val="2"/>
    </w:pPr>
    <w:rPr>
      <w:rFonts w:cs="Times New Roman"/>
      <w:b/>
      <w:bCs/>
      <w:sz w:val="32"/>
      <w:szCs w:val="32"/>
    </w:rPr>
  </w:style>
  <w:style w:type="paragraph" w:styleId="5">
    <w:name w:val="heading 4"/>
    <w:basedOn w:val="1"/>
    <w:next w:val="1"/>
    <w:autoRedefine/>
    <w:qFormat/>
    <w:uiPriority w:val="0"/>
    <w:pPr>
      <w:keepNext/>
      <w:keepLines/>
      <w:tabs>
        <w:tab w:val="left" w:pos="1980"/>
      </w:tabs>
      <w:spacing w:beforeLines="50" w:afterLines="50" w:line="360" w:lineRule="auto"/>
      <w:ind w:firstLine="475" w:firstLineChars="197"/>
      <w:outlineLvl w:val="3"/>
    </w:pPr>
    <w:rPr>
      <w:rFonts w:ascii="Arial" w:hAnsi="Arial"/>
      <w:b/>
      <w:bCs/>
      <w:sz w:val="24"/>
    </w:rPr>
  </w:style>
  <w:style w:type="character" w:default="1" w:styleId="16">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6">
    <w:name w:val="annotation text"/>
    <w:basedOn w:val="1"/>
    <w:autoRedefine/>
    <w:qFormat/>
    <w:uiPriority w:val="0"/>
    <w:pPr>
      <w:jc w:val="left"/>
    </w:pPr>
  </w:style>
  <w:style w:type="paragraph" w:styleId="7">
    <w:name w:val="Body Text"/>
    <w:basedOn w:val="1"/>
    <w:autoRedefine/>
    <w:qFormat/>
    <w:uiPriority w:val="0"/>
    <w:pPr>
      <w:spacing w:after="120"/>
    </w:pPr>
  </w:style>
  <w:style w:type="paragraph" w:styleId="8">
    <w:name w:val="Plain Text"/>
    <w:basedOn w:val="1"/>
    <w:next w:val="9"/>
    <w:autoRedefine/>
    <w:qFormat/>
    <w:uiPriority w:val="0"/>
    <w:rPr>
      <w:rFonts w:ascii="宋体" w:hAnsi="Courier New" w:cs="Times New Roman"/>
      <w:kern w:val="0"/>
      <w:sz w:val="20"/>
      <w:szCs w:val="20"/>
    </w:rPr>
  </w:style>
  <w:style w:type="paragraph" w:customStyle="1" w:styleId="9">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0">
    <w:name w:val="Balloon Text"/>
    <w:basedOn w:val="1"/>
    <w:link w:val="27"/>
    <w:qFormat/>
    <w:uiPriority w:val="0"/>
    <w:rPr>
      <w:sz w:val="18"/>
      <w:szCs w:val="18"/>
    </w:rPr>
  </w:style>
  <w:style w:type="paragraph" w:styleId="11">
    <w:name w:val="footer"/>
    <w:basedOn w:val="1"/>
    <w:autoRedefine/>
    <w:qFormat/>
    <w:uiPriority w:val="0"/>
    <w:pPr>
      <w:tabs>
        <w:tab w:val="center" w:pos="4153"/>
        <w:tab w:val="right" w:pos="8306"/>
      </w:tabs>
      <w:snapToGrid w:val="0"/>
      <w:jc w:val="left"/>
    </w:pPr>
    <w:rPr>
      <w:rFonts w:ascii="宋体" w:cs="Times New Roman"/>
      <w:kern w:val="0"/>
      <w:sz w:val="18"/>
      <w:szCs w:val="18"/>
    </w:rPr>
  </w:style>
  <w:style w:type="paragraph" w:styleId="12">
    <w:name w:val="header"/>
    <w:basedOn w:val="1"/>
    <w:link w:val="24"/>
    <w:autoRedefine/>
    <w:qFormat/>
    <w:uiPriority w:val="0"/>
    <w:pPr>
      <w:tabs>
        <w:tab w:val="center" w:pos="4153"/>
        <w:tab w:val="right" w:pos="8306"/>
      </w:tabs>
      <w:snapToGrid w:val="0"/>
      <w:jc w:val="center"/>
    </w:pPr>
    <w:rPr>
      <w:sz w:val="18"/>
      <w:szCs w:val="18"/>
    </w:rPr>
  </w:style>
  <w:style w:type="paragraph" w:styleId="13">
    <w:name w:val="toc 1"/>
    <w:basedOn w:val="1"/>
    <w:next w:val="1"/>
    <w:autoRedefine/>
    <w:qFormat/>
    <w:uiPriority w:val="39"/>
    <w:pPr>
      <w:spacing w:before="240" w:after="240"/>
      <w:ind w:left="100" w:leftChars="100" w:right="100" w:rightChars="100"/>
      <w:jc w:val="left"/>
    </w:pPr>
    <w:rPr>
      <w:sz w:val="36"/>
    </w:rPr>
  </w:style>
  <w:style w:type="table" w:styleId="15">
    <w:name w:val="Table Grid"/>
    <w:basedOn w:val="1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basedOn w:val="16"/>
    <w:autoRedefine/>
    <w:qFormat/>
    <w:uiPriority w:val="0"/>
  </w:style>
  <w:style w:type="character" w:styleId="18">
    <w:name w:val="annotation reference"/>
    <w:basedOn w:val="16"/>
    <w:autoRedefine/>
    <w:qFormat/>
    <w:uiPriority w:val="0"/>
    <w:rPr>
      <w:sz w:val="21"/>
      <w:szCs w:val="21"/>
    </w:rPr>
  </w:style>
  <w:style w:type="character" w:customStyle="1" w:styleId="19">
    <w:name w:val="正文文本 (2) + 10 pt37"/>
    <w:autoRedefine/>
    <w:qFormat/>
    <w:uiPriority w:val="99"/>
    <w:rPr>
      <w:rFonts w:ascii="MingLiU" w:eastAsia="MingLiU" w:cs="MingLiU"/>
      <w:spacing w:val="0"/>
      <w:sz w:val="20"/>
      <w:szCs w:val="20"/>
      <w:u w:val="none"/>
    </w:rPr>
  </w:style>
  <w:style w:type="paragraph" w:customStyle="1" w:styleId="20">
    <w:name w:val="Table Paragraph"/>
    <w:basedOn w:val="1"/>
    <w:autoRedefine/>
    <w:qFormat/>
    <w:uiPriority w:val="1"/>
  </w:style>
  <w:style w:type="paragraph" w:customStyle="1" w:styleId="21">
    <w:name w:val="footer1"/>
    <w:basedOn w:val="1"/>
    <w:autoRedefine/>
    <w:qFormat/>
    <w:uiPriority w:val="0"/>
    <w:pPr>
      <w:tabs>
        <w:tab w:val="center" w:pos="4153"/>
        <w:tab w:val="right" w:pos="8306"/>
      </w:tabs>
      <w:snapToGrid w:val="0"/>
      <w:jc w:val="left"/>
    </w:pPr>
    <w:rPr>
      <w:rFonts w:ascii="宋体" w:cs="Times New Roman"/>
      <w:kern w:val="0"/>
      <w:sz w:val="18"/>
      <w:szCs w:val="18"/>
    </w:rPr>
  </w:style>
  <w:style w:type="paragraph" w:customStyle="1" w:styleId="22">
    <w:name w:val="修订1"/>
    <w:autoRedefine/>
    <w:hidden/>
    <w:semiHidden/>
    <w:qFormat/>
    <w:uiPriority w:val="99"/>
    <w:rPr>
      <w:rFonts w:ascii="Times New Roman" w:hAnsi="Times New Roman" w:eastAsia="宋体" w:cs="宋体"/>
      <w:kern w:val="2"/>
      <w:sz w:val="21"/>
      <w:szCs w:val="21"/>
      <w:lang w:val="en-US" w:eastAsia="zh-CN" w:bidi="ar-SA"/>
    </w:rPr>
  </w:style>
  <w:style w:type="paragraph" w:customStyle="1" w:styleId="23">
    <w:name w:val="3标题"/>
    <w:basedOn w:val="1"/>
    <w:autoRedefine/>
    <w:qFormat/>
    <w:uiPriority w:val="0"/>
    <w:pPr>
      <w:keepNext/>
      <w:keepLines/>
      <w:spacing w:before="120" w:after="120" w:line="460" w:lineRule="exact"/>
      <w:outlineLvl w:val="1"/>
    </w:pPr>
    <w:rPr>
      <w:rFonts w:ascii="Arial" w:hAnsi="Arial" w:eastAsia="黑体" w:cs="Arial"/>
      <w:b/>
      <w:bCs/>
      <w:sz w:val="28"/>
      <w:szCs w:val="28"/>
    </w:rPr>
  </w:style>
  <w:style w:type="character" w:customStyle="1" w:styleId="24">
    <w:name w:val="页眉 字符"/>
    <w:basedOn w:val="16"/>
    <w:link w:val="12"/>
    <w:autoRedefine/>
    <w:qFormat/>
    <w:uiPriority w:val="0"/>
    <w:rPr>
      <w:rFonts w:cs="宋体"/>
      <w:kern w:val="2"/>
      <w:sz w:val="18"/>
      <w:szCs w:val="18"/>
    </w:rPr>
  </w:style>
  <w:style w:type="paragraph" w:customStyle="1" w:styleId="25">
    <w:name w:val="lian-标题1"/>
    <w:basedOn w:val="1"/>
    <w:autoRedefine/>
    <w:qFormat/>
    <w:uiPriority w:val="0"/>
    <w:pPr>
      <w:spacing w:before="156" w:beforeLines="50" w:after="156" w:afterLines="50" w:line="312" w:lineRule="auto"/>
      <w:jc w:val="center"/>
      <w:outlineLvl w:val="0"/>
    </w:pPr>
    <w:rPr>
      <w:rFonts w:ascii="Arial" w:hAnsi="Arial" w:cs="Arial"/>
      <w:b/>
      <w:sz w:val="32"/>
      <w:szCs w:val="32"/>
    </w:rPr>
  </w:style>
  <w:style w:type="paragraph" w:customStyle="1" w:styleId="26">
    <w:name w:val="lian-正文文本"/>
    <w:basedOn w:val="7"/>
    <w:autoRedefine/>
    <w:qFormat/>
    <w:uiPriority w:val="0"/>
    <w:pPr>
      <w:spacing w:before="156" w:beforeLines="50" w:after="156" w:afterLines="50" w:line="288" w:lineRule="auto"/>
      <w:ind w:firstLine="200" w:firstLineChars="200"/>
    </w:pPr>
    <w:rPr>
      <w:rFonts w:ascii="Arial" w:hAnsi="Arial" w:cs="Arial"/>
      <w:sz w:val="28"/>
    </w:rPr>
  </w:style>
  <w:style w:type="character" w:customStyle="1" w:styleId="27">
    <w:name w:val="批注框文本 字符"/>
    <w:basedOn w:val="16"/>
    <w:link w:val="10"/>
    <w:qFormat/>
    <w:uiPriority w:val="0"/>
    <w:rPr>
      <w:rFonts w:cs="宋体"/>
      <w:kern w:val="2"/>
      <w:sz w:val="18"/>
      <w:szCs w:val="18"/>
    </w:rPr>
  </w:style>
  <w:style w:type="paragraph" w:customStyle="1" w:styleId="28">
    <w:name w:val="正文3"/>
    <w:qFormat/>
    <w:uiPriority w:val="0"/>
    <w:pPr>
      <w:widowControl w:val="0"/>
      <w:adjustRightInd w:val="0"/>
      <w:spacing w:line="312" w:lineRule="atLeast"/>
      <w:jc w:val="both"/>
    </w:pPr>
    <w:rPr>
      <w:rFonts w:ascii="宋体" w:hAnsi="MingLiU_HKSCS" w:eastAsia="MingLiU_HKSCS" w:cs="Times New Roman"/>
      <w:sz w:val="3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596ECF-2523-412E-AD27-AAFABF74185C}">
  <ds:schemaRefs/>
</ds:datastoreItem>
</file>

<file path=docProps/app.xml><?xml version="1.0" encoding="utf-8"?>
<Properties xmlns="http://schemas.openxmlformats.org/officeDocument/2006/extended-properties" xmlns:vt="http://schemas.openxmlformats.org/officeDocument/2006/docPropsVTypes">
  <Template>Normal.dotm</Template>
  <Pages>11</Pages>
  <Words>8241</Words>
  <Characters>8758</Characters>
  <Lines>65</Lines>
  <Paragraphs>18</Paragraphs>
  <TotalTime>0</TotalTime>
  <ScaleCrop>false</ScaleCrop>
  <LinksUpToDate>false</LinksUpToDate>
  <CharactersWithSpaces>8940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2023-04-02T09:24:00Z</dcterms:created>
  <dc:creator>Administrator</dc:creator>
  <cp:lastModifiedBy>pz</cp:lastModifiedBy>
  <dcterms:modified xsi:type="dcterms:W3CDTF">2024-06-30T07:59:08Z</dcterms:modified>
  <cp:revision>160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AAA9FC7C919948F48532E490AE0EA5A3_12</vt:lpwstr>
  </property>
</Properties>
</file>