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color w:val="auto"/>
          <w:highlight w:val="none"/>
        </w:rPr>
      </w:pPr>
      <w:bookmarkStart w:id="0" w:name="_Toc14792047"/>
      <w:bookmarkStart w:id="4" w:name="_GoBack"/>
      <w:r>
        <w:rPr>
          <w:rFonts w:hint="eastAsia" w:ascii="宋体" w:hAnsi="宋体"/>
          <w:color w:val="auto"/>
          <w:highlight w:val="none"/>
        </w:rPr>
        <w:t>附录1</w:t>
      </w:r>
      <w:bookmarkEnd w:id="4"/>
      <w:r>
        <w:rPr>
          <w:rFonts w:hint="eastAsia" w:ascii="宋体" w:hAnsi="宋体"/>
          <w:color w:val="auto"/>
          <w:highlight w:val="none"/>
        </w:rPr>
        <w:t xml:space="preserve"> 资格审查条件（资质最低要求）</w:t>
      </w:r>
      <w:bookmarkEnd w:id="0"/>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trPr>
        <w:tc>
          <w:tcPr>
            <w:tcW w:w="8946" w:type="dxa"/>
            <w:noWrap w:val="0"/>
            <w:vAlign w:val="center"/>
          </w:tcPr>
          <w:p>
            <w:pPr>
              <w:spacing w:line="400" w:lineRule="exact"/>
              <w:jc w:val="center"/>
              <w:rPr>
                <w:color w:val="auto"/>
                <w:sz w:val="21"/>
                <w:szCs w:val="21"/>
                <w:highlight w:val="none"/>
              </w:rPr>
            </w:pPr>
            <w:r>
              <w:rPr>
                <w:b/>
                <w:color w:val="auto"/>
                <w:sz w:val="21"/>
                <w:szCs w:val="21"/>
                <w:highlight w:val="none"/>
              </w:rPr>
              <w:t>监理企业资质等级要求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946" w:type="dxa"/>
            <w:noWrap w:val="0"/>
            <w:vAlign w:val="center"/>
          </w:tcPr>
          <w:p>
            <w:pPr>
              <w:spacing w:line="400" w:lineRule="exact"/>
              <w:rPr>
                <w:rFonts w:hint="eastAsia"/>
                <w:color w:val="auto"/>
                <w:sz w:val="21"/>
                <w:szCs w:val="21"/>
                <w:highlight w:val="none"/>
                <w:lang w:val="en-US"/>
              </w:rPr>
            </w:pPr>
            <w:r>
              <w:rPr>
                <w:rFonts w:hint="eastAsia"/>
                <w:color w:val="auto"/>
                <w:sz w:val="21"/>
                <w:szCs w:val="21"/>
                <w:highlight w:val="none"/>
                <w:lang w:val="en-US"/>
              </w:rPr>
              <w:t>1、具有国家交通运输主管部门核发在有效期内的公路工程乙级或以上监理资质和住建部核发的有效期内的市政公用工程甲级或以上监理资质。</w:t>
            </w:r>
          </w:p>
          <w:p>
            <w:pPr>
              <w:spacing w:line="400" w:lineRule="exact"/>
              <w:rPr>
                <w:color w:val="auto"/>
                <w:sz w:val="21"/>
                <w:szCs w:val="21"/>
                <w:highlight w:val="none"/>
              </w:rPr>
            </w:pPr>
            <w:r>
              <w:rPr>
                <w:rFonts w:hint="eastAsia"/>
                <w:color w:val="auto"/>
                <w:sz w:val="21"/>
                <w:szCs w:val="21"/>
                <w:highlight w:val="none"/>
                <w:lang w:val="en-US"/>
              </w:rPr>
              <w:t>2、本项目接受联合体投标，联合体所有成员数量不得超过</w:t>
            </w:r>
            <w:r>
              <w:rPr>
                <w:color w:val="auto"/>
                <w:sz w:val="21"/>
                <w:szCs w:val="21"/>
                <w:highlight w:val="none"/>
                <w:lang w:val="en-US"/>
              </w:rPr>
              <w:t>2家；联合体牵头人应具有国家交通运输主管部门核发在有效期内的</w:t>
            </w:r>
            <w:r>
              <w:rPr>
                <w:rFonts w:hint="eastAsia"/>
                <w:color w:val="auto"/>
                <w:sz w:val="21"/>
                <w:szCs w:val="21"/>
                <w:highlight w:val="none"/>
                <w:lang w:val="en-US"/>
              </w:rPr>
              <w:t>公路工程乙级</w:t>
            </w:r>
            <w:r>
              <w:rPr>
                <w:color w:val="auto"/>
                <w:sz w:val="21"/>
                <w:szCs w:val="21"/>
                <w:highlight w:val="none"/>
                <w:lang w:val="en-US"/>
              </w:rPr>
              <w:t>或以上监理资质；联合体成员应具有住建部核发的有效期内的</w:t>
            </w:r>
            <w:r>
              <w:rPr>
                <w:rFonts w:hint="eastAsia"/>
                <w:color w:val="auto"/>
                <w:sz w:val="21"/>
                <w:szCs w:val="21"/>
                <w:highlight w:val="none"/>
                <w:lang w:val="en-US"/>
              </w:rPr>
              <w:t>市政公用工程</w:t>
            </w:r>
            <w:r>
              <w:rPr>
                <w:color w:val="auto"/>
                <w:sz w:val="21"/>
                <w:szCs w:val="21"/>
                <w:highlight w:val="none"/>
                <w:lang w:val="en-US"/>
              </w:rPr>
              <w:t>甲级或以上监理资质。</w:t>
            </w:r>
          </w:p>
        </w:tc>
      </w:tr>
    </w:tbl>
    <w:p>
      <w:pPr>
        <w:keepNext w:val="0"/>
        <w:keepLines w:val="0"/>
        <w:pageBreakBefore w:val="0"/>
        <w:widowControl w:val="0"/>
        <w:kinsoku/>
        <w:wordWrap/>
        <w:overflowPunct/>
        <w:topLinePunct w:val="0"/>
        <w:autoSpaceDE w:val="0"/>
        <w:autoSpaceDN w:val="0"/>
        <w:bidi w:val="0"/>
        <w:adjustRightInd/>
        <w:snapToGrid/>
        <w:spacing w:line="400" w:lineRule="exact"/>
        <w:ind w:left="0" w:hanging="315" w:hangingChars="150"/>
        <w:textAlignment w:val="auto"/>
        <w:rPr>
          <w:rFonts w:hint="eastAsia"/>
          <w:color w:val="auto"/>
          <w:sz w:val="21"/>
          <w:highlight w:val="none"/>
        </w:rPr>
      </w:pPr>
      <w:bookmarkStart w:id="1" w:name="_Toc14792048"/>
      <w:r>
        <w:rPr>
          <w:rFonts w:hint="eastAsia"/>
          <w:color w:val="auto"/>
          <w:sz w:val="21"/>
          <w:highlight w:val="none"/>
        </w:rPr>
        <w:t>注：若联合体协议书约定同一专业分工由两个及以上单位共同承担的，按照就低不就高的原则确定联合体资质；不同专业分工由不同单位分别承担的，按照各自的专业资质确定联合体的资质。</w:t>
      </w:r>
    </w:p>
    <w:p>
      <w:pPr>
        <w:pStyle w:val="3"/>
        <w:jc w:val="center"/>
        <w:rPr>
          <w:rFonts w:hint="eastAsia" w:ascii="宋体" w:hAnsi="宋体"/>
          <w:color w:val="auto"/>
          <w:highlight w:val="none"/>
          <w:lang w:eastAsia="zh-CN"/>
        </w:rPr>
      </w:pPr>
      <w:r>
        <w:rPr>
          <w:rFonts w:hint="eastAsia" w:ascii="宋体" w:hAnsi="宋体"/>
          <w:color w:val="auto"/>
          <w:highlight w:val="none"/>
        </w:rPr>
        <w:t>附录2 资格审查条件（业绩最低要求）</w:t>
      </w:r>
      <w:bookmarkEnd w:id="1"/>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84"/>
        <w:gridCol w:w="75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384" w:type="dxa"/>
            <w:noWrap w:val="0"/>
            <w:vAlign w:val="center"/>
          </w:tcPr>
          <w:p>
            <w:pPr>
              <w:spacing w:line="400" w:lineRule="exact"/>
              <w:jc w:val="center"/>
              <w:rPr>
                <w:rFonts w:hint="eastAsia"/>
                <w:color w:val="auto"/>
                <w:sz w:val="21"/>
                <w:szCs w:val="21"/>
                <w:highlight w:val="none"/>
              </w:rPr>
            </w:pPr>
            <w:r>
              <w:rPr>
                <w:b/>
                <w:color w:val="auto"/>
                <w:sz w:val="21"/>
                <w:szCs w:val="21"/>
                <w:highlight w:val="none"/>
              </w:rPr>
              <w:t>项</w:t>
            </w:r>
            <w:r>
              <w:rPr>
                <w:b/>
                <w:color w:val="auto"/>
                <w:sz w:val="21"/>
                <w:szCs w:val="21"/>
                <w:highlight w:val="none"/>
              </w:rPr>
              <w:tab/>
            </w:r>
            <w:r>
              <w:rPr>
                <w:b/>
                <w:color w:val="auto"/>
                <w:sz w:val="21"/>
                <w:szCs w:val="21"/>
                <w:highlight w:val="none"/>
              </w:rPr>
              <w:t>目</w:t>
            </w:r>
          </w:p>
        </w:tc>
        <w:tc>
          <w:tcPr>
            <w:tcW w:w="7562" w:type="dxa"/>
            <w:noWrap w:val="0"/>
            <w:vAlign w:val="center"/>
          </w:tcPr>
          <w:p>
            <w:pPr>
              <w:spacing w:line="400" w:lineRule="exact"/>
              <w:jc w:val="center"/>
              <w:rPr>
                <w:rFonts w:hint="eastAsia"/>
                <w:color w:val="auto"/>
                <w:sz w:val="21"/>
                <w:szCs w:val="21"/>
                <w:highlight w:val="none"/>
              </w:rPr>
            </w:pPr>
            <w:r>
              <w:rPr>
                <w:b/>
                <w:color w:val="auto"/>
                <w:sz w:val="21"/>
                <w:szCs w:val="21"/>
                <w:highlight w:val="none"/>
              </w:rPr>
              <w:t>要</w:t>
            </w:r>
            <w:r>
              <w:rPr>
                <w:b/>
                <w:color w:val="auto"/>
                <w:sz w:val="21"/>
                <w:szCs w:val="21"/>
                <w:highlight w:val="none"/>
              </w:rPr>
              <w:tab/>
            </w:r>
            <w:r>
              <w:rPr>
                <w:b/>
                <w:color w:val="auto"/>
                <w:sz w:val="21"/>
                <w:szCs w:val="21"/>
                <w:highlight w:val="none"/>
              </w:rPr>
              <w:t>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6" w:hRule="atLeast"/>
        </w:trPr>
        <w:tc>
          <w:tcPr>
            <w:tcW w:w="1384" w:type="dxa"/>
            <w:noWrap w:val="0"/>
            <w:vAlign w:val="center"/>
          </w:tcPr>
          <w:p>
            <w:pPr>
              <w:spacing w:line="40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业绩</w:t>
            </w:r>
          </w:p>
        </w:tc>
        <w:tc>
          <w:tcPr>
            <w:tcW w:w="7562" w:type="dxa"/>
            <w:noWrap w:val="0"/>
            <w:vAlign w:val="center"/>
          </w:tcPr>
          <w:p>
            <w:pPr>
              <w:widowControl/>
              <w:spacing w:line="400" w:lineRule="exact"/>
              <w:rPr>
                <w:rFonts w:hint="eastAsia"/>
                <w:color w:val="auto"/>
                <w:sz w:val="21"/>
                <w:szCs w:val="21"/>
                <w:highlight w:val="none"/>
                <w:lang w:val="en-US"/>
              </w:rPr>
            </w:pPr>
            <w:r>
              <w:rPr>
                <w:rFonts w:hint="eastAsia"/>
                <w:color w:val="auto"/>
                <w:sz w:val="21"/>
                <w:szCs w:val="21"/>
                <w:highlight w:val="none"/>
                <w:lang w:val="en-US"/>
              </w:rPr>
              <w:t>近五年，成功完成过以下业绩：</w:t>
            </w:r>
          </w:p>
          <w:p>
            <w:pPr>
              <w:widowControl/>
              <w:spacing w:line="400" w:lineRule="exact"/>
              <w:rPr>
                <w:rFonts w:hint="eastAsia"/>
                <w:color w:val="auto"/>
                <w:sz w:val="21"/>
                <w:szCs w:val="21"/>
                <w:highlight w:val="none"/>
                <w:lang w:val="en-US"/>
              </w:rPr>
            </w:pPr>
            <w:r>
              <w:rPr>
                <w:rFonts w:hint="eastAsia"/>
                <w:color w:val="auto"/>
                <w:sz w:val="21"/>
                <w:szCs w:val="21"/>
                <w:highlight w:val="none"/>
                <w:lang w:val="en-US"/>
              </w:rPr>
              <w:t>1、累计完成过82km的类似工程施工监理任务，其中至少有1个标段里程</w:t>
            </w:r>
            <w:r>
              <w:rPr>
                <w:rFonts w:hint="eastAsia"/>
                <w:color w:val="auto"/>
                <w:sz w:val="21"/>
                <w:szCs w:val="21"/>
                <w:highlight w:val="none"/>
                <w:lang w:val="en-US" w:eastAsia="zh-CN"/>
              </w:rPr>
              <w:t>41</w:t>
            </w:r>
            <w:r>
              <w:rPr>
                <w:rFonts w:hint="eastAsia"/>
                <w:color w:val="auto"/>
                <w:sz w:val="21"/>
                <w:szCs w:val="21"/>
                <w:highlight w:val="none"/>
                <w:lang w:val="en-US"/>
              </w:rPr>
              <w:t>km的类似工程</w:t>
            </w:r>
            <w:r>
              <w:rPr>
                <w:rFonts w:hint="eastAsia" w:eastAsia="宋体"/>
                <w:color w:val="auto"/>
                <w:sz w:val="21"/>
                <w:szCs w:val="21"/>
                <w:highlight w:val="none"/>
                <w:shd w:val="clear" w:color="auto" w:fill="FFFFFF"/>
                <w:lang w:val="en-US" w:eastAsia="zh-CN"/>
              </w:rPr>
              <w:t>（须包含沥青砼路面的施工内容）</w:t>
            </w:r>
            <w:r>
              <w:rPr>
                <w:rFonts w:hint="eastAsia"/>
                <w:color w:val="auto"/>
                <w:sz w:val="21"/>
                <w:szCs w:val="21"/>
                <w:highlight w:val="none"/>
                <w:lang w:val="en-US"/>
              </w:rPr>
              <w:t>施工监理任务。</w:t>
            </w:r>
          </w:p>
          <w:p>
            <w:pPr>
              <w:spacing w:line="400" w:lineRule="exact"/>
              <w:rPr>
                <w:rFonts w:hint="eastAsia"/>
                <w:color w:val="auto"/>
                <w:sz w:val="21"/>
                <w:szCs w:val="21"/>
                <w:highlight w:val="none"/>
                <w:shd w:val="clear" w:color="auto" w:fill="FFFFFF"/>
                <w:lang w:val="en-US"/>
              </w:rPr>
            </w:pPr>
            <w:r>
              <w:rPr>
                <w:rFonts w:hint="eastAsia"/>
                <w:color w:val="auto"/>
                <w:sz w:val="21"/>
                <w:szCs w:val="21"/>
                <w:highlight w:val="none"/>
                <w:lang w:val="en-US"/>
              </w:rPr>
              <w:t>2、累计完成过</w:t>
            </w:r>
            <w:r>
              <w:rPr>
                <w:rFonts w:hint="eastAsia"/>
                <w:color w:val="auto"/>
                <w:sz w:val="21"/>
                <w:szCs w:val="21"/>
                <w:highlight w:val="none"/>
                <w:lang w:val="en-US" w:eastAsia="zh-CN"/>
              </w:rPr>
              <w:t>投资额15000</w:t>
            </w:r>
            <w:r>
              <w:rPr>
                <w:rFonts w:hint="eastAsia"/>
                <w:color w:val="auto"/>
                <w:sz w:val="21"/>
                <w:szCs w:val="21"/>
                <w:highlight w:val="none"/>
                <w:lang w:val="en-US"/>
              </w:rPr>
              <w:t>万元（含</w:t>
            </w:r>
            <w:r>
              <w:rPr>
                <w:rFonts w:hint="eastAsia"/>
                <w:color w:val="auto"/>
                <w:sz w:val="21"/>
                <w:szCs w:val="21"/>
                <w:highlight w:val="none"/>
                <w:lang w:val="en-US" w:eastAsia="zh-CN"/>
              </w:rPr>
              <w:t>15000</w:t>
            </w:r>
            <w:r>
              <w:rPr>
                <w:rFonts w:hint="eastAsia"/>
                <w:color w:val="auto"/>
                <w:sz w:val="21"/>
                <w:szCs w:val="21"/>
                <w:highlight w:val="none"/>
                <w:lang w:val="en-US"/>
              </w:rPr>
              <w:t>万元）</w:t>
            </w:r>
            <w:r>
              <w:rPr>
                <w:color w:val="auto"/>
                <w:sz w:val="21"/>
                <w:szCs w:val="21"/>
                <w:highlight w:val="none"/>
                <w:lang w:val="en-US"/>
              </w:rPr>
              <w:t>以上</w:t>
            </w:r>
            <w:r>
              <w:rPr>
                <w:rFonts w:hint="eastAsia"/>
                <w:color w:val="auto"/>
                <w:sz w:val="21"/>
                <w:szCs w:val="21"/>
                <w:highlight w:val="none"/>
                <w:lang w:val="en-US"/>
              </w:rPr>
              <w:t>的新建</w:t>
            </w:r>
            <w:r>
              <w:rPr>
                <w:rFonts w:hint="eastAsia"/>
                <w:color w:val="auto"/>
                <w:sz w:val="21"/>
                <w:szCs w:val="21"/>
                <w:highlight w:val="none"/>
                <w:lang w:val="en-US" w:eastAsia="zh-CN"/>
              </w:rPr>
              <w:t>（改、扩建）</w:t>
            </w:r>
            <w:r>
              <w:rPr>
                <w:rFonts w:hint="eastAsia"/>
                <w:color w:val="auto"/>
                <w:sz w:val="21"/>
                <w:szCs w:val="21"/>
                <w:highlight w:val="none"/>
                <w:lang w:val="en-US"/>
              </w:rPr>
              <w:t>市</w:t>
            </w:r>
            <w:r>
              <w:rPr>
                <w:color w:val="auto"/>
                <w:sz w:val="21"/>
                <w:szCs w:val="21"/>
                <w:highlight w:val="none"/>
                <w:lang w:val="en-US"/>
              </w:rPr>
              <w:t>政工程</w:t>
            </w:r>
            <w:r>
              <w:rPr>
                <w:rFonts w:hint="eastAsia"/>
                <w:color w:val="auto"/>
                <w:sz w:val="21"/>
                <w:szCs w:val="21"/>
                <w:highlight w:val="none"/>
                <w:lang w:val="en-US"/>
              </w:rPr>
              <w:t>。</w:t>
            </w:r>
          </w:p>
        </w:tc>
      </w:tr>
    </w:tbl>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color w:val="auto"/>
          <w:sz w:val="21"/>
          <w:highlight w:val="none"/>
        </w:rPr>
      </w:pPr>
      <w:r>
        <w:rPr>
          <w:color w:val="auto"/>
          <w:sz w:val="21"/>
          <w:highlight w:val="none"/>
        </w:rPr>
        <w:t>注：1、同一工程项目同时满足2项或多项业绩要求条件的，可分别计；</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color w:val="auto"/>
          <w:sz w:val="21"/>
          <w:highlight w:val="none"/>
        </w:rPr>
      </w:pPr>
      <w:r>
        <w:rPr>
          <w:color w:val="auto"/>
          <w:sz w:val="21"/>
          <w:highlight w:val="none"/>
        </w:rPr>
        <w:t>2、“完成过”指工程完工并交工验收（时间以载明的交工验收或无交工验收一次性竣工验收时间为准），经评定合格，本文提到的交工验收是指交工验收或一次性竣工验收。</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color w:val="auto"/>
          <w:sz w:val="21"/>
          <w:highlight w:val="none"/>
        </w:rPr>
      </w:pPr>
      <w:r>
        <w:rPr>
          <w:color w:val="auto"/>
          <w:sz w:val="21"/>
          <w:highlight w:val="none"/>
        </w:rPr>
        <w:t>3、本表要求业绩指由投标人承接并完成的业绩,投标人上级单位（如总公司、集团公司等）的监理业绩和投标人具备独立法人资格的下属机构的监理业绩均不予认定。</w:t>
      </w:r>
      <w:r>
        <w:rPr>
          <w:rFonts w:hint="eastAsia"/>
          <w:color w:val="auto"/>
          <w:sz w:val="21"/>
          <w:highlight w:val="none"/>
          <w:lang w:val="en-US"/>
        </w:rPr>
        <w:t>若投标人提供的业绩证明为联合体业绩，则按交通运输部“全国公路建设市场信用信息管理系统”业绩信息的网页截图）体现其完成的工作量和专业认定，无法界定其完成的工作量和专业，此业绩不予认定 。</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highlight w:val="none"/>
          <w:lang w:val="en-US"/>
        </w:rPr>
      </w:pPr>
      <w:r>
        <w:rPr>
          <w:rFonts w:hint="eastAsia"/>
          <w:color w:val="auto"/>
          <w:sz w:val="21"/>
          <w:highlight w:val="none"/>
          <w:lang w:val="en-US"/>
        </w:rPr>
        <w:t>4、市政工程业绩若投标人提供的业绩证明为联合体业绩，则按投标人提供的联合体协议书体现其完成的工作量和专业认定，无法界定其完成的工作量和专业，此业绩不予认定。</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color w:val="auto"/>
          <w:sz w:val="21"/>
          <w:highlight w:val="none"/>
        </w:rPr>
      </w:pPr>
      <w:r>
        <w:rPr>
          <w:color w:val="auto"/>
          <w:sz w:val="21"/>
          <w:highlight w:val="none"/>
        </w:rPr>
        <w:t>5、若为联合体投标，投标人业绩的资格审查条件</w:t>
      </w:r>
      <w:r>
        <w:rPr>
          <w:rFonts w:hint="eastAsia"/>
          <w:color w:val="auto"/>
          <w:sz w:val="21"/>
          <w:highlight w:val="none"/>
          <w:lang w:val="en-US"/>
        </w:rPr>
        <w:t>和加分条件（如有）的认定原则如下：</w:t>
      </w:r>
      <w:r>
        <w:rPr>
          <w:rFonts w:hint="eastAsia"/>
          <w:color w:val="auto"/>
          <w:sz w:val="21"/>
          <w:highlight w:val="none"/>
          <w:u w:val="single"/>
          <w:lang w:val="en-US"/>
        </w:rPr>
        <w:t>联合体成员须按联合体协议书中约定承担的各专业工程满足对应的业绩要求</w:t>
      </w:r>
      <w:r>
        <w:rPr>
          <w:rFonts w:hint="eastAsia"/>
          <w:color w:val="auto"/>
          <w:sz w:val="21"/>
          <w:highlight w:val="none"/>
          <w:lang w:val="en-US"/>
        </w:rPr>
        <w:t>。</w:t>
      </w:r>
    </w:p>
    <w:p>
      <w:pPr>
        <w:widowControl/>
        <w:rPr>
          <w:color w:val="auto"/>
          <w:highlight w:val="none"/>
        </w:rPr>
      </w:pPr>
    </w:p>
    <w:p>
      <w:pPr>
        <w:pStyle w:val="2"/>
        <w:rPr>
          <w:rFonts w:hint="eastAsia"/>
          <w:color w:val="auto"/>
          <w:sz w:val="21"/>
          <w:highlight w:val="none"/>
        </w:rPr>
      </w:pPr>
    </w:p>
    <w:p>
      <w:pPr>
        <w:pStyle w:val="2"/>
        <w:rPr>
          <w:rFonts w:hint="eastAsia"/>
          <w:color w:val="auto"/>
          <w:highlight w:val="none"/>
          <w:lang w:val="en-US"/>
        </w:rPr>
      </w:pPr>
    </w:p>
    <w:p>
      <w:pPr>
        <w:pStyle w:val="3"/>
        <w:jc w:val="center"/>
        <w:rPr>
          <w:rFonts w:hint="eastAsia" w:ascii="宋体" w:hAnsi="宋体"/>
          <w:color w:val="auto"/>
          <w:highlight w:val="none"/>
        </w:rPr>
      </w:pPr>
      <w:bookmarkStart w:id="2" w:name="_Toc14792049"/>
      <w:r>
        <w:rPr>
          <w:rFonts w:hint="eastAsia" w:ascii="宋体" w:hAnsi="宋体"/>
          <w:color w:val="auto"/>
          <w:highlight w:val="none"/>
        </w:rPr>
        <w:t>附录3 资格审查条件（信誉最低要求）</w:t>
      </w:r>
      <w:bookmarkEnd w:id="2"/>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946"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b/>
                <w:color w:val="auto"/>
                <w:sz w:val="21"/>
                <w:szCs w:val="21"/>
                <w:highlight w:val="none"/>
              </w:rPr>
            </w:pPr>
            <w:r>
              <w:rPr>
                <w:rFonts w:hint="eastAsia"/>
                <w:b/>
                <w:color w:val="auto"/>
                <w:sz w:val="21"/>
                <w:szCs w:val="21"/>
                <w:highlight w:val="none"/>
              </w:rPr>
              <w:t>信  誉  要 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946" w:type="dxa"/>
            <w:noWrap w:val="0"/>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b/>
                <w:color w:val="auto"/>
                <w:sz w:val="21"/>
                <w:szCs w:val="21"/>
                <w:highlight w:val="none"/>
              </w:rPr>
            </w:pPr>
            <w:r>
              <w:rPr>
                <w:color w:val="auto"/>
                <w:sz w:val="21"/>
                <w:highlight w:val="none"/>
              </w:rPr>
              <w:t>最新年度（含无广东省最新年度信用等级而上一年度有广东省信用等级的）在广东省公路工程从业单位信用评价（监理单位）中，信用等级未被评为D级；初次进入广东省的投标人，在最新全国公路从业单位（监理单位）信用评价结果中未被评为D级。</w:t>
            </w:r>
          </w:p>
        </w:tc>
      </w:tr>
    </w:tbl>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color w:val="auto"/>
          <w:sz w:val="21"/>
          <w:highlight w:val="none"/>
        </w:rPr>
      </w:pPr>
      <w:r>
        <w:rPr>
          <w:color w:val="auto"/>
          <w:sz w:val="21"/>
          <w:highlight w:val="none"/>
        </w:rPr>
        <w:t>注：</w:t>
      </w:r>
      <w:r>
        <w:rPr>
          <w:rFonts w:hint="eastAsia"/>
          <w:color w:val="auto"/>
          <w:sz w:val="21"/>
          <w:highlight w:val="none"/>
        </w:rPr>
        <w:t>1、</w:t>
      </w:r>
      <w:r>
        <w:rPr>
          <w:color w:val="auto"/>
          <w:sz w:val="21"/>
          <w:highlight w:val="none"/>
        </w:rPr>
        <w:t>信用等级的确定原则遵循投标人须知前附表第10.2款的规定。</w:t>
      </w:r>
    </w:p>
    <w:p>
      <w:pPr>
        <w:pStyle w:val="4"/>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color w:val="auto"/>
          <w:sz w:val="21"/>
          <w:szCs w:val="22"/>
          <w:highlight w:val="none"/>
          <w:lang w:eastAsia="zh-CN"/>
        </w:rPr>
      </w:pPr>
      <w:r>
        <w:rPr>
          <w:color w:val="auto"/>
          <w:sz w:val="21"/>
          <w:szCs w:val="22"/>
          <w:highlight w:val="none"/>
          <w:lang w:eastAsia="zh-CN"/>
        </w:rPr>
        <w:t>2、以联合体形式参与投标的，上述信用等级</w:t>
      </w:r>
      <w:r>
        <w:rPr>
          <w:rFonts w:hint="eastAsia"/>
          <w:color w:val="auto"/>
          <w:sz w:val="21"/>
          <w:szCs w:val="22"/>
          <w:highlight w:val="none"/>
          <w:lang w:eastAsia="zh-CN"/>
        </w:rPr>
        <w:t>由</w:t>
      </w:r>
      <w:r>
        <w:rPr>
          <w:color w:val="auto"/>
          <w:sz w:val="21"/>
          <w:szCs w:val="22"/>
          <w:highlight w:val="none"/>
          <w:lang w:eastAsia="zh-CN"/>
        </w:rPr>
        <w:t>联合体牵头人提供。</w:t>
      </w:r>
    </w:p>
    <w:p>
      <w:pPr>
        <w:pStyle w:val="3"/>
        <w:jc w:val="center"/>
        <w:rPr>
          <w:rFonts w:hint="eastAsia" w:ascii="宋体" w:hAnsi="宋体"/>
          <w:color w:val="auto"/>
          <w:highlight w:val="none"/>
        </w:rPr>
      </w:pPr>
      <w:bookmarkStart w:id="3" w:name="_Toc14792050"/>
      <w:r>
        <w:rPr>
          <w:rFonts w:hint="eastAsia" w:ascii="宋体" w:hAnsi="宋体"/>
          <w:color w:val="auto"/>
          <w:highlight w:val="none"/>
        </w:rPr>
        <w:t>附录4</w:t>
      </w:r>
      <w:r>
        <w:rPr>
          <w:rFonts w:hint="eastAsia" w:ascii="宋体" w:hAnsi="宋体"/>
          <w:color w:val="auto"/>
          <w:highlight w:val="none"/>
        </w:rPr>
        <w:tab/>
      </w:r>
      <w:r>
        <w:rPr>
          <w:rFonts w:hint="eastAsia" w:ascii="宋体" w:hAnsi="宋体"/>
          <w:color w:val="auto"/>
          <w:highlight w:val="none"/>
        </w:rPr>
        <w:t>资格审查条件（</w:t>
      </w:r>
      <w:r>
        <w:rPr>
          <w:rFonts w:hint="eastAsia" w:ascii="宋体" w:hAnsi="宋体"/>
          <w:color w:val="auto"/>
          <w:highlight w:val="none"/>
          <w:lang w:val="en-US" w:eastAsia="zh-CN"/>
        </w:rPr>
        <w:t>总监理工程师</w:t>
      </w:r>
      <w:r>
        <w:rPr>
          <w:rFonts w:hint="eastAsia" w:ascii="宋体" w:hAnsi="宋体"/>
          <w:color w:val="auto"/>
          <w:highlight w:val="none"/>
        </w:rPr>
        <w:t>最低要求）</w:t>
      </w:r>
      <w:bookmarkEnd w:id="3"/>
    </w:p>
    <w:tbl>
      <w:tblPr>
        <w:tblStyle w:val="5"/>
        <w:tblW w:w="89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68"/>
        <w:gridCol w:w="708"/>
        <w:gridCol w:w="3969"/>
        <w:gridCol w:w="25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spacing w:line="360" w:lineRule="exact"/>
              <w:jc w:val="center"/>
              <w:rPr>
                <w:color w:val="auto"/>
                <w:highlight w:val="none"/>
              </w:rPr>
            </w:pPr>
            <w:r>
              <w:rPr>
                <w:color w:val="auto"/>
                <w:highlight w:val="none"/>
              </w:rPr>
              <w:t>人员</w:t>
            </w:r>
          </w:p>
        </w:tc>
        <w:tc>
          <w:tcPr>
            <w:tcW w:w="708" w:type="dxa"/>
            <w:noWrap w:val="0"/>
            <w:vAlign w:val="center"/>
          </w:tcPr>
          <w:p>
            <w:pPr>
              <w:spacing w:line="360" w:lineRule="exact"/>
              <w:jc w:val="center"/>
              <w:rPr>
                <w:rFonts w:hint="eastAsia"/>
                <w:color w:val="auto"/>
                <w:highlight w:val="none"/>
              </w:rPr>
            </w:pPr>
            <w:r>
              <w:rPr>
                <w:rFonts w:hint="eastAsia"/>
                <w:color w:val="auto"/>
                <w:highlight w:val="none"/>
              </w:rPr>
              <w:t>数量</w:t>
            </w:r>
          </w:p>
        </w:tc>
        <w:tc>
          <w:tcPr>
            <w:tcW w:w="3969" w:type="dxa"/>
            <w:noWrap w:val="0"/>
            <w:vAlign w:val="center"/>
          </w:tcPr>
          <w:p>
            <w:pPr>
              <w:spacing w:line="360" w:lineRule="exact"/>
              <w:jc w:val="center"/>
              <w:rPr>
                <w:color w:val="auto"/>
                <w:highlight w:val="none"/>
              </w:rPr>
            </w:pPr>
            <w:r>
              <w:rPr>
                <w:color w:val="auto"/>
                <w:highlight w:val="none"/>
              </w:rPr>
              <w:t>资格要求</w:t>
            </w:r>
          </w:p>
        </w:tc>
        <w:tc>
          <w:tcPr>
            <w:tcW w:w="2599" w:type="dxa"/>
            <w:noWrap w:val="0"/>
            <w:vAlign w:val="center"/>
          </w:tcPr>
          <w:p>
            <w:pPr>
              <w:spacing w:line="360" w:lineRule="exact"/>
              <w:jc w:val="center"/>
              <w:rPr>
                <w:color w:val="auto"/>
                <w:highlight w:val="none"/>
              </w:rPr>
            </w:pPr>
            <w:r>
              <w:rPr>
                <w:color w:val="auto"/>
                <w:highlight w:val="none"/>
              </w:rPr>
              <w:t>在岗要求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13" w:hRule="atLeast"/>
        </w:trPr>
        <w:tc>
          <w:tcPr>
            <w:tcW w:w="1668" w:type="dxa"/>
            <w:noWrap w:val="0"/>
            <w:vAlign w:val="center"/>
          </w:tcPr>
          <w:p>
            <w:pPr>
              <w:spacing w:line="36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总监理工程师</w:t>
            </w:r>
          </w:p>
        </w:tc>
        <w:tc>
          <w:tcPr>
            <w:tcW w:w="708" w:type="dxa"/>
            <w:noWrap w:val="0"/>
            <w:vAlign w:val="center"/>
          </w:tcPr>
          <w:p>
            <w:pPr>
              <w:spacing w:line="36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1</w:t>
            </w:r>
          </w:p>
        </w:tc>
        <w:tc>
          <w:tcPr>
            <w:tcW w:w="3969" w:type="dxa"/>
            <w:noWrap w:val="0"/>
            <w:vAlign w:val="top"/>
          </w:tcPr>
          <w:p>
            <w:pPr>
              <w:spacing w:line="360" w:lineRule="exact"/>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1、路桥相关专业高级工程师；</w:t>
            </w:r>
          </w:p>
          <w:p>
            <w:pPr>
              <w:spacing w:line="360" w:lineRule="exact"/>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2、持有交通运输部与人力资源社会保障部用印的交通运输工程专业监理工程师职业资格证书（或电子证书）或具有交通运输部核发的公路工程监理工程师资格证书，且已在投标</w:t>
            </w:r>
            <w:r>
              <w:rPr>
                <w:color w:val="auto"/>
                <w:sz w:val="21"/>
                <w:szCs w:val="21"/>
                <w:highlight w:val="none"/>
                <w:shd w:val="clear" w:color="auto" w:fill="FFFFFF"/>
                <w:lang w:val="en-US"/>
              </w:rPr>
              <w:t>人处进行注册 （或从业登</w:t>
            </w:r>
            <w:r>
              <w:rPr>
                <w:rFonts w:hint="eastAsia"/>
                <w:color w:val="auto"/>
                <w:sz w:val="21"/>
                <w:szCs w:val="21"/>
                <w:highlight w:val="none"/>
                <w:shd w:val="clear" w:color="auto" w:fill="FFFFFF"/>
                <w:lang w:val="en-US"/>
              </w:rPr>
              <w:t>记）。</w:t>
            </w:r>
          </w:p>
          <w:p>
            <w:pPr>
              <w:spacing w:line="360" w:lineRule="exact"/>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3、至少担任过1项新建</w:t>
            </w:r>
            <w:r>
              <w:rPr>
                <w:rFonts w:hint="eastAsia"/>
                <w:color w:val="auto"/>
                <w:sz w:val="21"/>
                <w:szCs w:val="21"/>
                <w:highlight w:val="none"/>
                <w:shd w:val="clear" w:color="auto" w:fill="FFFFFF"/>
                <w:lang w:val="en-US" w:eastAsia="zh-CN"/>
              </w:rPr>
              <w:t>（改、扩建）</w:t>
            </w:r>
            <w:r>
              <w:rPr>
                <w:rFonts w:hint="eastAsia"/>
                <w:color w:val="auto"/>
                <w:sz w:val="21"/>
                <w:szCs w:val="21"/>
                <w:highlight w:val="none"/>
                <w:shd w:val="clear" w:color="auto" w:fill="FFFFFF"/>
                <w:lang w:val="en-US"/>
              </w:rPr>
              <w:t>或路面改造(二级及以上)公路工程项目施工监理的监理负责人。</w:t>
            </w:r>
          </w:p>
        </w:tc>
        <w:tc>
          <w:tcPr>
            <w:tcW w:w="2599" w:type="dxa"/>
            <w:vMerge w:val="restart"/>
            <w:noWrap w:val="0"/>
            <w:vAlign w:val="center"/>
          </w:tcPr>
          <w:p>
            <w:pPr>
              <w:spacing w:line="360" w:lineRule="exact"/>
              <w:jc w:val="both"/>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无在岗项目（指目前未在其他项目上任职，或虽在其他项目上任职但本项目中标后能够从该项目撤离）。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6" w:hRule="atLeast"/>
        </w:trPr>
        <w:tc>
          <w:tcPr>
            <w:tcW w:w="1668" w:type="dxa"/>
            <w:noWrap w:val="0"/>
            <w:vAlign w:val="center"/>
          </w:tcPr>
          <w:p>
            <w:pPr>
              <w:spacing w:line="360" w:lineRule="exact"/>
              <w:jc w:val="center"/>
              <w:rPr>
                <w:color w:val="auto"/>
                <w:sz w:val="21"/>
                <w:szCs w:val="21"/>
                <w:highlight w:val="none"/>
                <w:shd w:val="clear" w:color="auto" w:fill="FFFFFF"/>
                <w:lang w:val="en-US"/>
              </w:rPr>
            </w:pPr>
            <w:r>
              <w:rPr>
                <w:rFonts w:hint="eastAsia"/>
                <w:color w:val="auto"/>
                <w:sz w:val="21"/>
                <w:szCs w:val="21"/>
                <w:highlight w:val="none"/>
                <w:shd w:val="clear" w:color="auto" w:fill="FFFFFF"/>
                <w:lang w:val="en-US"/>
              </w:rPr>
              <w:t>市政监理</w:t>
            </w:r>
          </w:p>
          <w:p>
            <w:pPr>
              <w:spacing w:line="360" w:lineRule="exact"/>
              <w:jc w:val="center"/>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工程师</w:t>
            </w:r>
          </w:p>
        </w:tc>
        <w:tc>
          <w:tcPr>
            <w:tcW w:w="708" w:type="dxa"/>
            <w:noWrap w:val="0"/>
            <w:vAlign w:val="center"/>
          </w:tcPr>
          <w:p>
            <w:pPr>
              <w:spacing w:line="360" w:lineRule="exact"/>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1</w:t>
            </w:r>
          </w:p>
        </w:tc>
        <w:tc>
          <w:tcPr>
            <w:tcW w:w="3969" w:type="dxa"/>
            <w:noWrap w:val="0"/>
            <w:vAlign w:val="top"/>
          </w:tcPr>
          <w:p>
            <w:pPr>
              <w:spacing w:line="360" w:lineRule="exact"/>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eastAsia="zh-CN"/>
              </w:rPr>
              <w:t>1、</w:t>
            </w:r>
            <w:r>
              <w:rPr>
                <w:rFonts w:hint="eastAsia"/>
                <w:color w:val="auto"/>
                <w:sz w:val="21"/>
                <w:szCs w:val="21"/>
                <w:highlight w:val="none"/>
                <w:shd w:val="clear" w:color="auto" w:fill="FFFFFF"/>
                <w:lang w:val="en-US"/>
              </w:rPr>
              <w:t>持有住房和城乡建设部核发的市政公用工程监理工程师资格证书，监理工程师注册证书必须在投标人所在单位注册。</w:t>
            </w:r>
          </w:p>
          <w:p>
            <w:pPr>
              <w:spacing w:line="360" w:lineRule="exact"/>
              <w:rPr>
                <w:rFonts w:hint="eastAsia"/>
                <w:color w:val="auto"/>
                <w:sz w:val="21"/>
                <w:szCs w:val="21"/>
                <w:highlight w:val="none"/>
                <w:shd w:val="clear" w:color="auto" w:fill="FFFFFF"/>
                <w:lang w:val="en-US"/>
              </w:rPr>
            </w:pPr>
            <w:r>
              <w:rPr>
                <w:rFonts w:hint="eastAsia"/>
                <w:color w:val="auto"/>
                <w:sz w:val="21"/>
                <w:szCs w:val="21"/>
                <w:highlight w:val="none"/>
                <w:shd w:val="clear" w:color="auto" w:fill="FFFFFF"/>
                <w:lang w:val="en-US"/>
              </w:rPr>
              <w:t>2、至少担任过1项新建</w:t>
            </w:r>
            <w:r>
              <w:rPr>
                <w:rFonts w:hint="eastAsia"/>
                <w:color w:val="auto"/>
                <w:sz w:val="21"/>
                <w:szCs w:val="21"/>
                <w:highlight w:val="none"/>
                <w:shd w:val="clear" w:color="auto" w:fill="FFFFFF"/>
                <w:lang w:val="en-US" w:eastAsia="zh-CN"/>
              </w:rPr>
              <w:t>（改、扩建）</w:t>
            </w:r>
            <w:r>
              <w:rPr>
                <w:rFonts w:hint="eastAsia"/>
                <w:color w:val="auto"/>
                <w:sz w:val="21"/>
                <w:szCs w:val="21"/>
                <w:highlight w:val="none"/>
                <w:shd w:val="clear" w:color="auto" w:fill="FFFFFF"/>
                <w:lang w:val="en-US"/>
              </w:rPr>
              <w:t>市政工程施工监理的监理负责人。</w:t>
            </w:r>
          </w:p>
        </w:tc>
        <w:tc>
          <w:tcPr>
            <w:tcW w:w="2599" w:type="dxa"/>
            <w:vMerge w:val="continue"/>
            <w:noWrap w:val="0"/>
            <w:vAlign w:val="center"/>
          </w:tcPr>
          <w:p>
            <w:pPr>
              <w:spacing w:line="360" w:lineRule="exact"/>
              <w:jc w:val="both"/>
              <w:rPr>
                <w:rFonts w:hint="eastAsia"/>
                <w:color w:val="auto"/>
                <w:sz w:val="21"/>
                <w:szCs w:val="21"/>
                <w:highlight w:val="none"/>
                <w:shd w:val="clear" w:color="auto" w:fill="FFFFFF"/>
                <w:lang w:val="en-US"/>
              </w:rPr>
            </w:pPr>
          </w:p>
        </w:tc>
      </w:tr>
    </w:tbl>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color w:val="auto"/>
          <w:sz w:val="21"/>
          <w:highlight w:val="none"/>
        </w:rPr>
      </w:pPr>
      <w:r>
        <w:rPr>
          <w:color w:val="auto"/>
          <w:sz w:val="21"/>
          <w:highlight w:val="none"/>
        </w:rPr>
        <w:t>注：</w:t>
      </w:r>
      <w:r>
        <w:rPr>
          <w:rFonts w:hint="eastAsia"/>
          <w:color w:val="auto"/>
          <w:sz w:val="21"/>
          <w:highlight w:val="none"/>
        </w:rPr>
        <w:t xml:space="preserve"> </w:t>
      </w:r>
      <w:r>
        <w:rPr>
          <w:color w:val="auto"/>
          <w:sz w:val="21"/>
          <w:highlight w:val="none"/>
        </w:rPr>
        <w:t>1、“担任过类似工程监理负责人”监理负责人可为总监理工程师或副总监理工程师或驻地监理工程师或总监理工程师代表。</w:t>
      </w:r>
    </w:p>
    <w:p>
      <w:pPr>
        <w:pStyle w:val="2"/>
        <w:keepNext w:val="0"/>
        <w:keepLines w:val="0"/>
        <w:pageBreakBefore w:val="0"/>
        <w:widowControl w:val="0"/>
        <w:kinsoku/>
        <w:wordWrap/>
        <w:overflowPunct/>
        <w:topLinePunct w:val="0"/>
        <w:autoSpaceDE w:val="0"/>
        <w:autoSpaceDN w:val="0"/>
        <w:bidi w:val="0"/>
        <w:adjustRightInd/>
        <w:snapToGrid/>
        <w:spacing w:line="400" w:lineRule="exact"/>
        <w:textAlignment w:val="auto"/>
        <w:rPr>
          <w:color w:val="auto"/>
          <w:sz w:val="21"/>
          <w:highlight w:val="none"/>
        </w:rPr>
      </w:pPr>
      <w:r>
        <w:rPr>
          <w:color w:val="auto"/>
          <w:sz w:val="21"/>
          <w:highlight w:val="none"/>
        </w:rPr>
        <w:t>2、对于允许同时允许参加多个标段投标，且只允许中一个标段的项目，允许投标文件中使用同一套人员进行投标。</w:t>
      </w:r>
    </w:p>
    <w:p>
      <w:r>
        <w:rPr>
          <w:color w:val="auto"/>
          <w:sz w:val="21"/>
          <w:highlight w:val="none"/>
        </w:rPr>
        <w:t>3、以联合体形式参与投标的，总监理工程师以牵头人拟派为准。</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GVhMDQ2NjRiZTgzY2VkZTEzOGJhMzQ3ODA0ZDkifQ=="/>
  </w:docVars>
  <w:rsids>
    <w:rsidRoot w:val="266527A3"/>
    <w:rsid w:val="26652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2"/>
    <w:basedOn w:val="1"/>
    <w:next w:val="1"/>
    <w:qFormat/>
    <w:uiPriority w:val="9"/>
    <w:pPr>
      <w:keepNext/>
      <w:keepLines/>
      <w:spacing w:before="260" w:after="260" w:line="416" w:lineRule="auto"/>
      <w:outlineLvl w:val="1"/>
    </w:pPr>
    <w:rPr>
      <w:rFonts w:ascii="Cambria" w:hAnsi="Cambria" w:cs="Times New Roman"/>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1"/>
    <w:qFormat/>
    <w:uiPriority w:val="99"/>
    <w:pPr>
      <w:spacing w:line="312" w:lineRule="auto"/>
      <w:ind w:firstLine="420"/>
    </w:pPr>
  </w:style>
  <w:style w:type="paragraph" w:styleId="4">
    <w:name w:val="Body Text"/>
    <w:basedOn w:val="1"/>
    <w:qFormat/>
    <w:uiPriority w:val="1"/>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2023-06-05T07:30:00Z</dcterms:created>
  <dc:creator>代理机构</dc:creator>
  <cp:lastModifiedBy>代理机构</cp:lastModifiedBy>
  <dcterms:modified xsi:type="dcterms:W3CDTF">2023-06-05T07:31:23Z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E6E64F0B3289457AA69A166EB564C2C0_11</vt:lpwstr>
  </property>
</Properties>
</file>