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spacing w:before="360" w:after="360" w:line="240" w:lineRule="auto"/>
        <w:ind w:leftChars="0"/>
        <w:jc w:val="center"/>
        <w:rPr>
          <w:color w:val="auto"/>
          <w:highlight w:val="none"/>
        </w:rPr>
      </w:pPr>
      <w:bookmarkStart w:id="0" w:name="_Toc14792052"/>
      <w:r>
        <w:rPr>
          <w:rFonts w:hint="eastAsia"/>
          <w:color w:val="auto"/>
          <w:highlight w:val="none"/>
          <w:lang w:val="en-US" w:eastAsia="zh-CN"/>
        </w:rPr>
        <w:t xml:space="preserve">第三章  </w:t>
      </w:r>
      <w:r>
        <w:rPr>
          <w:rFonts w:hint="eastAsia"/>
          <w:color w:val="auto"/>
          <w:highlight w:val="none"/>
        </w:rPr>
        <w:t>评标办法（综合评估法）</w:t>
      </w:r>
      <w:bookmarkEnd w:id="0"/>
      <w:bookmarkStart w:id="4" w:name="_GoBack"/>
      <w:bookmarkEnd w:id="4"/>
    </w:p>
    <w:p>
      <w:pPr>
        <w:pStyle w:val="4"/>
        <w:spacing w:line="360" w:lineRule="auto"/>
        <w:jc w:val="center"/>
        <w:rPr>
          <w:rFonts w:hint="eastAsia"/>
          <w:color w:val="auto"/>
          <w:highlight w:val="none"/>
        </w:rPr>
      </w:pPr>
      <w:bookmarkStart w:id="1" w:name="_bookmark60"/>
      <w:bookmarkEnd w:id="1"/>
      <w:bookmarkStart w:id="2" w:name="评标办法前附表50F"/>
      <w:bookmarkEnd w:id="2"/>
      <w:bookmarkStart w:id="3" w:name="_Toc14792053"/>
      <w:r>
        <w:rPr>
          <w:rFonts w:hint="eastAsia"/>
          <w:color w:val="auto"/>
          <w:highlight w:val="none"/>
        </w:rPr>
        <w:t>评标办法前附表</w:t>
      </w:r>
      <w:bookmarkEnd w:id="3"/>
      <w:r>
        <w:rPr>
          <w:rFonts w:hint="eastAsia"/>
          <w:color w:val="auto"/>
          <w:highlight w:val="none"/>
        </w:rPr>
        <w:t xml:space="preserve"> </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134"/>
        <w:gridCol w:w="6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951" w:type="dxa"/>
            <w:gridSpan w:val="2"/>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条款号</w:t>
            </w:r>
          </w:p>
        </w:tc>
        <w:tc>
          <w:tcPr>
            <w:tcW w:w="6995"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评审因素与评审标准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134"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评标方法</w:t>
            </w:r>
          </w:p>
        </w:tc>
        <w:tc>
          <w:tcPr>
            <w:tcW w:w="6995"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综合评分相等时，评标委员会依次按照以下优先顺序推荐中标候选人或确定中标人：</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（1）评标价低的投标人优先；</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招标文件规定被认定为广东省信用等级较高的投标人优先（采用如下的优先顺序：承诺使用的AA级投标人、不承诺使用的AA级投标人、承诺使用的A级投标人、不承诺使用的A级投标人、B级投标人、未参评且被确定为B级投标人）；</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（3）商务和技术得分较高的投标人优先；</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（4）由评标委员会投票确定。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w:t>
            </w:r>
          </w:p>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w:t>
            </w:r>
          </w:p>
        </w:tc>
        <w:tc>
          <w:tcPr>
            <w:tcW w:w="1134"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形式评审与响应性评审标准</w:t>
            </w:r>
          </w:p>
        </w:tc>
        <w:tc>
          <w:tcPr>
            <w:tcW w:w="6995"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第一个信封（商务及技术文件）评审标准：</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a.投标函按招标文件规定填报了项目名称、标段号、补遗书编号（如有）、监理服务期限、工程质量要求及安全目标；</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b.投标文件组成齐全完整，内容均按规定填写。</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（2）投标文件上法定代表人或其委托代理人的签字、投标人的单位章盖章齐全，符合招标文件规定。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（3）投标人按照招标文件的规定提供了投标保证金：</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a.投标保证金金额符合招标文件规定的金额，且投标保证金有效期不少于投标有效期；</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若投标保证金采用银行保函形式提交，银行保函的格式、开具保函的银行均满足招标文件要求，若采用投标担保函或投标保证保险合同（或保险单）形式提交，格式按融资性担保公司或保险公司出具为准，且在递交投标文件截止时间之前向招标人提交了银行保函</w:t>
            </w:r>
            <w:r>
              <w:rPr>
                <w:rFonts w:hint="eastAsia" w:ascii="宋体" w:hAnsi="宋体" w:eastAsia="宋体" w:cs="宋体"/>
                <w:color w:val="auto"/>
                <w:sz w:val="21"/>
                <w:szCs w:val="21"/>
                <w:highlight w:val="none"/>
                <w:lang w:val="en-US"/>
              </w:rPr>
              <w:t>或</w:t>
            </w:r>
            <w:r>
              <w:rPr>
                <w:rFonts w:hint="eastAsia" w:ascii="宋体" w:hAnsi="宋体" w:eastAsia="宋体" w:cs="宋体"/>
                <w:color w:val="auto"/>
                <w:sz w:val="21"/>
                <w:szCs w:val="21"/>
                <w:highlight w:val="none"/>
              </w:rPr>
              <w:t>投标担保函或投标保证保险合同（或保险单）原件。</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（4）投标人法定代表人授权委托代理人签署投标文件的，须提交授权委托书，且授权人和被授权人均在授权委托书上签名，未使用印章、签名章或其他电子制版签名代替。</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（5）投标人法定代表人亲自签署投标文件的，提供了法定代表人身份证明，且法定代表人在法定代表人身份证明上签名，未使用印章、签名章或其他电子制版签名代替。</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（6）投标人以联合体形式投标时，联合体满足招标文件的要求：投标人按照招标文件提供的格式签订了联合体协议书，明确各方承担连带责任，并明确了联合体牵头人；</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7</w:t>
            </w:r>
            <w:r>
              <w:rPr>
                <w:rFonts w:hint="eastAsia" w:ascii="宋体" w:hAnsi="宋体" w:eastAsia="宋体" w:cs="宋体"/>
                <w:color w:val="auto"/>
                <w:sz w:val="21"/>
                <w:szCs w:val="21"/>
                <w:highlight w:val="none"/>
              </w:rPr>
              <w:t>）同一投标人未提交两个以上不同的投标文件，但招标文件要求提交备选投标的除外。</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8</w:t>
            </w:r>
            <w:r>
              <w:rPr>
                <w:rFonts w:hint="eastAsia" w:ascii="宋体" w:hAnsi="宋体" w:eastAsia="宋体" w:cs="宋体"/>
                <w:color w:val="auto"/>
                <w:sz w:val="21"/>
                <w:szCs w:val="21"/>
                <w:highlight w:val="none"/>
              </w:rPr>
              <w:t>）投标文件中未出现有关投标报价的内容。</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9</w:t>
            </w:r>
            <w:r>
              <w:rPr>
                <w:rFonts w:hint="eastAsia" w:ascii="宋体" w:hAnsi="宋体" w:eastAsia="宋体" w:cs="宋体"/>
                <w:color w:val="auto"/>
                <w:sz w:val="21"/>
                <w:szCs w:val="21"/>
                <w:highlight w:val="none"/>
              </w:rPr>
              <w:t>）投标文件载明的招标项目完成期限未超过招标文件规定的时限。</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rPr>
              <w:t>10</w:t>
            </w:r>
            <w:r>
              <w:rPr>
                <w:rFonts w:hint="eastAsia" w:ascii="宋体" w:hAnsi="宋体" w:eastAsia="宋体" w:cs="宋体"/>
                <w:color w:val="auto"/>
                <w:sz w:val="21"/>
                <w:szCs w:val="21"/>
                <w:highlight w:val="none"/>
              </w:rPr>
              <w:t>）投标文件对招标文件的实质性要求和条件作出响应。</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rPr>
              <w:t>1</w:t>
            </w:r>
            <w:r>
              <w:rPr>
                <w:rFonts w:hint="eastAsia" w:ascii="宋体" w:hAnsi="宋体" w:eastAsia="宋体" w:cs="宋体"/>
                <w:color w:val="auto"/>
                <w:sz w:val="21"/>
                <w:szCs w:val="21"/>
                <w:highlight w:val="none"/>
              </w:rPr>
              <w:t>）权利义务符合招标文件规定：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a.投标人应接受招标文件规定的风险划分原则，未提出新的风险划分办法；</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b.投标人未增加委托人的责任范围，或减少投标人义务；</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c.投标人未提出不同的支付办法；</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d.投标人对合同纠纷、事故处理办法未提出异议； </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e.投标人在投标活动中无欺诈行为；</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f.投标人未对合同条款有重要保留。</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）投标文件正、副本份数符合招标文件第二章“投标人须知” 第 3.7.4 项规定。</w:t>
            </w:r>
          </w:p>
          <w:p>
            <w:pPr>
              <w:keepNext w:val="0"/>
              <w:keepLines w:val="0"/>
              <w:pageBreakBefore w:val="0"/>
              <w:widowControl w:val="0"/>
              <w:kinsoku/>
              <w:wordWrap/>
              <w:overflowPunct/>
              <w:topLinePunct w:val="0"/>
              <w:autoSpaceDE w:val="0"/>
              <w:autoSpaceDN w:val="0"/>
              <w:bidi w:val="0"/>
              <w:adjustRightIn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val="0"/>
              <w:autoSpaceDN w:val="0"/>
              <w:bidi w:val="0"/>
              <w:adjustRightInd/>
              <w:spacing w:line="400" w:lineRule="exac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第二个信封（报价文件）评审标准：</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（1）投标文件按照招标文件规定的格式、内容填写，字迹清晰可辨，内容齐全完整：</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a.投标函按招标文件规定填报了项目名称、标段号、补遗书编号（如有）、投标价（包括大写金额和小写金额）；</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b.已标价报价清单说明文字与招标文件规定一致，未进行实质性修改和删减；</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c.投标文件组成齐全完整，内容均按规定填写。</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（2）投标文件上法定代表人或其委托代理人的签字、投标人的单位章盖章齐全，符合招标文件规定。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（3）投标报价未超过招标文件设定的最高投标限价（如有）。</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（4）投标报价的大写金额能够确定具体数值。</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（5）同一投标人未提交两个以上不同的投标报价，但招标文件要求提交备选投标的除外。</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（6）投标文件正、副本份数符合招标文件第二章“投标人须知” 第 3.7.4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w:t>
            </w:r>
          </w:p>
        </w:tc>
        <w:tc>
          <w:tcPr>
            <w:tcW w:w="1134"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资格评审标准</w:t>
            </w:r>
          </w:p>
        </w:tc>
        <w:tc>
          <w:tcPr>
            <w:tcW w:w="6995" w:type="dxa"/>
            <w:noWrap w:val="0"/>
            <w:vAlign w:val="center"/>
          </w:tcPr>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具备有效的营业执照、组织机构代码证、监理资质证书和基本账户开户许可证（如企业所在地已取消企业银行账户许可而无法提供开户许可证的，则需附上开户银行盖章的“基本存款账户信息”或“人民银行账户管理系统查询的基本账户信息截图”），投标人（联合体牵头人）已录入交通运输部“全国公路建设市场信用信息管理系统（http：//glxy.mot.gov.cn）”中的公路工程施工监理资质企业名录，且投标人名称和资质与该名录中的相应企业名称和资质完全一致。</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（2）投标人的资质等级符合招标文件规定。</w:t>
            </w:r>
          </w:p>
          <w:p>
            <w:pPr>
              <w:keepNext w:val="0"/>
              <w:keepLines w:val="0"/>
              <w:pageBreakBefore w:val="0"/>
              <w:widowControl w:val="0"/>
              <w:kinsoku/>
              <w:wordWrap/>
              <w:overflowPunct/>
              <w:topLinePunct w:val="0"/>
              <w:autoSpaceDE w:val="0"/>
              <w:autoSpaceDN w:val="0"/>
              <w:bidi w:val="0"/>
              <w:adjustRightInd/>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（3）投标人的类似工程业绩符合招标文件规定。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（4）投标人的信誉符合招标文件规定。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（5）投标人的总监理工程师或驻地监理工程师（含备选，如有）资格，在岗情况符合招标文件规定。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（6）投标人的其他要求符合招标文件规定。</w:t>
            </w:r>
          </w:p>
          <w:p>
            <w:pPr>
              <w:keepNext w:val="0"/>
              <w:keepLines w:val="0"/>
              <w:pageBreakBefore w:val="0"/>
              <w:widowControl w:val="0"/>
              <w:kinsoku/>
              <w:wordWrap/>
              <w:overflowPunct/>
              <w:topLinePunct w:val="0"/>
              <w:autoSpaceDE w:val="0"/>
              <w:autoSpaceDN w:val="0"/>
              <w:bidi w:val="0"/>
              <w:adjustRightIn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（7）投标人不存在第二章“投标人须知”第 1.4.3 项或第 1.4.4项规定的任何一种情形。</w:t>
            </w:r>
          </w:p>
          <w:p>
            <w:pPr>
              <w:pStyle w:val="2"/>
              <w:keepNext w:val="0"/>
              <w:keepLines w:val="0"/>
              <w:pageBreakBefore w:val="0"/>
              <w:widowControl w:val="0"/>
              <w:kinsoku/>
              <w:wordWrap/>
              <w:overflowPunct/>
              <w:topLinePunct w:val="0"/>
              <w:autoSpaceDE w:val="0"/>
              <w:autoSpaceDN w:val="0"/>
              <w:bidi w:val="0"/>
              <w:adjustRightIn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（8）以联合体形式参与投标的，联合体各方均未再以自己名义单独或参加其他联合体在同一标段中投标；独立参与投标的，投标人未同时参加联合体在同一标段中投标。</w:t>
            </w:r>
          </w:p>
        </w:tc>
      </w:tr>
    </w:tbl>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276"/>
        <w:gridCol w:w="67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pPr>
              <w:spacing w:line="400" w:lineRule="exact"/>
              <w:rPr>
                <w:rFonts w:hint="eastAsia"/>
                <w:b/>
                <w:color w:val="auto"/>
                <w:sz w:val="21"/>
                <w:szCs w:val="21"/>
                <w:highlight w:val="none"/>
              </w:rPr>
            </w:pPr>
            <w:r>
              <w:rPr>
                <w:rFonts w:hint="eastAsia"/>
                <w:b/>
                <w:color w:val="auto"/>
                <w:sz w:val="21"/>
                <w:szCs w:val="21"/>
                <w:highlight w:val="none"/>
              </w:rPr>
              <w:t>条款号</w:t>
            </w:r>
          </w:p>
        </w:tc>
        <w:tc>
          <w:tcPr>
            <w:tcW w:w="1276" w:type="dxa"/>
            <w:noWrap w:val="0"/>
            <w:vAlign w:val="center"/>
          </w:tcPr>
          <w:p>
            <w:pPr>
              <w:spacing w:line="400" w:lineRule="exact"/>
              <w:jc w:val="center"/>
              <w:rPr>
                <w:rFonts w:hint="eastAsia"/>
                <w:b/>
                <w:color w:val="auto"/>
                <w:sz w:val="21"/>
                <w:szCs w:val="21"/>
                <w:highlight w:val="none"/>
              </w:rPr>
            </w:pPr>
            <w:r>
              <w:rPr>
                <w:rFonts w:hint="eastAsia"/>
                <w:b/>
                <w:color w:val="auto"/>
                <w:sz w:val="21"/>
                <w:szCs w:val="21"/>
                <w:highlight w:val="none"/>
              </w:rPr>
              <w:t>条款内容</w:t>
            </w:r>
          </w:p>
        </w:tc>
        <w:tc>
          <w:tcPr>
            <w:tcW w:w="6711" w:type="dxa"/>
            <w:noWrap w:val="0"/>
            <w:vAlign w:val="center"/>
          </w:tcPr>
          <w:p>
            <w:pPr>
              <w:spacing w:line="400" w:lineRule="exact"/>
              <w:jc w:val="center"/>
              <w:rPr>
                <w:rFonts w:hint="eastAsia"/>
                <w:b/>
                <w:color w:val="auto"/>
                <w:sz w:val="21"/>
                <w:szCs w:val="21"/>
                <w:highlight w:val="none"/>
              </w:rPr>
            </w:pPr>
            <w:r>
              <w:rPr>
                <w:rFonts w:hint="eastAsia"/>
                <w:b/>
                <w:color w:val="auto"/>
                <w:sz w:val="21"/>
                <w:szCs w:val="21"/>
                <w:highlight w:val="none"/>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5" w:hRule="atLeast"/>
        </w:trPr>
        <w:tc>
          <w:tcPr>
            <w:tcW w:w="959" w:type="dxa"/>
            <w:noWrap w:val="0"/>
            <w:vAlign w:val="center"/>
          </w:tcPr>
          <w:p>
            <w:pPr>
              <w:spacing w:line="400" w:lineRule="exact"/>
              <w:jc w:val="center"/>
              <w:rPr>
                <w:rFonts w:hint="eastAsia"/>
                <w:color w:val="auto"/>
                <w:sz w:val="21"/>
                <w:szCs w:val="21"/>
                <w:highlight w:val="none"/>
              </w:rPr>
            </w:pPr>
            <w:r>
              <w:rPr>
                <w:rFonts w:hint="eastAsia"/>
                <w:color w:val="auto"/>
                <w:sz w:val="21"/>
                <w:szCs w:val="21"/>
                <w:highlight w:val="none"/>
              </w:rPr>
              <w:t>2.2.1</w:t>
            </w:r>
          </w:p>
        </w:tc>
        <w:tc>
          <w:tcPr>
            <w:tcW w:w="1276" w:type="dxa"/>
            <w:noWrap w:val="0"/>
            <w:vAlign w:val="center"/>
          </w:tcPr>
          <w:p>
            <w:pPr>
              <w:pStyle w:val="7"/>
              <w:spacing w:line="400" w:lineRule="exact"/>
              <w:ind w:left="109" w:right="100"/>
              <w:jc w:val="center"/>
              <w:rPr>
                <w:rFonts w:hint="eastAsia"/>
                <w:color w:val="auto"/>
                <w:sz w:val="21"/>
                <w:szCs w:val="21"/>
                <w:highlight w:val="none"/>
              </w:rPr>
            </w:pPr>
            <w:r>
              <w:rPr>
                <w:color w:val="auto"/>
                <w:sz w:val="21"/>
                <w:highlight w:val="none"/>
              </w:rPr>
              <w:t>分值构成（总分 100分）</w:t>
            </w:r>
          </w:p>
        </w:tc>
        <w:tc>
          <w:tcPr>
            <w:tcW w:w="6711" w:type="dxa"/>
            <w:noWrap w:val="0"/>
            <w:vAlign w:val="center"/>
          </w:tcPr>
          <w:p>
            <w:pPr>
              <w:snapToGrid w:val="0"/>
              <w:spacing w:line="400" w:lineRule="exact"/>
              <w:rPr>
                <w:b/>
                <w:color w:val="auto"/>
                <w:sz w:val="21"/>
                <w:szCs w:val="21"/>
                <w:highlight w:val="none"/>
              </w:rPr>
            </w:pPr>
            <w:r>
              <w:rPr>
                <w:b/>
                <w:color w:val="auto"/>
                <w:sz w:val="21"/>
                <w:szCs w:val="21"/>
                <w:highlight w:val="none"/>
              </w:rPr>
              <w:t xml:space="preserve">第一个信封（商务及技术文件）评分分值构成： </w:t>
            </w:r>
          </w:p>
          <w:p>
            <w:pPr>
              <w:snapToGrid w:val="0"/>
              <w:spacing w:line="400" w:lineRule="exact"/>
              <w:ind w:firstLine="420" w:firstLineChars="200"/>
              <w:rPr>
                <w:color w:val="auto"/>
                <w:sz w:val="21"/>
                <w:szCs w:val="21"/>
                <w:highlight w:val="none"/>
              </w:rPr>
            </w:pPr>
            <w:r>
              <w:rPr>
                <w:color w:val="auto"/>
                <w:sz w:val="21"/>
                <w:szCs w:val="21"/>
                <w:highlight w:val="none"/>
              </w:rPr>
              <w:t>技术建议书：</w:t>
            </w:r>
            <w:r>
              <w:rPr>
                <w:rFonts w:hint="eastAsia"/>
                <w:color w:val="auto"/>
                <w:sz w:val="21"/>
                <w:szCs w:val="21"/>
                <w:highlight w:val="none"/>
                <w:lang w:val="en-US"/>
              </w:rPr>
              <w:t>30</w:t>
            </w:r>
            <w:r>
              <w:rPr>
                <w:color w:val="auto"/>
                <w:sz w:val="21"/>
                <w:szCs w:val="21"/>
                <w:highlight w:val="none"/>
              </w:rPr>
              <w:t>分</w:t>
            </w:r>
          </w:p>
          <w:p>
            <w:pPr>
              <w:snapToGrid w:val="0"/>
              <w:spacing w:line="400" w:lineRule="exact"/>
              <w:ind w:firstLine="420" w:firstLineChars="200"/>
              <w:rPr>
                <w:color w:val="auto"/>
                <w:sz w:val="21"/>
                <w:szCs w:val="21"/>
                <w:highlight w:val="none"/>
              </w:rPr>
            </w:pPr>
            <w:r>
              <w:rPr>
                <w:color w:val="auto"/>
                <w:sz w:val="21"/>
                <w:szCs w:val="21"/>
                <w:highlight w:val="none"/>
              </w:rPr>
              <w:t>主要人员：</w:t>
            </w:r>
            <w:r>
              <w:rPr>
                <w:rFonts w:hint="eastAsia"/>
                <w:color w:val="auto"/>
                <w:sz w:val="21"/>
                <w:szCs w:val="21"/>
                <w:highlight w:val="none"/>
              </w:rPr>
              <w:t>25</w:t>
            </w:r>
            <w:r>
              <w:rPr>
                <w:color w:val="auto"/>
                <w:sz w:val="21"/>
                <w:szCs w:val="21"/>
                <w:highlight w:val="none"/>
              </w:rPr>
              <w:t>分</w:t>
            </w:r>
          </w:p>
          <w:p>
            <w:pPr>
              <w:snapToGrid w:val="0"/>
              <w:spacing w:line="400" w:lineRule="exact"/>
              <w:ind w:firstLine="420" w:firstLineChars="200"/>
              <w:rPr>
                <w:color w:val="auto"/>
                <w:sz w:val="21"/>
                <w:szCs w:val="21"/>
                <w:highlight w:val="none"/>
              </w:rPr>
            </w:pPr>
            <w:r>
              <w:rPr>
                <w:color w:val="auto"/>
                <w:sz w:val="21"/>
                <w:szCs w:val="21"/>
                <w:highlight w:val="none"/>
              </w:rPr>
              <w:t>业绩：</w:t>
            </w:r>
            <w:r>
              <w:rPr>
                <w:rFonts w:hint="eastAsia"/>
                <w:color w:val="auto"/>
                <w:sz w:val="21"/>
                <w:szCs w:val="21"/>
                <w:highlight w:val="none"/>
              </w:rPr>
              <w:t>25</w:t>
            </w:r>
            <w:r>
              <w:rPr>
                <w:color w:val="auto"/>
                <w:sz w:val="21"/>
                <w:szCs w:val="21"/>
                <w:highlight w:val="none"/>
              </w:rPr>
              <w:t>分</w:t>
            </w:r>
          </w:p>
          <w:p>
            <w:pPr>
              <w:snapToGrid w:val="0"/>
              <w:spacing w:line="400" w:lineRule="exact"/>
              <w:ind w:firstLine="420" w:firstLineChars="200"/>
              <w:rPr>
                <w:color w:val="auto"/>
                <w:sz w:val="21"/>
                <w:szCs w:val="21"/>
                <w:highlight w:val="none"/>
              </w:rPr>
            </w:pPr>
            <w:r>
              <w:rPr>
                <w:color w:val="auto"/>
                <w:sz w:val="21"/>
                <w:szCs w:val="21"/>
                <w:highlight w:val="none"/>
              </w:rPr>
              <w:t>履约信誉：10分</w:t>
            </w:r>
          </w:p>
          <w:p>
            <w:pPr>
              <w:snapToGrid w:val="0"/>
              <w:spacing w:line="400" w:lineRule="exact"/>
              <w:rPr>
                <w:b/>
                <w:color w:val="auto"/>
                <w:sz w:val="21"/>
                <w:szCs w:val="21"/>
                <w:highlight w:val="none"/>
              </w:rPr>
            </w:pPr>
            <w:r>
              <w:rPr>
                <w:b/>
                <w:color w:val="auto"/>
                <w:sz w:val="21"/>
                <w:szCs w:val="21"/>
                <w:highlight w:val="none"/>
              </w:rPr>
              <w:t>第二个信封（报价文件）评分分值构成：</w:t>
            </w:r>
          </w:p>
          <w:p>
            <w:pPr>
              <w:snapToGrid w:val="0"/>
              <w:spacing w:line="400" w:lineRule="exact"/>
              <w:ind w:firstLine="420" w:firstLineChars="200"/>
              <w:rPr>
                <w:rFonts w:hint="eastAsia"/>
                <w:color w:val="auto"/>
                <w:sz w:val="21"/>
                <w:szCs w:val="21"/>
                <w:highlight w:val="none"/>
              </w:rPr>
            </w:pPr>
            <w:r>
              <w:rPr>
                <w:color w:val="auto"/>
                <w:sz w:val="21"/>
                <w:szCs w:val="21"/>
                <w:highlight w:val="none"/>
              </w:rPr>
              <w:t>评标价：10分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8" w:hRule="atLeast"/>
        </w:trPr>
        <w:tc>
          <w:tcPr>
            <w:tcW w:w="959" w:type="dxa"/>
            <w:noWrap w:val="0"/>
            <w:vAlign w:val="center"/>
          </w:tcPr>
          <w:p>
            <w:pPr>
              <w:spacing w:line="400" w:lineRule="exact"/>
              <w:jc w:val="center"/>
              <w:rPr>
                <w:rFonts w:hint="eastAsia"/>
                <w:color w:val="auto"/>
                <w:sz w:val="21"/>
                <w:szCs w:val="21"/>
                <w:highlight w:val="none"/>
              </w:rPr>
            </w:pPr>
            <w:r>
              <w:rPr>
                <w:rFonts w:hint="eastAsia"/>
                <w:color w:val="auto"/>
                <w:sz w:val="21"/>
                <w:szCs w:val="21"/>
                <w:highlight w:val="none"/>
              </w:rPr>
              <w:t>2.2.2</w:t>
            </w:r>
          </w:p>
        </w:tc>
        <w:tc>
          <w:tcPr>
            <w:tcW w:w="1276" w:type="dxa"/>
            <w:noWrap w:val="0"/>
            <w:vAlign w:val="center"/>
          </w:tcPr>
          <w:p>
            <w:pPr>
              <w:snapToGrid w:val="0"/>
              <w:spacing w:line="400" w:lineRule="exact"/>
              <w:jc w:val="center"/>
              <w:rPr>
                <w:rFonts w:hint="eastAsia"/>
                <w:color w:val="auto"/>
                <w:sz w:val="21"/>
                <w:szCs w:val="21"/>
                <w:highlight w:val="none"/>
              </w:rPr>
            </w:pPr>
            <w:r>
              <w:rPr>
                <w:color w:val="auto"/>
                <w:sz w:val="21"/>
                <w:szCs w:val="21"/>
                <w:highlight w:val="none"/>
              </w:rPr>
              <w:t>评标基准价计算方法</w:t>
            </w:r>
          </w:p>
        </w:tc>
        <w:tc>
          <w:tcPr>
            <w:tcW w:w="6711" w:type="dxa"/>
            <w:noWrap w:val="0"/>
            <w:vAlign w:val="center"/>
          </w:tcPr>
          <w:p>
            <w:pPr>
              <w:snapToGrid w:val="0"/>
              <w:spacing w:line="400" w:lineRule="exact"/>
              <w:ind w:firstLine="420" w:firstLineChars="200"/>
              <w:rPr>
                <w:color w:val="auto"/>
                <w:sz w:val="21"/>
                <w:szCs w:val="21"/>
                <w:highlight w:val="none"/>
              </w:rPr>
            </w:pPr>
            <w:r>
              <w:rPr>
                <w:color w:val="auto"/>
                <w:sz w:val="21"/>
                <w:szCs w:val="21"/>
                <w:highlight w:val="none"/>
              </w:rPr>
              <w:t>评标基准价的计算：</w:t>
            </w:r>
          </w:p>
          <w:p>
            <w:pPr>
              <w:snapToGrid w:val="0"/>
              <w:spacing w:line="400" w:lineRule="exact"/>
              <w:ind w:firstLine="420" w:firstLineChars="200"/>
              <w:rPr>
                <w:color w:val="auto"/>
                <w:sz w:val="21"/>
                <w:szCs w:val="21"/>
                <w:highlight w:val="none"/>
              </w:rPr>
            </w:pPr>
            <w:r>
              <w:rPr>
                <w:color w:val="auto"/>
                <w:sz w:val="21"/>
                <w:szCs w:val="21"/>
                <w:highlight w:val="none"/>
              </w:rPr>
              <w:t>在开标现场，招标人将当场计算并宣布评标基准价。</w:t>
            </w:r>
          </w:p>
          <w:p>
            <w:pPr>
              <w:snapToGrid w:val="0"/>
              <w:spacing w:line="400" w:lineRule="exact"/>
              <w:ind w:firstLine="422" w:firstLineChars="200"/>
              <w:rPr>
                <w:b/>
                <w:color w:val="auto"/>
                <w:sz w:val="21"/>
                <w:szCs w:val="21"/>
                <w:highlight w:val="none"/>
              </w:rPr>
            </w:pPr>
            <w:r>
              <w:rPr>
                <w:rFonts w:hint="eastAsia"/>
                <w:b/>
                <w:color w:val="auto"/>
                <w:sz w:val="21"/>
                <w:szCs w:val="21"/>
                <w:highlight w:val="none"/>
              </w:rPr>
              <w:t>（1）</w:t>
            </w:r>
            <w:r>
              <w:rPr>
                <w:b/>
                <w:color w:val="auto"/>
                <w:sz w:val="21"/>
                <w:szCs w:val="21"/>
                <w:highlight w:val="none"/>
              </w:rPr>
              <w:t>评标价的确定：</w:t>
            </w:r>
          </w:p>
          <w:p>
            <w:pPr>
              <w:snapToGrid w:val="0"/>
              <w:spacing w:line="400" w:lineRule="exact"/>
              <w:ind w:firstLine="420" w:firstLineChars="200"/>
              <w:rPr>
                <w:color w:val="auto"/>
                <w:sz w:val="21"/>
                <w:szCs w:val="21"/>
                <w:highlight w:val="none"/>
              </w:rPr>
            </w:pPr>
            <w:r>
              <w:rPr>
                <w:color w:val="auto"/>
                <w:sz w:val="21"/>
                <w:szCs w:val="21"/>
                <w:highlight w:val="none"/>
              </w:rPr>
              <w:t>评标价＝投标函文字报价</w:t>
            </w:r>
          </w:p>
          <w:p>
            <w:pPr>
              <w:snapToGrid w:val="0"/>
              <w:spacing w:line="400" w:lineRule="exact"/>
              <w:ind w:firstLine="422" w:firstLineChars="200"/>
              <w:rPr>
                <w:b/>
                <w:color w:val="auto"/>
                <w:sz w:val="21"/>
                <w:szCs w:val="21"/>
                <w:highlight w:val="none"/>
              </w:rPr>
            </w:pPr>
            <w:r>
              <w:rPr>
                <w:rFonts w:hint="eastAsia"/>
                <w:b/>
                <w:color w:val="auto"/>
                <w:sz w:val="21"/>
                <w:szCs w:val="21"/>
                <w:highlight w:val="none"/>
              </w:rPr>
              <w:t>（2）</w:t>
            </w:r>
            <w:r>
              <w:rPr>
                <w:b/>
                <w:color w:val="auto"/>
                <w:sz w:val="21"/>
                <w:szCs w:val="21"/>
                <w:highlight w:val="none"/>
              </w:rPr>
              <w:t>评标价的平均值的计算：（选择方案二）</w:t>
            </w:r>
          </w:p>
          <w:p>
            <w:pPr>
              <w:snapToGrid w:val="0"/>
              <w:spacing w:line="400" w:lineRule="exact"/>
              <w:ind w:firstLine="420" w:firstLineChars="200"/>
              <w:rPr>
                <w:color w:val="auto"/>
                <w:sz w:val="21"/>
                <w:szCs w:val="21"/>
                <w:highlight w:val="none"/>
              </w:rPr>
            </w:pPr>
            <w:r>
              <w:rPr>
                <w:color w:val="auto"/>
                <w:sz w:val="21"/>
                <w:szCs w:val="21"/>
                <w:highlight w:val="none"/>
              </w:rPr>
              <w:t>①除按第二章“投标人须知”第 5.2.4 项规定开标现场被宣布为不进入评标基准价计算的投标报价之外，所有投标人的评标价去掉一个最高值和一个最低值后的算术平均值即为评标价平均值（如果参加评标价平均值计算的有效投标人少于 5 家时，则计算评标价平均值时不去掉最高值和最低值）。</w:t>
            </w:r>
          </w:p>
          <w:p>
            <w:pPr>
              <w:snapToGrid w:val="0"/>
              <w:spacing w:line="400" w:lineRule="exact"/>
              <w:ind w:firstLine="420" w:firstLineChars="200"/>
              <w:rPr>
                <w:color w:val="auto"/>
                <w:sz w:val="21"/>
                <w:szCs w:val="21"/>
                <w:highlight w:val="none"/>
              </w:rPr>
            </w:pPr>
            <w:r>
              <w:rPr>
                <w:color w:val="auto"/>
                <w:sz w:val="21"/>
                <w:szCs w:val="21"/>
                <w:highlight w:val="none"/>
              </w:rPr>
              <w:t>②参与评标价平均值计算的评标价的范围：最高投标限价的 85%≤参与评标价平均值计算的评标价≤最高投标限价的 100%；</w:t>
            </w:r>
          </w:p>
          <w:p>
            <w:pPr>
              <w:snapToGrid w:val="0"/>
              <w:spacing w:line="400" w:lineRule="exact"/>
              <w:ind w:firstLine="420" w:firstLineChars="200"/>
              <w:rPr>
                <w:color w:val="auto"/>
                <w:sz w:val="21"/>
                <w:szCs w:val="21"/>
                <w:highlight w:val="none"/>
              </w:rPr>
            </w:pPr>
            <w:r>
              <w:rPr>
                <w:color w:val="auto"/>
                <w:sz w:val="21"/>
                <w:szCs w:val="21"/>
                <w:highlight w:val="none"/>
              </w:rPr>
              <w:t>③小于最高投标限价的 85%的评标价不参与评标价平均值的计算， 但仍参与评标价的得分计算。若投标人的评标价均小于最高投标限价的85%时，则以最高投标限价的 85%为评标价平均值。</w:t>
            </w:r>
          </w:p>
          <w:p>
            <w:pPr>
              <w:snapToGrid w:val="0"/>
              <w:spacing w:line="400" w:lineRule="exact"/>
              <w:ind w:firstLine="422" w:firstLineChars="200"/>
              <w:rPr>
                <w:rFonts w:hint="eastAsia"/>
                <w:b/>
                <w:color w:val="auto"/>
                <w:sz w:val="21"/>
                <w:szCs w:val="21"/>
                <w:highlight w:val="none"/>
              </w:rPr>
            </w:pPr>
            <w:r>
              <w:rPr>
                <w:b/>
                <w:color w:val="auto"/>
                <w:sz w:val="21"/>
                <w:szCs w:val="21"/>
                <w:highlight w:val="none"/>
              </w:rPr>
              <w:t>（3）评标基准价的确定：（选择方法一）</w:t>
            </w:r>
          </w:p>
          <w:p>
            <w:pPr>
              <w:snapToGrid w:val="0"/>
              <w:spacing w:line="400" w:lineRule="exact"/>
              <w:ind w:firstLine="420" w:firstLineChars="200"/>
              <w:rPr>
                <w:color w:val="auto"/>
                <w:sz w:val="21"/>
                <w:szCs w:val="21"/>
                <w:highlight w:val="none"/>
              </w:rPr>
            </w:pPr>
            <w:r>
              <w:rPr>
                <w:color w:val="auto"/>
                <w:sz w:val="21"/>
                <w:szCs w:val="21"/>
                <w:highlight w:val="none"/>
              </w:rPr>
              <w:t>将评标价平均值直接作为评标基准价。</w:t>
            </w:r>
          </w:p>
          <w:p>
            <w:pPr>
              <w:snapToGrid w:val="0"/>
              <w:spacing w:line="400" w:lineRule="exact"/>
              <w:ind w:firstLine="420" w:firstLineChars="200"/>
              <w:rPr>
                <w:color w:val="auto"/>
                <w:sz w:val="21"/>
                <w:szCs w:val="21"/>
                <w:highlight w:val="none"/>
              </w:rPr>
            </w:pPr>
            <w:r>
              <w:rPr>
                <w:color w:val="auto"/>
                <w:sz w:val="21"/>
                <w:szCs w:val="21"/>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p>
            <w:pPr>
              <w:snapToGrid w:val="0"/>
              <w:spacing w:line="400" w:lineRule="exact"/>
              <w:rPr>
                <w:rFonts w:hint="eastAsia"/>
                <w:b/>
                <w:color w:val="auto"/>
                <w:sz w:val="21"/>
                <w:szCs w:val="21"/>
                <w:highlight w:val="none"/>
              </w:rPr>
            </w:pPr>
            <w:r>
              <w:rPr>
                <w:b/>
                <w:color w:val="auto"/>
                <w:sz w:val="21"/>
                <w:szCs w:val="21"/>
                <w:highlight w:val="none"/>
              </w:rPr>
              <w:t>注：评标价平均值、评标基准价均四舍五入至个位整数。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6" w:hRule="atLeast"/>
        </w:trPr>
        <w:tc>
          <w:tcPr>
            <w:tcW w:w="959" w:type="dxa"/>
            <w:noWrap w:val="0"/>
            <w:vAlign w:val="center"/>
          </w:tcPr>
          <w:p>
            <w:pPr>
              <w:pStyle w:val="7"/>
              <w:spacing w:line="400" w:lineRule="exact"/>
              <w:jc w:val="center"/>
              <w:rPr>
                <w:color w:val="auto"/>
                <w:sz w:val="21"/>
                <w:highlight w:val="none"/>
              </w:rPr>
            </w:pPr>
            <w:r>
              <w:rPr>
                <w:color w:val="auto"/>
                <w:sz w:val="21"/>
                <w:highlight w:val="none"/>
              </w:rPr>
              <w:t>2.2.3</w:t>
            </w:r>
          </w:p>
        </w:tc>
        <w:tc>
          <w:tcPr>
            <w:tcW w:w="1276" w:type="dxa"/>
            <w:noWrap w:val="0"/>
            <w:vAlign w:val="top"/>
          </w:tcPr>
          <w:p>
            <w:pPr>
              <w:snapToGrid w:val="0"/>
              <w:spacing w:line="400" w:lineRule="exact"/>
              <w:jc w:val="center"/>
              <w:rPr>
                <w:color w:val="auto"/>
                <w:sz w:val="21"/>
                <w:szCs w:val="21"/>
                <w:highlight w:val="none"/>
              </w:rPr>
            </w:pPr>
            <w:r>
              <w:rPr>
                <w:color w:val="auto"/>
                <w:sz w:val="21"/>
                <w:szCs w:val="21"/>
                <w:highlight w:val="none"/>
              </w:rPr>
              <w:t>评标价的偏差率计算公式</w:t>
            </w:r>
          </w:p>
        </w:tc>
        <w:tc>
          <w:tcPr>
            <w:tcW w:w="6711" w:type="dxa"/>
            <w:noWrap w:val="0"/>
            <w:vAlign w:val="center"/>
          </w:tcPr>
          <w:p>
            <w:pPr>
              <w:spacing w:line="400" w:lineRule="exact"/>
              <w:rPr>
                <w:color w:val="auto"/>
                <w:sz w:val="21"/>
                <w:highlight w:val="none"/>
              </w:rPr>
            </w:pPr>
            <w:r>
              <w:rPr>
                <w:color w:val="auto"/>
                <w:sz w:val="21"/>
                <w:highlight w:val="none"/>
              </w:rPr>
              <w:t>偏差率=100%×（投标人评标价－评标基准价）/评标基准价</w:t>
            </w:r>
          </w:p>
          <w:p>
            <w:pPr>
              <w:spacing w:line="400" w:lineRule="exact"/>
              <w:rPr>
                <w:color w:val="auto"/>
                <w:sz w:val="21"/>
                <w:highlight w:val="none"/>
                <w:lang w:val="en-US"/>
              </w:rPr>
            </w:pPr>
            <w:r>
              <w:rPr>
                <w:rFonts w:hint="eastAsia"/>
                <w:color w:val="auto"/>
                <w:sz w:val="21"/>
                <w:highlight w:val="none"/>
                <w:lang w:val="en-US"/>
              </w:rPr>
              <w:t>注：偏差率计算保留小数点后二位。</w:t>
            </w:r>
          </w:p>
        </w:tc>
      </w:tr>
    </w:tbl>
    <w:p>
      <w:pPr>
        <w:rPr>
          <w:rFonts w:hint="eastAsia"/>
          <w:color w:val="auto"/>
          <w:highlight w:val="none"/>
        </w:rPr>
      </w:pPr>
    </w:p>
    <w:p>
      <w:pPr>
        <w:rPr>
          <w:rFonts w:hint="eastAsia"/>
          <w:color w:val="auto"/>
          <w:highlight w:val="none"/>
        </w:rPr>
      </w:pPr>
    </w:p>
    <w:p>
      <w:pPr>
        <w:spacing w:before="34" w:after="16"/>
        <w:ind w:right="744"/>
        <w:rPr>
          <w:rFonts w:hint="eastAsia"/>
          <w:color w:val="auto"/>
          <w:sz w:val="21"/>
          <w:highlight w:val="none"/>
        </w:rPr>
      </w:pPr>
    </w:p>
    <w:p>
      <w:pPr>
        <w:pStyle w:val="2"/>
        <w:rPr>
          <w:rFonts w:hint="eastAsia"/>
          <w:color w:val="auto"/>
          <w:highlight w:val="none"/>
        </w:rPr>
      </w:pPr>
    </w:p>
    <w:tbl>
      <w:tblPr>
        <w:tblStyle w:val="5"/>
        <w:tblW w:w="89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468"/>
        <w:gridCol w:w="468"/>
        <w:gridCol w:w="915"/>
        <w:gridCol w:w="1297"/>
        <w:gridCol w:w="659"/>
        <w:gridCol w:w="1042"/>
        <w:gridCol w:w="30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4863" w:type="dxa"/>
            <w:gridSpan w:val="6"/>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评分因素与权重分值</w:t>
            </w:r>
          </w:p>
        </w:tc>
        <w:tc>
          <w:tcPr>
            <w:tcW w:w="4092" w:type="dxa"/>
            <w:gridSpan w:val="2"/>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05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条款号</w:t>
            </w:r>
          </w:p>
        </w:tc>
        <w:tc>
          <w:tcPr>
            <w:tcW w:w="93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评分因素</w:t>
            </w:r>
          </w:p>
        </w:tc>
        <w:tc>
          <w:tcPr>
            <w:tcW w:w="915"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评分因素权重分值</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各评分因素细分项</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分值</w:t>
            </w:r>
          </w:p>
        </w:tc>
        <w:tc>
          <w:tcPr>
            <w:tcW w:w="4092" w:type="dxa"/>
            <w:gridSpan w:val="2"/>
            <w:vMerge w:val="continue"/>
            <w:noWrap/>
            <w:vAlign w:val="top"/>
          </w:tcPr>
          <w:p>
            <w:pPr>
              <w:keepNext w:val="0"/>
              <w:keepLines w:val="0"/>
              <w:pageBreakBefore w:val="0"/>
              <w:widowControl w:val="0"/>
              <w:kinsoku/>
              <w:wordWrap/>
              <w:overflowPunct/>
              <w:topLinePunct w:val="0"/>
              <w:autoSpaceDE w:val="0"/>
              <w:autoSpaceDN w:val="0"/>
              <w:bidi w:val="0"/>
              <w:adjustRightInd/>
              <w:snapToGrid/>
              <w:spacing w:before="34" w:after="16" w:line="400" w:lineRule="exact"/>
              <w:ind w:right="744"/>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2.2.4（1）</w:t>
            </w:r>
          </w:p>
        </w:tc>
        <w:tc>
          <w:tcPr>
            <w:tcW w:w="936" w:type="dxa"/>
            <w:gridSpan w:val="2"/>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技术建议书</w:t>
            </w:r>
          </w:p>
        </w:tc>
        <w:tc>
          <w:tcPr>
            <w:tcW w:w="915"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分</w:t>
            </w:r>
          </w:p>
        </w:tc>
        <w:tc>
          <w:tcPr>
            <w:tcW w:w="1297"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监理大纲（或监理方案）和措施</w:t>
            </w:r>
          </w:p>
        </w:tc>
        <w:tc>
          <w:tcPr>
            <w:tcW w:w="659"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15分</w:t>
            </w:r>
          </w:p>
        </w:tc>
        <w:tc>
          <w:tcPr>
            <w:tcW w:w="1042"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质量和安全监理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分）</w:t>
            </w:r>
          </w:p>
        </w:tc>
        <w:tc>
          <w:tcPr>
            <w:tcW w:w="3050"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质量和安全监理目标明确，且</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完全响应广东省施工标准化和</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安全标准化指南的得</w:t>
            </w: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.0分；监理措施具体且有效，对质量和安全问题所采取的对策及预控方法合理可行的，响应广东省施工标准化和安全标准化指南程度，酌情加 0-2.0分。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59"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042"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进度监理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分）</w:t>
            </w:r>
          </w:p>
        </w:tc>
        <w:tc>
          <w:tcPr>
            <w:tcW w:w="3050"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进度监理目标明确并满足招标文件的要求得3.0分；监理措施具体且有效，对保证工期所采取的对策及预控方法合理可行的，酌情加 0-2.0分。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59"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042"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费用和合同监理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分）</w:t>
            </w:r>
          </w:p>
        </w:tc>
        <w:tc>
          <w:tcPr>
            <w:tcW w:w="3050"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工程计量与支付监理方面的具体管理方法和措施具体且有效，有明确的变更管理、预防索赔、减少合同纠纷的管理和控制措施得1.8分；有合理可行的控制超计量支付及提前计量支付的预控方法的，酌情加0-1.2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59"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042"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施工环境保护管理（2 分）</w:t>
            </w:r>
          </w:p>
        </w:tc>
        <w:tc>
          <w:tcPr>
            <w:tcW w:w="3050"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有环保监理措施，且完全响应广东省施工标准化和安全标准化指南的得1.2 分；环保监理措施和方法具体且有效的，响应广东省施工标准化和安全标准化指南程度， 酌情加0-0.8</w:t>
            </w:r>
            <w:r>
              <w:rPr>
                <w:rFonts w:hint="eastAsia" w:ascii="宋体" w:hAnsi="宋体" w:eastAsia="宋体" w:cs="宋体"/>
                <w:color w:val="auto"/>
                <w:sz w:val="21"/>
                <w:szCs w:val="21"/>
                <w:highlight w:val="none"/>
                <w:lang w:val="en-US"/>
              </w:rPr>
              <w:t>分</w:t>
            </w:r>
            <w:r>
              <w:rPr>
                <w:rFonts w:hint="eastAsia" w:ascii="宋体" w:hAnsi="宋体" w:eastAsia="宋体" w:cs="宋体"/>
                <w:color w:val="auto"/>
                <w:sz w:val="2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本工程监理工作的重点与难点分析</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10</w:t>
            </w:r>
            <w:r>
              <w:rPr>
                <w:rFonts w:hint="eastAsia" w:ascii="宋体" w:hAnsi="宋体" w:eastAsia="宋体" w:cs="宋体"/>
                <w:color w:val="auto"/>
                <w:sz w:val="21"/>
                <w:szCs w:val="21"/>
                <w:highlight w:val="none"/>
              </w:rPr>
              <w:t>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有对工程重点、难点的分析得6.0分；分析准确，且有合理可行的应对措施的，酌情加0-4.0分。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对本工程的建议</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有对本工程的建议的3.0分；对管理模式、工程质量、进度、投资控制、合同管理等方面均提出合理可行的建议的，酌情加 0-2.0分。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2.2.4(2)</w:t>
            </w:r>
          </w:p>
        </w:tc>
        <w:tc>
          <w:tcPr>
            <w:tcW w:w="93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w:t>
            </w:r>
          </w:p>
        </w:tc>
        <w:tc>
          <w:tcPr>
            <w:tcW w:w="915"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25分</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lang w:val="en-US"/>
              </w:rPr>
              <w:t>监理人员</w:t>
            </w:r>
            <w:r>
              <w:rPr>
                <w:rFonts w:hint="eastAsia" w:ascii="宋体" w:hAnsi="宋体" w:eastAsia="宋体" w:cs="宋体"/>
                <w:color w:val="auto"/>
                <w:sz w:val="21"/>
                <w:szCs w:val="21"/>
                <w:highlight w:val="none"/>
              </w:rPr>
              <w:t>任职资格与业绩</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25分</w:t>
            </w:r>
          </w:p>
        </w:tc>
        <w:tc>
          <w:tcPr>
            <w:tcW w:w="4092" w:type="dxa"/>
            <w:gridSpan w:val="2"/>
            <w:noWrap/>
            <w:vAlign w:val="center"/>
          </w:tcPr>
          <w:p>
            <w:pPr>
              <w:pStyle w:val="2"/>
              <w:keepNext w:val="0"/>
              <w:keepLines w:val="0"/>
              <w:pageBreakBefore w:val="0"/>
              <w:widowControl w:val="0"/>
              <w:kinsoku/>
              <w:wordWrap/>
              <w:overflowPunct/>
              <w:topLinePunct w:val="0"/>
              <w:autoSpaceDE w:val="0"/>
              <w:autoSpaceDN w:val="0"/>
              <w:bidi w:val="0"/>
              <w:adjustRightInd/>
              <w:snapToGrid/>
              <w:spacing w:line="400" w:lineRule="exact"/>
              <w:ind w:firstLine="0"/>
              <w:textAlignment w:val="auto"/>
              <w:rPr>
                <w:rFonts w:hint="eastAsia" w:ascii="宋体" w:hAnsi="宋体" w:eastAsia="宋体" w:cs="宋体"/>
                <w:strike/>
                <w:color w:val="auto"/>
                <w:spacing w:val="-6"/>
                <w:sz w:val="21"/>
                <w:szCs w:val="21"/>
                <w:highlight w:val="none"/>
              </w:rPr>
            </w:pPr>
            <w:r>
              <w:rPr>
                <w:rFonts w:hint="eastAsia" w:ascii="宋体" w:hAnsi="宋体" w:eastAsia="宋体" w:cs="宋体"/>
                <w:color w:val="auto"/>
                <w:sz w:val="21"/>
                <w:szCs w:val="21"/>
                <w:highlight w:val="none"/>
              </w:rPr>
              <w:t>监理人员符合资格审查要求的，得25分。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2.2.4(3)</w:t>
            </w:r>
          </w:p>
        </w:tc>
        <w:tc>
          <w:tcPr>
            <w:tcW w:w="93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w:t>
            </w:r>
          </w:p>
        </w:tc>
        <w:tc>
          <w:tcPr>
            <w:tcW w:w="915"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 分</w:t>
            </w:r>
          </w:p>
        </w:tc>
        <w:tc>
          <w:tcPr>
            <w:tcW w:w="6048" w:type="dxa"/>
            <w:gridSpan w:val="4"/>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评标价得分计算公式：</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如果投标人的评标价&gt;评标基准价，则评标价得分＝F－偏差率×100× E1；</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如果投标人的评标价≤评标基准价，则评标价得分＝F＋偏差率× 100× E2。</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其中：F=10，一般原则上E1=1.0，E2=0.5，评标价得分保留小数点后四位，第五位四舍五入。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1056"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2.2.4(4)</w:t>
            </w:r>
          </w:p>
        </w:tc>
        <w:tc>
          <w:tcPr>
            <w:tcW w:w="468"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其他因素</w:t>
            </w:r>
          </w:p>
        </w:tc>
        <w:tc>
          <w:tcPr>
            <w:tcW w:w="468"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tc>
        <w:tc>
          <w:tcPr>
            <w:tcW w:w="915"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25分</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基本要求</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满足招标文件附录2业绩最低要求的，得 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公路</w:t>
            </w:r>
            <w:r>
              <w:rPr>
                <w:rFonts w:hint="eastAsia" w:ascii="宋体" w:hAnsi="宋体" w:eastAsia="宋体" w:cs="宋体"/>
                <w:color w:val="auto"/>
                <w:sz w:val="21"/>
                <w:szCs w:val="21"/>
                <w:highlight w:val="none"/>
              </w:rPr>
              <w:t>工程</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w:t>
            </w:r>
            <w:r>
              <w:rPr>
                <w:rFonts w:hint="eastAsia" w:ascii="宋体" w:hAnsi="宋体" w:eastAsia="宋体" w:cs="宋体"/>
                <w:color w:val="auto"/>
                <w:sz w:val="21"/>
                <w:szCs w:val="21"/>
                <w:highlight w:val="none"/>
              </w:rPr>
              <w:t>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在满足业绩最低要求的基础上，每累计增加</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0km（尾数不计）的</w:t>
            </w:r>
            <w:r>
              <w:rPr>
                <w:rFonts w:hint="eastAsia" w:ascii="宋体" w:hAnsi="宋体" w:eastAsia="宋体" w:cs="宋体"/>
                <w:color w:val="auto"/>
                <w:sz w:val="21"/>
                <w:szCs w:val="21"/>
                <w:highlight w:val="none"/>
                <w:lang w:val="en-US"/>
              </w:rPr>
              <w:t>类似工程</w:t>
            </w:r>
            <w:r>
              <w:rPr>
                <w:rFonts w:hint="eastAsia" w:ascii="宋体" w:hAnsi="宋体" w:eastAsia="宋体" w:cs="宋体"/>
                <w:color w:val="auto"/>
                <w:sz w:val="21"/>
                <w:szCs w:val="21"/>
                <w:highlight w:val="none"/>
              </w:rPr>
              <w:t>施工监理任务，加</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分，最多加6分。</w:t>
            </w:r>
          </w:p>
          <w:p>
            <w:pPr>
              <w:pStyle w:val="2"/>
              <w:keepNext w:val="0"/>
              <w:keepLines w:val="0"/>
              <w:pageBreakBefore w:val="0"/>
              <w:widowControl w:val="0"/>
              <w:kinsoku/>
              <w:wordWrap/>
              <w:overflowPunct/>
              <w:topLinePunct w:val="0"/>
              <w:autoSpaceDE w:val="0"/>
              <w:autoSpaceDN w:val="0"/>
              <w:bidi w:val="0"/>
              <w:adjustRightInd/>
              <w:snapToGrid/>
              <w:spacing w:line="400" w:lineRule="exact"/>
              <w:ind w:firstLine="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注：若联合体，指联合体牵头人。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市政</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工程</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w:t>
            </w:r>
            <w:r>
              <w:rPr>
                <w:rFonts w:hint="eastAsia" w:ascii="宋体" w:hAnsi="宋体" w:eastAsia="宋体" w:cs="宋体"/>
                <w:color w:val="auto"/>
                <w:sz w:val="21"/>
                <w:szCs w:val="21"/>
                <w:highlight w:val="none"/>
              </w:rPr>
              <w:t>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在满足业绩最低要求的基础上，提供市政工程的施工监理任务：每累计增加投资</w:t>
            </w:r>
            <w:r>
              <w:rPr>
                <w:rFonts w:hint="eastAsia" w:ascii="宋体" w:hAnsi="宋体" w:eastAsia="宋体" w:cs="宋体"/>
                <w:color w:val="auto"/>
                <w:sz w:val="21"/>
                <w:szCs w:val="21"/>
                <w:highlight w:val="none"/>
                <w:lang w:val="en-US" w:eastAsia="zh-CN"/>
              </w:rPr>
              <w:t>额15</w:t>
            </w:r>
            <w:r>
              <w:rPr>
                <w:rFonts w:hint="eastAsia" w:ascii="宋体" w:hAnsi="宋体" w:eastAsia="宋体" w:cs="宋体"/>
                <w:color w:val="auto"/>
                <w:sz w:val="21"/>
                <w:szCs w:val="21"/>
                <w:highlight w:val="none"/>
              </w:rPr>
              <w:t>000万元以上的加2分，最多加4分。</w:t>
            </w:r>
          </w:p>
          <w:p>
            <w:pPr>
              <w:pStyle w:val="2"/>
              <w:keepNext w:val="0"/>
              <w:keepLines w:val="0"/>
              <w:pageBreakBefore w:val="0"/>
              <w:widowControl w:val="0"/>
              <w:kinsoku/>
              <w:wordWrap/>
              <w:overflowPunct/>
              <w:topLinePunct w:val="0"/>
              <w:autoSpaceDE w:val="0"/>
              <w:autoSpaceDN w:val="0"/>
              <w:bidi w:val="0"/>
              <w:adjustRightInd/>
              <w:snapToGrid/>
              <w:spacing w:line="400" w:lineRule="exact"/>
              <w:ind w:firstLine="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注：若联合体，指联合体成员单位。需提供中标通知书或合同协议书或竣工验收报告复印件或扫描件为得分依据，</w:t>
            </w:r>
            <w:r>
              <w:rPr>
                <w:rFonts w:hint="eastAsia" w:ascii="宋体" w:hAnsi="宋体" w:eastAsia="宋体" w:cs="宋体"/>
                <w:color w:val="auto"/>
                <w:sz w:val="21"/>
                <w:szCs w:val="21"/>
                <w:highlight w:val="none"/>
                <w:lang w:eastAsia="zh-CN"/>
              </w:rPr>
              <w:t>时间以竣工验收</w:t>
            </w:r>
            <w:r>
              <w:rPr>
                <w:rFonts w:hint="eastAsia" w:ascii="宋体" w:hAnsi="宋体" w:eastAsia="宋体" w:cs="宋体"/>
                <w:color w:val="auto"/>
                <w:sz w:val="21"/>
                <w:szCs w:val="21"/>
                <w:highlight w:val="none"/>
                <w:lang w:val="en-US" w:eastAsia="zh-CN"/>
              </w:rPr>
              <w:t>证明文件</w:t>
            </w:r>
            <w:r>
              <w:rPr>
                <w:rFonts w:hint="eastAsia" w:ascii="宋体" w:hAnsi="宋体" w:eastAsia="宋体" w:cs="宋体"/>
                <w:color w:val="auto"/>
                <w:sz w:val="21"/>
                <w:szCs w:val="21"/>
                <w:highlight w:val="none"/>
                <w:lang w:eastAsia="zh-CN"/>
              </w:rPr>
              <w:t>时间为准</w:t>
            </w:r>
            <w:r>
              <w:rPr>
                <w:rFonts w:hint="eastAsia" w:ascii="宋体" w:hAnsi="宋体" w:eastAsia="宋体" w:cs="宋体"/>
                <w:color w:val="auto"/>
                <w:sz w:val="2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备注</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lang w:val="en-US"/>
              </w:rPr>
            </w:pP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以上业绩不重复计算。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履约信誉</w:t>
            </w:r>
          </w:p>
        </w:tc>
        <w:tc>
          <w:tcPr>
            <w:tcW w:w="915"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10分</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履约信誉</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1.信用等级分值（5分）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AA、A、B、C级单位的信用等级分得分分别为5.00、4.75、4.45、3.65分。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注：信用等级的确定原则遵循投标人须知前附表10.2款的规定。</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2.履约情况（5分）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若没出现下述情形得满分；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投标文件递交截止日前 1 年内，投标人因公路工程（含附属设施）质量、安全、履约或招标投标问题等原因被：</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（1）交通运输部行政处罚的，扣5分/次；（2）广东省交通运输厅行政处罚的，扣3分/次；</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（3）汕头市交通运输局行政处罚的，扣1.5分/次。</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（4）广东省交通运输厅正式约谈的，扣0.1</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分/次。</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注：同一事项同时被多个部门行政处罚或正式约谈只按最高的扣分计算1 次。如果扣完本项分值，可以从总分中扣。以联合体形式投标的，若各联合体成员任何一方或均存在上述情形的，对联合体各成员进</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行累计扣分。</w:t>
            </w:r>
          </w:p>
        </w:tc>
      </w:tr>
    </w:tbl>
    <w:p/>
    <w:sectPr>
      <w:pgSz w:w="11906" w:h="16838"/>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GVhMDQ2NjRiZTgzY2VkZTEzOGJhMzQ3ODA0ZDkifQ=="/>
  </w:docVars>
  <w:rsids>
    <w:rsidRoot w:val="3FCA0F4C"/>
    <w:rsid w:val="3FCA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1"/>
    <w:qFormat/>
    <w:uiPriority w:val="99"/>
    <w:pPr>
      <w:spacing w:line="312" w:lineRule="auto"/>
      <w:ind w:firstLine="420"/>
    </w:pPr>
  </w:style>
  <w:style w:type="paragraph" w:customStyle="1" w:styleId="7">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2023-06-05T07:31:00Z</dcterms:created>
  <dc:creator>代理机构</dc:creator>
  <cp:lastModifiedBy>代理机构</cp:lastModifiedBy>
  <dcterms:modified xsi:type="dcterms:W3CDTF">2023-06-05T07:32:23Z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840A0BCE9D90484CBF2CCBC76D05419F_11</vt:lpwstr>
  </property>
</Properties>
</file>