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0"/>
          <w:numId w:val="1"/>
        </w:numPr>
        <w:spacing w:before="360" w:after="360" w:line="240" w:lineRule="auto"/>
        <w:jc w:val="center"/>
        <w:rPr>
          <w:color w:val="auto"/>
          <w:highlight w:val="none"/>
        </w:rPr>
      </w:pPr>
      <w:r>
        <w:rPr>
          <w:rFonts w:hint="eastAsia"/>
          <w:color w:val="auto"/>
          <w:highlight w:val="none"/>
        </w:rPr>
        <w:tab/>
      </w:r>
      <w:bookmarkStart w:id="0" w:name="_Toc14792052"/>
      <w:r>
        <w:rPr>
          <w:rFonts w:hint="eastAsia"/>
          <w:color w:val="auto"/>
          <w:highlight w:val="none"/>
        </w:rPr>
        <w:t>评标办法</w:t>
      </w:r>
      <w:bookmarkStart w:id="5" w:name="_GoBack"/>
      <w:bookmarkEnd w:id="5"/>
      <w:r>
        <w:rPr>
          <w:rFonts w:hint="eastAsia"/>
          <w:color w:val="auto"/>
          <w:highlight w:val="none"/>
        </w:rPr>
        <w:t>（综合评估法）</w:t>
      </w:r>
      <w:bookmarkEnd w:id="0"/>
    </w:p>
    <w:p>
      <w:pPr>
        <w:pStyle w:val="3"/>
        <w:spacing w:line="360" w:lineRule="auto"/>
        <w:jc w:val="center"/>
        <w:rPr>
          <w:rFonts w:hint="eastAsia"/>
          <w:color w:val="auto"/>
          <w:highlight w:val="none"/>
        </w:rPr>
      </w:pPr>
      <w:bookmarkStart w:id="1" w:name="_bookmark60"/>
      <w:bookmarkEnd w:id="1"/>
      <w:bookmarkStart w:id="2" w:name="评标办法前附表50F"/>
      <w:bookmarkEnd w:id="2"/>
      <w:bookmarkStart w:id="3" w:name="_Toc14792053"/>
      <w:r>
        <w:rPr>
          <w:rFonts w:hint="eastAsia"/>
          <w:color w:val="auto"/>
          <w:highlight w:val="none"/>
        </w:rPr>
        <w:t>评标办法前附表</w:t>
      </w:r>
      <w:bookmarkEnd w:id="3"/>
      <w:r>
        <w:rPr>
          <w:rFonts w:hint="eastAsia"/>
          <w:color w:val="auto"/>
          <w:highlight w:val="none"/>
        </w:rPr>
        <w:t xml:space="preserve"> </w:t>
      </w: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134"/>
        <w:gridCol w:w="6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jc w:val="center"/>
        </w:trPr>
        <w:tc>
          <w:tcPr>
            <w:tcW w:w="1951" w:type="dxa"/>
            <w:gridSpan w:val="2"/>
            <w:noWrap w:val="0"/>
            <w:vAlign w:val="center"/>
          </w:tcPr>
          <w:p>
            <w:pPr>
              <w:spacing w:line="312"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条款号</w:t>
            </w:r>
          </w:p>
        </w:tc>
        <w:tc>
          <w:tcPr>
            <w:tcW w:w="6995" w:type="dxa"/>
            <w:noWrap w:val="0"/>
            <w:vAlign w:val="center"/>
          </w:tcPr>
          <w:p>
            <w:pPr>
              <w:spacing w:line="312"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评审因素与评审标准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7" w:type="dxa"/>
            <w:noWrap w:val="0"/>
            <w:vAlign w:val="center"/>
          </w:tcPr>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134" w:type="dxa"/>
            <w:noWrap w:val="0"/>
            <w:vAlign w:val="center"/>
          </w:tcPr>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评标方法</w:t>
            </w:r>
          </w:p>
        </w:tc>
        <w:tc>
          <w:tcPr>
            <w:tcW w:w="6995" w:type="dxa"/>
            <w:noWrap w:val="0"/>
            <w:vAlign w:val="center"/>
          </w:tcPr>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综合评分相等时，评标委员会依次按照以下优先顺序推荐中标候选人或确定中标人：</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（1）评标价低的投标人优先；</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招标文件规定被认定为广东省信用等级较高的投标人优先（采用如下的优先顺序：承诺使用的AA级投标人、不承诺使用的AA级投标人、承诺使用的A级投标人、不承诺使用的A级投标人、B级投标人、未参评且被确定为B级投标人）；</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（3）商务和技术得分较高的投标人优先；</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（4）由评标委员会投票确定。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7" w:type="dxa"/>
            <w:noWrap w:val="0"/>
            <w:vAlign w:val="center"/>
          </w:tcPr>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w:t>
            </w:r>
          </w:p>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w:t>
            </w:r>
          </w:p>
        </w:tc>
        <w:tc>
          <w:tcPr>
            <w:tcW w:w="1134" w:type="dxa"/>
            <w:noWrap w:val="0"/>
            <w:vAlign w:val="center"/>
          </w:tcPr>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形式评审与响应性评审标准</w:t>
            </w:r>
          </w:p>
        </w:tc>
        <w:tc>
          <w:tcPr>
            <w:tcW w:w="6995" w:type="dxa"/>
            <w:noWrap w:val="0"/>
            <w:vAlign w:val="center"/>
          </w:tcPr>
          <w:p>
            <w:pPr>
              <w:spacing w:line="40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第一个信封（商务及技术文件）评审标准：</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（1）投标文件按照招标文件规定的格式、内容填写，字迹清晰可辨：</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a.投标函按招标文件规定填报了项目名称、标段号、补遗书编号（如有）、监理服务期限、工程质量要求及安全目标；</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b.投标文件组成齐全完整，内容均按规定填写。</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（2）投标文件上法定代表人或其委托代理人的签字、投标人的单位章盖章齐全，符合招标文件规定。</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（3）投标人按照招标文件的规定提供了投标保证金：</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a.投标保证金金额符合招标文件规定的金额，且投标保证金有效期不少于投标有效期；</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b.若投标保证金采用现金或支票形式提交，投标人应在招标文件规定的投标保证金递交截止时间之前，将投标保证金由投标人的基本账户转入招标人指定账户；</w:t>
            </w:r>
          </w:p>
          <w:p>
            <w:pPr>
              <w:spacing w:line="400" w:lineRule="exact"/>
              <w:ind w:firstLine="420" w:firstLineChars="200"/>
              <w:rPr>
                <w:rFonts w:hint="eastAsia" w:ascii="宋体" w:hAnsi="宋体" w:eastAsia="宋体" w:cs="宋体"/>
                <w:color w:val="auto"/>
                <w:sz w:val="21"/>
                <w:szCs w:val="21"/>
                <w:highlight w:val="none"/>
              </w:rPr>
            </w:pPr>
            <w:r>
              <w:rPr>
                <w:rFonts w:hint="eastAsia" w:eastAsia="宋体" w:cs="宋体"/>
                <w:color w:val="auto"/>
                <w:sz w:val="21"/>
                <w:szCs w:val="21"/>
                <w:highlight w:val="none"/>
                <w:lang w:val="en-US" w:eastAsia="zh-CN"/>
              </w:rPr>
              <w:t>c</w:t>
            </w:r>
            <w:r>
              <w:rPr>
                <w:rFonts w:hint="eastAsia" w:ascii="宋体" w:hAnsi="宋体" w:eastAsia="宋体" w:cs="宋体"/>
                <w:color w:val="auto"/>
                <w:sz w:val="21"/>
                <w:szCs w:val="21"/>
                <w:highlight w:val="none"/>
              </w:rPr>
              <w:t>.若投标保证金采用银行保函形式提交，银行保函的格式、开具保函的银行均满足招标文件要求，若采用投标担保函或投标保证保险合同（或保险单）形式提交，格式按融资性担保公司或保险公司出具为准，且在递交投标文件截止时间之前向招标人提交了银行保函</w:t>
            </w:r>
            <w:r>
              <w:rPr>
                <w:rFonts w:hint="eastAsia" w:ascii="宋体" w:hAnsi="宋体" w:eastAsia="宋体" w:cs="宋体"/>
                <w:color w:val="auto"/>
                <w:sz w:val="21"/>
                <w:szCs w:val="21"/>
                <w:highlight w:val="none"/>
                <w:lang w:val="en-US"/>
              </w:rPr>
              <w:t>或</w:t>
            </w:r>
            <w:r>
              <w:rPr>
                <w:rFonts w:hint="eastAsia" w:ascii="宋体" w:hAnsi="宋体" w:eastAsia="宋体" w:cs="宋体"/>
                <w:color w:val="auto"/>
                <w:sz w:val="21"/>
                <w:szCs w:val="21"/>
                <w:highlight w:val="none"/>
              </w:rPr>
              <w:t>投标担保函或投标保证保险合同（或保险单）原件。</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（4）投标人法定代表人授权委托代理人签署投标文件的，须提交授权委托书，且授权人和被授权人均在授权委托书上签名，未使用印章、签名章或其他电子制版签名代替。</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（5）投标人法定代表人亲自签署投标文件的，提供了法定代表人身份证明，且法定代表人在法定代表人身份证明上签名，未使用印章、签名章或其他电子制版签名代替。</w:t>
            </w:r>
          </w:p>
          <w:p>
            <w:pPr>
              <w:spacing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投标人未以联合体形式投标。</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）同一投标人未提交两个以上不同的投标文件，但招标文件要求提交备选投标的除外。</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eastAsia="宋体" w:cs="宋体"/>
                <w:color w:val="auto"/>
                <w:sz w:val="21"/>
                <w:szCs w:val="21"/>
                <w:highlight w:val="none"/>
                <w:lang w:val="en-US" w:eastAsia="zh-CN"/>
              </w:rPr>
              <w:t>8</w:t>
            </w:r>
            <w:r>
              <w:rPr>
                <w:rFonts w:hint="eastAsia" w:ascii="宋体" w:hAnsi="宋体" w:eastAsia="宋体" w:cs="宋体"/>
                <w:color w:val="auto"/>
                <w:sz w:val="21"/>
                <w:szCs w:val="21"/>
                <w:highlight w:val="none"/>
              </w:rPr>
              <w:t>）投标文件中未出现有关投标报价的内容。</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）投标文件载明的招标项目完成期限未超过招标文件规定的时限。</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）投标文件对招标文件的实质性要求和条件作出响应。</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）权利义务符合招标文件规定：</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a.投标人应接受招标文件规定的风险划分原则，未提出新的风险划分办法；</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b.投标人未增加委托人的责任范围，或减少投标人义务；</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c.投标人未提出不同的支付办法；</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d.投标人对合同纠纷、事故处理办法未提出异议； </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e.投标人在投标活动中无欺诈行为；</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f.投标人未对合同条款有重要保留。</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）投标文件正、副本份数符合招标文件第二章“投标人须知” 第 3.7.4 项规定。</w:t>
            </w:r>
          </w:p>
          <w:p>
            <w:pPr>
              <w:spacing w:line="40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第二个信封（报价文件）评审标准：</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（1）投标文件按照招标文件规定的格式、内容填写，字迹清晰可辨，内容齐全完整：</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a.投标函按招标文件规定填报了项目名称、标段号、补遗书编号（如有）、投标价（包括大写金额和小写金额）；</w:t>
            </w:r>
          </w:p>
          <w:p>
            <w:pPr>
              <w:spacing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b.</w:t>
            </w:r>
            <w:r>
              <w:rPr>
                <w:rFonts w:hint="eastAsia" w:eastAsia="宋体" w:cs="宋体"/>
                <w:color w:val="auto"/>
                <w:sz w:val="21"/>
                <w:szCs w:val="21"/>
                <w:highlight w:val="none"/>
                <w:lang w:eastAsia="zh-CN"/>
              </w:rPr>
              <w:t>已标价报价清单说明文字与招标文件规定一致，未进行实质性修改和删减。</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c.投标文件组成齐全完整，内容均按规定填写。</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（2）投标文件上法定代表人或其委托代理人的签字、投标人的单位章盖章齐全，符合招标文件规定。</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（3）投标报价未超过招标文件设定的最高投标限价（如有）。</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（4）投标报价的大写金额能够确定具体数值。</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（5）同一投标人未提交两个以上不同的投标报价，但招标文件要求提交备选投标的除外。</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（6）投标文件正、副本份数符合招标文件第二章“投标人须知”第 3.7.4 项规定。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17" w:type="dxa"/>
            <w:noWrap w:val="0"/>
            <w:vAlign w:val="center"/>
          </w:tcPr>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2.1.2</w:t>
            </w:r>
          </w:p>
        </w:tc>
        <w:tc>
          <w:tcPr>
            <w:tcW w:w="1134" w:type="dxa"/>
            <w:noWrap w:val="0"/>
            <w:vAlign w:val="center"/>
          </w:tcPr>
          <w:p>
            <w:pPr>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资格评审标准</w:t>
            </w:r>
          </w:p>
        </w:tc>
        <w:tc>
          <w:tcPr>
            <w:tcW w:w="6995" w:type="dxa"/>
            <w:noWrap w:val="0"/>
            <w:vAlign w:val="center"/>
          </w:tcPr>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投标人具备有效的营业执照、组织机构代码证、监理资质证书和基本账户开户许可证（如企业所在地已取消企业银行账户许可而无法提供开户许可证的，则需附上开户银行盖章的“基本存款账户信息”或“人民银行账户管理系统查询的基本账户信息截图”），投标人已录入交通运输部“全国公路建设市场信用信息管理系统（http：//glxy.mot.gov.cn）”中的公路工程施工监理资质企业名录，且投标人名称和资质与该名录中的相应企业名称和资质完全一致。</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（2）投标人的资质等级符合招标文件规定。</w:t>
            </w:r>
          </w:p>
          <w:p>
            <w:pPr>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（3）投标人的类似工程业绩符合招标文件规定。</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（4）投标人的信誉符合招标文件规定。</w:t>
            </w:r>
          </w:p>
          <w:p>
            <w:pPr>
              <w:snapToGrid w:val="0"/>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（5）投标人的总监理工程师或驻地监理工程师（含备选，如有）资格、在岗情况符合招标文件规定，并按规定在投标文件中签字确认。</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（6）投标人的其他要求符合招标文件规定。</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（7）投标人不存在第二章“投标人须知”第 1.4.3 项或第 1.4.4项规定的任何一种情形。</w:t>
            </w:r>
          </w:p>
          <w:p>
            <w:pPr>
              <w:spacing w:line="4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（8）投标人符合第二章“投标人须知”第 1.4.5 项规定。</w:t>
            </w:r>
          </w:p>
        </w:tc>
      </w:tr>
    </w:tbl>
    <w:p>
      <w:pPr>
        <w:spacing w:line="400" w:lineRule="exact"/>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color w:val="auto"/>
          <w:highlight w:val="none"/>
        </w:rPr>
      </w:pPr>
    </w:p>
    <w:p>
      <w:pPr>
        <w:rPr>
          <w:rFonts w:hint="eastAsia"/>
          <w:color w:val="auto"/>
          <w:highlight w:val="none"/>
        </w:rPr>
      </w:pPr>
    </w:p>
    <w:p>
      <w:pPr>
        <w:rPr>
          <w:rFonts w:hint="eastAsia"/>
          <w:color w:val="auto"/>
          <w:highlight w:val="none"/>
        </w:rPr>
      </w:pP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276"/>
        <w:gridCol w:w="67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59" w:type="dxa"/>
            <w:noWrap w:val="0"/>
            <w:vAlign w:val="center"/>
          </w:tcPr>
          <w:p>
            <w:pPr>
              <w:spacing w:line="312" w:lineRule="auto"/>
              <w:rPr>
                <w:rFonts w:hint="eastAsia"/>
                <w:b/>
                <w:color w:val="auto"/>
                <w:sz w:val="21"/>
                <w:szCs w:val="21"/>
                <w:highlight w:val="none"/>
              </w:rPr>
            </w:pPr>
            <w:r>
              <w:rPr>
                <w:rFonts w:hint="eastAsia"/>
                <w:b/>
                <w:color w:val="auto"/>
                <w:sz w:val="21"/>
                <w:szCs w:val="21"/>
                <w:highlight w:val="none"/>
              </w:rPr>
              <w:t>条款号</w:t>
            </w:r>
          </w:p>
        </w:tc>
        <w:tc>
          <w:tcPr>
            <w:tcW w:w="1276" w:type="dxa"/>
            <w:noWrap w:val="0"/>
            <w:vAlign w:val="center"/>
          </w:tcPr>
          <w:p>
            <w:pPr>
              <w:spacing w:line="312" w:lineRule="auto"/>
              <w:jc w:val="center"/>
              <w:rPr>
                <w:rFonts w:hint="eastAsia"/>
                <w:b/>
                <w:color w:val="auto"/>
                <w:sz w:val="21"/>
                <w:szCs w:val="21"/>
                <w:highlight w:val="none"/>
              </w:rPr>
            </w:pPr>
            <w:r>
              <w:rPr>
                <w:rFonts w:hint="eastAsia"/>
                <w:b/>
                <w:color w:val="auto"/>
                <w:sz w:val="21"/>
                <w:szCs w:val="21"/>
                <w:highlight w:val="none"/>
              </w:rPr>
              <w:t>条款内容</w:t>
            </w:r>
          </w:p>
        </w:tc>
        <w:tc>
          <w:tcPr>
            <w:tcW w:w="6711" w:type="dxa"/>
            <w:noWrap w:val="0"/>
            <w:vAlign w:val="center"/>
          </w:tcPr>
          <w:p>
            <w:pPr>
              <w:spacing w:line="312" w:lineRule="auto"/>
              <w:jc w:val="center"/>
              <w:rPr>
                <w:rFonts w:hint="eastAsia"/>
                <w:b/>
                <w:color w:val="auto"/>
                <w:sz w:val="21"/>
                <w:szCs w:val="21"/>
                <w:highlight w:val="none"/>
              </w:rPr>
            </w:pPr>
            <w:r>
              <w:rPr>
                <w:rFonts w:hint="eastAsia"/>
                <w:b/>
                <w:color w:val="auto"/>
                <w:sz w:val="21"/>
                <w:szCs w:val="21"/>
                <w:highlight w:val="none"/>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35" w:hRule="atLeast"/>
        </w:trPr>
        <w:tc>
          <w:tcPr>
            <w:tcW w:w="959" w:type="dxa"/>
            <w:noWrap w:val="0"/>
            <w:vAlign w:val="center"/>
          </w:tcPr>
          <w:p>
            <w:pPr>
              <w:spacing w:line="312" w:lineRule="auto"/>
              <w:jc w:val="center"/>
              <w:rPr>
                <w:rFonts w:hint="eastAsia"/>
                <w:color w:val="auto"/>
                <w:sz w:val="21"/>
                <w:szCs w:val="21"/>
                <w:highlight w:val="none"/>
              </w:rPr>
            </w:pPr>
            <w:r>
              <w:rPr>
                <w:rFonts w:hint="eastAsia"/>
                <w:color w:val="auto"/>
                <w:sz w:val="21"/>
                <w:szCs w:val="21"/>
                <w:highlight w:val="none"/>
              </w:rPr>
              <w:t>2.2.1</w:t>
            </w:r>
          </w:p>
        </w:tc>
        <w:tc>
          <w:tcPr>
            <w:tcW w:w="1276" w:type="dxa"/>
            <w:noWrap w:val="0"/>
            <w:vAlign w:val="center"/>
          </w:tcPr>
          <w:p>
            <w:pPr>
              <w:pStyle w:val="8"/>
              <w:spacing w:line="312" w:lineRule="auto"/>
              <w:ind w:left="109" w:right="100"/>
              <w:jc w:val="center"/>
              <w:rPr>
                <w:rFonts w:hint="eastAsia"/>
                <w:color w:val="auto"/>
                <w:sz w:val="21"/>
                <w:szCs w:val="21"/>
                <w:highlight w:val="none"/>
              </w:rPr>
            </w:pPr>
            <w:r>
              <w:rPr>
                <w:color w:val="auto"/>
                <w:sz w:val="21"/>
                <w:highlight w:val="none"/>
              </w:rPr>
              <w:t>分值构成（总分 100分）</w:t>
            </w:r>
          </w:p>
        </w:tc>
        <w:tc>
          <w:tcPr>
            <w:tcW w:w="6711" w:type="dxa"/>
            <w:noWrap w:val="0"/>
            <w:vAlign w:val="center"/>
          </w:tcPr>
          <w:p>
            <w:pPr>
              <w:snapToGrid w:val="0"/>
              <w:spacing w:line="312" w:lineRule="auto"/>
              <w:rPr>
                <w:b/>
                <w:color w:val="auto"/>
                <w:sz w:val="21"/>
                <w:szCs w:val="21"/>
                <w:highlight w:val="none"/>
              </w:rPr>
            </w:pPr>
            <w:r>
              <w:rPr>
                <w:b/>
                <w:color w:val="auto"/>
                <w:sz w:val="21"/>
                <w:szCs w:val="21"/>
                <w:highlight w:val="none"/>
              </w:rPr>
              <w:t xml:space="preserve">第一个信封（商务及技术文件）评分分值构成： </w:t>
            </w:r>
          </w:p>
          <w:p>
            <w:pPr>
              <w:snapToGrid w:val="0"/>
              <w:spacing w:line="312" w:lineRule="auto"/>
              <w:ind w:firstLine="420" w:firstLineChars="200"/>
              <w:rPr>
                <w:color w:val="auto"/>
                <w:sz w:val="21"/>
                <w:szCs w:val="21"/>
                <w:highlight w:val="none"/>
              </w:rPr>
            </w:pPr>
            <w:r>
              <w:rPr>
                <w:color w:val="auto"/>
                <w:sz w:val="21"/>
                <w:szCs w:val="21"/>
                <w:highlight w:val="none"/>
              </w:rPr>
              <w:t>技术建议书：</w:t>
            </w:r>
            <w:r>
              <w:rPr>
                <w:rFonts w:hint="eastAsia"/>
                <w:color w:val="auto"/>
                <w:sz w:val="21"/>
                <w:szCs w:val="21"/>
                <w:highlight w:val="none"/>
                <w:lang w:val="en-US"/>
              </w:rPr>
              <w:t>30</w:t>
            </w:r>
            <w:r>
              <w:rPr>
                <w:color w:val="auto"/>
                <w:sz w:val="21"/>
                <w:szCs w:val="21"/>
                <w:highlight w:val="none"/>
              </w:rPr>
              <w:t>分</w:t>
            </w:r>
          </w:p>
          <w:p>
            <w:pPr>
              <w:snapToGrid w:val="0"/>
              <w:spacing w:line="312" w:lineRule="auto"/>
              <w:ind w:firstLine="420" w:firstLineChars="200"/>
              <w:rPr>
                <w:color w:val="auto"/>
                <w:sz w:val="21"/>
                <w:szCs w:val="21"/>
                <w:highlight w:val="none"/>
              </w:rPr>
            </w:pPr>
            <w:r>
              <w:rPr>
                <w:color w:val="auto"/>
                <w:sz w:val="21"/>
                <w:szCs w:val="21"/>
                <w:highlight w:val="none"/>
              </w:rPr>
              <w:t>主要人员：</w:t>
            </w:r>
            <w:r>
              <w:rPr>
                <w:rFonts w:hint="eastAsia"/>
                <w:color w:val="auto"/>
                <w:sz w:val="21"/>
                <w:szCs w:val="21"/>
                <w:highlight w:val="none"/>
              </w:rPr>
              <w:t>25</w:t>
            </w:r>
            <w:r>
              <w:rPr>
                <w:color w:val="auto"/>
                <w:sz w:val="21"/>
                <w:szCs w:val="21"/>
                <w:highlight w:val="none"/>
              </w:rPr>
              <w:t>分</w:t>
            </w:r>
          </w:p>
          <w:p>
            <w:pPr>
              <w:snapToGrid w:val="0"/>
              <w:spacing w:line="312" w:lineRule="auto"/>
              <w:ind w:firstLine="420" w:firstLineChars="200"/>
              <w:rPr>
                <w:color w:val="auto"/>
                <w:sz w:val="21"/>
                <w:szCs w:val="21"/>
                <w:highlight w:val="none"/>
              </w:rPr>
            </w:pPr>
            <w:r>
              <w:rPr>
                <w:color w:val="auto"/>
                <w:sz w:val="21"/>
                <w:szCs w:val="21"/>
                <w:highlight w:val="none"/>
              </w:rPr>
              <w:t>业绩：</w:t>
            </w:r>
            <w:r>
              <w:rPr>
                <w:rFonts w:hint="eastAsia"/>
                <w:color w:val="auto"/>
                <w:sz w:val="21"/>
                <w:szCs w:val="21"/>
                <w:highlight w:val="none"/>
              </w:rPr>
              <w:t>25</w:t>
            </w:r>
            <w:r>
              <w:rPr>
                <w:color w:val="auto"/>
                <w:sz w:val="21"/>
                <w:szCs w:val="21"/>
                <w:highlight w:val="none"/>
              </w:rPr>
              <w:t>分</w:t>
            </w:r>
          </w:p>
          <w:p>
            <w:pPr>
              <w:snapToGrid w:val="0"/>
              <w:spacing w:line="312" w:lineRule="auto"/>
              <w:ind w:firstLine="420" w:firstLineChars="200"/>
              <w:rPr>
                <w:color w:val="auto"/>
                <w:sz w:val="21"/>
                <w:szCs w:val="21"/>
                <w:highlight w:val="none"/>
              </w:rPr>
            </w:pPr>
            <w:r>
              <w:rPr>
                <w:color w:val="auto"/>
                <w:sz w:val="21"/>
                <w:szCs w:val="21"/>
                <w:highlight w:val="none"/>
              </w:rPr>
              <w:t>履约信誉：10分</w:t>
            </w:r>
          </w:p>
          <w:p>
            <w:pPr>
              <w:snapToGrid w:val="0"/>
              <w:spacing w:line="312" w:lineRule="auto"/>
              <w:rPr>
                <w:b/>
                <w:color w:val="auto"/>
                <w:sz w:val="21"/>
                <w:szCs w:val="21"/>
                <w:highlight w:val="none"/>
              </w:rPr>
            </w:pPr>
            <w:r>
              <w:rPr>
                <w:b/>
                <w:color w:val="auto"/>
                <w:sz w:val="21"/>
                <w:szCs w:val="21"/>
                <w:highlight w:val="none"/>
              </w:rPr>
              <w:t>第二个信封（报价文件）评分分值构成：</w:t>
            </w:r>
          </w:p>
          <w:p>
            <w:pPr>
              <w:snapToGrid w:val="0"/>
              <w:spacing w:line="312" w:lineRule="auto"/>
              <w:ind w:firstLine="420" w:firstLineChars="200"/>
              <w:rPr>
                <w:rFonts w:hint="eastAsia"/>
                <w:color w:val="auto"/>
                <w:sz w:val="21"/>
                <w:szCs w:val="21"/>
                <w:highlight w:val="none"/>
              </w:rPr>
            </w:pPr>
            <w:r>
              <w:rPr>
                <w:color w:val="auto"/>
                <w:sz w:val="21"/>
                <w:szCs w:val="21"/>
                <w:highlight w:val="none"/>
              </w:rPr>
              <w:t>评标价：10分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8" w:hRule="atLeast"/>
        </w:trPr>
        <w:tc>
          <w:tcPr>
            <w:tcW w:w="959" w:type="dxa"/>
            <w:noWrap w:val="0"/>
            <w:vAlign w:val="center"/>
          </w:tcPr>
          <w:p>
            <w:pPr>
              <w:spacing w:line="312" w:lineRule="auto"/>
              <w:jc w:val="center"/>
              <w:rPr>
                <w:rFonts w:hint="eastAsia"/>
                <w:color w:val="auto"/>
                <w:sz w:val="21"/>
                <w:szCs w:val="21"/>
                <w:highlight w:val="none"/>
              </w:rPr>
            </w:pPr>
            <w:r>
              <w:rPr>
                <w:rFonts w:hint="eastAsia"/>
                <w:color w:val="auto"/>
                <w:sz w:val="21"/>
                <w:szCs w:val="21"/>
                <w:highlight w:val="none"/>
              </w:rPr>
              <w:t>2.2.2</w:t>
            </w:r>
          </w:p>
        </w:tc>
        <w:tc>
          <w:tcPr>
            <w:tcW w:w="1276" w:type="dxa"/>
            <w:noWrap w:val="0"/>
            <w:vAlign w:val="center"/>
          </w:tcPr>
          <w:p>
            <w:pPr>
              <w:snapToGrid w:val="0"/>
              <w:spacing w:line="312" w:lineRule="auto"/>
              <w:jc w:val="center"/>
              <w:rPr>
                <w:rFonts w:hint="eastAsia"/>
                <w:color w:val="auto"/>
                <w:sz w:val="21"/>
                <w:szCs w:val="21"/>
                <w:highlight w:val="none"/>
              </w:rPr>
            </w:pPr>
            <w:r>
              <w:rPr>
                <w:color w:val="auto"/>
                <w:sz w:val="21"/>
                <w:szCs w:val="21"/>
                <w:highlight w:val="none"/>
              </w:rPr>
              <w:t>评标基准价计算方法</w:t>
            </w:r>
          </w:p>
        </w:tc>
        <w:tc>
          <w:tcPr>
            <w:tcW w:w="6711" w:type="dxa"/>
            <w:noWrap w:val="0"/>
            <w:vAlign w:val="center"/>
          </w:tcPr>
          <w:p>
            <w:pPr>
              <w:snapToGrid w:val="0"/>
              <w:spacing w:line="312" w:lineRule="auto"/>
              <w:ind w:firstLine="420" w:firstLineChars="200"/>
              <w:rPr>
                <w:color w:val="auto"/>
                <w:sz w:val="21"/>
                <w:szCs w:val="21"/>
                <w:highlight w:val="none"/>
              </w:rPr>
            </w:pPr>
            <w:r>
              <w:rPr>
                <w:color w:val="auto"/>
                <w:sz w:val="21"/>
                <w:szCs w:val="21"/>
                <w:highlight w:val="none"/>
              </w:rPr>
              <w:t>评标基准价的计算：</w:t>
            </w:r>
          </w:p>
          <w:p>
            <w:pPr>
              <w:snapToGrid w:val="0"/>
              <w:spacing w:line="312" w:lineRule="auto"/>
              <w:ind w:firstLine="420" w:firstLineChars="200"/>
              <w:rPr>
                <w:color w:val="auto"/>
                <w:sz w:val="21"/>
                <w:szCs w:val="21"/>
                <w:highlight w:val="none"/>
              </w:rPr>
            </w:pPr>
            <w:r>
              <w:rPr>
                <w:color w:val="auto"/>
                <w:sz w:val="21"/>
                <w:szCs w:val="21"/>
                <w:highlight w:val="none"/>
              </w:rPr>
              <w:t>在开标现场，招标人将当场计算并宣布评标基准价。</w:t>
            </w:r>
          </w:p>
          <w:p>
            <w:pPr>
              <w:snapToGrid w:val="0"/>
              <w:spacing w:line="312" w:lineRule="auto"/>
              <w:ind w:firstLine="422" w:firstLineChars="200"/>
              <w:rPr>
                <w:b/>
                <w:color w:val="auto"/>
                <w:sz w:val="21"/>
                <w:szCs w:val="21"/>
                <w:highlight w:val="none"/>
              </w:rPr>
            </w:pPr>
            <w:r>
              <w:rPr>
                <w:rFonts w:hint="eastAsia"/>
                <w:b/>
                <w:color w:val="auto"/>
                <w:sz w:val="21"/>
                <w:szCs w:val="21"/>
                <w:highlight w:val="none"/>
              </w:rPr>
              <w:t>（1）</w:t>
            </w:r>
            <w:r>
              <w:rPr>
                <w:b/>
                <w:color w:val="auto"/>
                <w:sz w:val="21"/>
                <w:szCs w:val="21"/>
                <w:highlight w:val="none"/>
              </w:rPr>
              <w:t>评标价的确定：</w:t>
            </w:r>
          </w:p>
          <w:p>
            <w:pPr>
              <w:snapToGrid w:val="0"/>
              <w:spacing w:line="312" w:lineRule="auto"/>
              <w:ind w:firstLine="420" w:firstLineChars="200"/>
              <w:rPr>
                <w:color w:val="auto"/>
                <w:sz w:val="21"/>
                <w:szCs w:val="21"/>
                <w:highlight w:val="none"/>
              </w:rPr>
            </w:pPr>
            <w:r>
              <w:rPr>
                <w:color w:val="auto"/>
                <w:sz w:val="21"/>
                <w:szCs w:val="21"/>
                <w:highlight w:val="none"/>
              </w:rPr>
              <w:t>评标价＝投标函文字报价</w:t>
            </w:r>
          </w:p>
          <w:p>
            <w:pPr>
              <w:snapToGrid w:val="0"/>
              <w:spacing w:line="312" w:lineRule="auto"/>
              <w:ind w:firstLine="422" w:firstLineChars="200"/>
              <w:rPr>
                <w:b/>
                <w:color w:val="auto"/>
                <w:sz w:val="21"/>
                <w:szCs w:val="21"/>
                <w:highlight w:val="none"/>
              </w:rPr>
            </w:pPr>
            <w:r>
              <w:rPr>
                <w:rFonts w:hint="eastAsia"/>
                <w:b/>
                <w:color w:val="auto"/>
                <w:sz w:val="21"/>
                <w:szCs w:val="21"/>
                <w:highlight w:val="none"/>
              </w:rPr>
              <w:t>（2）</w:t>
            </w:r>
            <w:r>
              <w:rPr>
                <w:b/>
                <w:color w:val="auto"/>
                <w:sz w:val="21"/>
                <w:szCs w:val="21"/>
                <w:highlight w:val="none"/>
              </w:rPr>
              <w:t>评标价的平均值的计算：（选择方案二）</w:t>
            </w:r>
          </w:p>
          <w:p>
            <w:pPr>
              <w:snapToGrid w:val="0"/>
              <w:spacing w:line="312" w:lineRule="auto"/>
              <w:ind w:firstLine="420" w:firstLineChars="200"/>
              <w:rPr>
                <w:color w:val="auto"/>
                <w:sz w:val="21"/>
                <w:szCs w:val="21"/>
                <w:highlight w:val="none"/>
              </w:rPr>
            </w:pPr>
            <w:r>
              <w:rPr>
                <w:color w:val="auto"/>
                <w:sz w:val="21"/>
                <w:szCs w:val="21"/>
                <w:highlight w:val="none"/>
              </w:rPr>
              <w:t>①除按第二章“投标人须知”第5.2.4项规定开标现场被宣布为不进入评标基准价计算的投标报价之外，所有投标人的评标价去掉一个最高值和一个最低值后的算术平均值即为评标价平均值（如果参加评标价平均值计算的有效投标人少于5家时，则计算评标价平均值时不去掉最高值和最低值）。</w:t>
            </w:r>
          </w:p>
          <w:p>
            <w:pPr>
              <w:snapToGrid w:val="0"/>
              <w:spacing w:line="312" w:lineRule="auto"/>
              <w:ind w:firstLine="420" w:firstLineChars="200"/>
              <w:rPr>
                <w:color w:val="auto"/>
                <w:sz w:val="21"/>
                <w:szCs w:val="21"/>
                <w:highlight w:val="none"/>
              </w:rPr>
            </w:pPr>
            <w:r>
              <w:rPr>
                <w:color w:val="auto"/>
                <w:sz w:val="21"/>
                <w:szCs w:val="21"/>
                <w:highlight w:val="none"/>
              </w:rPr>
              <w:t>②参与评标价平均值计算的评标价的范围：最高投标限价的 85%≤参与评标价平均值计算的评标价≤最高投标限价的100%；</w:t>
            </w:r>
          </w:p>
          <w:p>
            <w:pPr>
              <w:snapToGrid w:val="0"/>
              <w:spacing w:line="312" w:lineRule="auto"/>
              <w:ind w:firstLine="420" w:firstLineChars="200"/>
              <w:rPr>
                <w:color w:val="auto"/>
                <w:sz w:val="21"/>
                <w:szCs w:val="21"/>
                <w:highlight w:val="none"/>
              </w:rPr>
            </w:pPr>
            <w:r>
              <w:rPr>
                <w:color w:val="auto"/>
                <w:sz w:val="21"/>
                <w:szCs w:val="21"/>
                <w:highlight w:val="none"/>
              </w:rPr>
              <w:t>③小于最高投标限价的85%的评标价不参与评标价平均值的计算， 但仍参与评标价的得分计算。若投标人的评标价均小于最高投标限价的85%时，则以最高投标限价的85%为评标价平均值。</w:t>
            </w:r>
          </w:p>
          <w:p>
            <w:pPr>
              <w:snapToGrid w:val="0"/>
              <w:spacing w:line="312" w:lineRule="auto"/>
              <w:ind w:firstLine="422" w:firstLineChars="200"/>
              <w:rPr>
                <w:rFonts w:hint="eastAsia"/>
                <w:b/>
                <w:color w:val="auto"/>
                <w:sz w:val="21"/>
                <w:szCs w:val="21"/>
                <w:highlight w:val="none"/>
              </w:rPr>
            </w:pPr>
            <w:r>
              <w:rPr>
                <w:b/>
                <w:color w:val="auto"/>
                <w:sz w:val="21"/>
                <w:szCs w:val="21"/>
                <w:highlight w:val="none"/>
              </w:rPr>
              <w:t>（3）评标基准价的确定：（选择方法一）</w:t>
            </w:r>
          </w:p>
          <w:p>
            <w:pPr>
              <w:snapToGrid w:val="0"/>
              <w:spacing w:line="312" w:lineRule="auto"/>
              <w:ind w:firstLine="420" w:firstLineChars="200"/>
              <w:rPr>
                <w:color w:val="auto"/>
                <w:sz w:val="21"/>
                <w:szCs w:val="21"/>
                <w:highlight w:val="none"/>
              </w:rPr>
            </w:pPr>
            <w:r>
              <w:rPr>
                <w:color w:val="auto"/>
                <w:sz w:val="21"/>
                <w:szCs w:val="21"/>
                <w:highlight w:val="none"/>
              </w:rPr>
              <w:t>将评标价平均值直接作为评标基准价。</w:t>
            </w:r>
          </w:p>
          <w:p>
            <w:pPr>
              <w:snapToGrid w:val="0"/>
              <w:spacing w:line="312" w:lineRule="auto"/>
              <w:ind w:firstLine="420" w:firstLineChars="200"/>
              <w:rPr>
                <w:color w:val="auto"/>
                <w:sz w:val="21"/>
                <w:szCs w:val="21"/>
                <w:highlight w:val="none"/>
              </w:rPr>
            </w:pPr>
            <w:r>
              <w:rPr>
                <w:color w:val="auto"/>
                <w:sz w:val="21"/>
                <w:szCs w:val="21"/>
                <w:highlight w:val="none"/>
              </w:rPr>
              <w:t>在评标过程中，评标委员会应对招标人计算的评标基准价进行复核，存在计算错误的应予以修正并在评标报告中作出说明。除此之外，评标基准价在整个评标期间保持不变，不随任何因素发生变化。</w:t>
            </w:r>
          </w:p>
          <w:p>
            <w:pPr>
              <w:snapToGrid w:val="0"/>
              <w:spacing w:line="312" w:lineRule="auto"/>
              <w:rPr>
                <w:rFonts w:hint="eastAsia"/>
                <w:b/>
                <w:color w:val="auto"/>
                <w:sz w:val="21"/>
                <w:szCs w:val="21"/>
                <w:highlight w:val="none"/>
              </w:rPr>
            </w:pPr>
            <w:r>
              <w:rPr>
                <w:b/>
                <w:color w:val="auto"/>
                <w:sz w:val="21"/>
                <w:szCs w:val="21"/>
                <w:highlight w:val="none"/>
              </w:rPr>
              <w:t>注：评标价平均值、评标基准价均四舍五入至个位整数。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6" w:hRule="atLeast"/>
        </w:trPr>
        <w:tc>
          <w:tcPr>
            <w:tcW w:w="959" w:type="dxa"/>
            <w:noWrap w:val="0"/>
            <w:vAlign w:val="center"/>
          </w:tcPr>
          <w:p>
            <w:pPr>
              <w:pStyle w:val="8"/>
              <w:spacing w:line="312" w:lineRule="auto"/>
              <w:jc w:val="center"/>
              <w:rPr>
                <w:color w:val="auto"/>
                <w:sz w:val="21"/>
                <w:highlight w:val="none"/>
              </w:rPr>
            </w:pPr>
            <w:r>
              <w:rPr>
                <w:color w:val="auto"/>
                <w:sz w:val="21"/>
                <w:highlight w:val="none"/>
              </w:rPr>
              <w:t>2.2.3</w:t>
            </w:r>
          </w:p>
        </w:tc>
        <w:tc>
          <w:tcPr>
            <w:tcW w:w="1276" w:type="dxa"/>
            <w:noWrap w:val="0"/>
            <w:vAlign w:val="top"/>
          </w:tcPr>
          <w:p>
            <w:pPr>
              <w:snapToGrid w:val="0"/>
              <w:spacing w:line="312" w:lineRule="auto"/>
              <w:jc w:val="center"/>
              <w:rPr>
                <w:color w:val="auto"/>
                <w:sz w:val="21"/>
                <w:szCs w:val="21"/>
                <w:highlight w:val="none"/>
              </w:rPr>
            </w:pPr>
            <w:r>
              <w:rPr>
                <w:color w:val="auto"/>
                <w:sz w:val="21"/>
                <w:szCs w:val="21"/>
                <w:highlight w:val="none"/>
              </w:rPr>
              <w:t>评标价的偏差率计算公式</w:t>
            </w:r>
          </w:p>
        </w:tc>
        <w:tc>
          <w:tcPr>
            <w:tcW w:w="6711" w:type="dxa"/>
            <w:noWrap w:val="0"/>
            <w:vAlign w:val="center"/>
          </w:tcPr>
          <w:p>
            <w:pPr>
              <w:spacing w:line="312" w:lineRule="auto"/>
              <w:rPr>
                <w:color w:val="auto"/>
                <w:sz w:val="21"/>
                <w:highlight w:val="none"/>
              </w:rPr>
            </w:pPr>
            <w:r>
              <w:rPr>
                <w:color w:val="auto"/>
                <w:sz w:val="21"/>
                <w:highlight w:val="none"/>
              </w:rPr>
              <w:t>偏差率=100%×（投标人评标价－评标基准价）/评标基准价</w:t>
            </w:r>
          </w:p>
          <w:p>
            <w:pPr>
              <w:spacing w:line="312" w:lineRule="auto"/>
              <w:rPr>
                <w:color w:val="auto"/>
                <w:sz w:val="21"/>
                <w:highlight w:val="none"/>
                <w:lang w:val="en-US"/>
              </w:rPr>
            </w:pPr>
            <w:r>
              <w:rPr>
                <w:rFonts w:hint="eastAsia"/>
                <w:color w:val="auto"/>
                <w:sz w:val="21"/>
                <w:highlight w:val="none"/>
                <w:lang w:val="en-US"/>
              </w:rPr>
              <w:t>注：偏差率计算保留小数点后二位。</w:t>
            </w:r>
          </w:p>
        </w:tc>
      </w:tr>
    </w:tbl>
    <w:p>
      <w:pPr>
        <w:rPr>
          <w:rFonts w:hint="eastAsia"/>
          <w:color w:val="auto"/>
          <w:highlight w:val="none"/>
        </w:rPr>
      </w:pPr>
    </w:p>
    <w:p>
      <w:pPr>
        <w:rPr>
          <w:rFonts w:hint="eastAsia"/>
          <w:color w:val="auto"/>
          <w:highlight w:val="none"/>
        </w:rPr>
      </w:pPr>
    </w:p>
    <w:p>
      <w:pPr>
        <w:spacing w:before="34" w:after="16"/>
        <w:ind w:right="744"/>
        <w:rPr>
          <w:rFonts w:hint="eastAsia"/>
          <w:color w:val="auto"/>
          <w:sz w:val="21"/>
          <w:highlight w:val="none"/>
        </w:rPr>
      </w:pPr>
    </w:p>
    <w:p>
      <w:pPr>
        <w:pStyle w:val="5"/>
        <w:rPr>
          <w:rFonts w:hint="eastAsia"/>
          <w:color w:val="auto"/>
          <w:highlight w:val="none"/>
        </w:rPr>
      </w:pPr>
    </w:p>
    <w:tbl>
      <w:tblPr>
        <w:tblStyle w:val="6"/>
        <w:tblW w:w="89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56"/>
        <w:gridCol w:w="468"/>
        <w:gridCol w:w="468"/>
        <w:gridCol w:w="915"/>
        <w:gridCol w:w="1297"/>
        <w:gridCol w:w="659"/>
        <w:gridCol w:w="1042"/>
        <w:gridCol w:w="30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4863" w:type="dxa"/>
            <w:gridSpan w:val="6"/>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评分因素与权重分值</w:t>
            </w:r>
          </w:p>
        </w:tc>
        <w:tc>
          <w:tcPr>
            <w:tcW w:w="4092" w:type="dxa"/>
            <w:gridSpan w:val="2"/>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评分标准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105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条款号</w:t>
            </w:r>
          </w:p>
        </w:tc>
        <w:tc>
          <w:tcPr>
            <w:tcW w:w="93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评分因素</w:t>
            </w:r>
          </w:p>
        </w:tc>
        <w:tc>
          <w:tcPr>
            <w:tcW w:w="915"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评分因素权重分值</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各评分因素细分项</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b/>
                <w:color w:val="auto"/>
                <w:spacing w:val="-16"/>
                <w:sz w:val="21"/>
                <w:szCs w:val="21"/>
                <w:highlight w:val="none"/>
              </w:rPr>
            </w:pPr>
            <w:r>
              <w:rPr>
                <w:rFonts w:hint="eastAsia" w:ascii="宋体" w:hAnsi="宋体" w:eastAsia="宋体" w:cs="宋体"/>
                <w:b/>
                <w:color w:val="auto"/>
                <w:spacing w:val="-16"/>
                <w:sz w:val="21"/>
                <w:szCs w:val="21"/>
                <w:highlight w:val="none"/>
              </w:rPr>
              <w:t>分值</w:t>
            </w:r>
          </w:p>
        </w:tc>
        <w:tc>
          <w:tcPr>
            <w:tcW w:w="4092" w:type="dxa"/>
            <w:gridSpan w:val="2"/>
            <w:vMerge w:val="continue"/>
            <w:noWrap/>
            <w:vAlign w:val="top"/>
          </w:tcPr>
          <w:p>
            <w:pPr>
              <w:keepNext w:val="0"/>
              <w:keepLines w:val="0"/>
              <w:pageBreakBefore w:val="0"/>
              <w:widowControl w:val="0"/>
              <w:kinsoku/>
              <w:wordWrap/>
              <w:overflowPunct/>
              <w:topLinePunct w:val="0"/>
              <w:autoSpaceDE w:val="0"/>
              <w:autoSpaceDN w:val="0"/>
              <w:bidi w:val="0"/>
              <w:adjustRightInd/>
              <w:snapToGrid/>
              <w:spacing w:before="34" w:after="16" w:line="400" w:lineRule="exact"/>
              <w:ind w:right="744"/>
              <w:textAlignment w:val="auto"/>
              <w:rPr>
                <w:rFonts w:hint="eastAsia" w:ascii="宋体" w:hAnsi="宋体" w:eastAsia="宋体" w:cs="宋体"/>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2" w:hRule="atLeast"/>
        </w:trPr>
        <w:tc>
          <w:tcPr>
            <w:tcW w:w="1056"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2.2.4（1）</w:t>
            </w:r>
          </w:p>
        </w:tc>
        <w:tc>
          <w:tcPr>
            <w:tcW w:w="936" w:type="dxa"/>
            <w:gridSpan w:val="2"/>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技术建议书</w:t>
            </w:r>
          </w:p>
        </w:tc>
        <w:tc>
          <w:tcPr>
            <w:tcW w:w="915"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30</w:t>
            </w:r>
            <w:r>
              <w:rPr>
                <w:rFonts w:hint="eastAsia" w:ascii="宋体" w:hAnsi="宋体" w:eastAsia="宋体" w:cs="宋体"/>
                <w:color w:val="auto"/>
                <w:sz w:val="21"/>
                <w:szCs w:val="21"/>
                <w:highlight w:val="none"/>
              </w:rPr>
              <w:t>分</w:t>
            </w:r>
          </w:p>
        </w:tc>
        <w:tc>
          <w:tcPr>
            <w:tcW w:w="1297"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监理大纲（或监理方案）和措施</w:t>
            </w:r>
          </w:p>
        </w:tc>
        <w:tc>
          <w:tcPr>
            <w:tcW w:w="659"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15分</w:t>
            </w:r>
          </w:p>
        </w:tc>
        <w:tc>
          <w:tcPr>
            <w:tcW w:w="1042"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质量和安全</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（5分）</w:t>
            </w:r>
          </w:p>
        </w:tc>
        <w:tc>
          <w:tcPr>
            <w:tcW w:w="3050" w:type="dxa"/>
            <w:noWrap/>
            <w:vAlign w:val="center"/>
          </w:tcPr>
          <w:p>
            <w:pPr>
              <w:keepNext w:val="0"/>
              <w:keepLines w:val="0"/>
              <w:pageBreakBefore w:val="0"/>
              <w:widowControl w:val="0"/>
              <w:kinsoku/>
              <w:wordWrap/>
              <w:overflowPunct/>
              <w:topLinePunct w:val="0"/>
              <w:autoSpaceDE w:val="0"/>
              <w:autoSpaceDN w:val="0"/>
              <w:bidi w:val="0"/>
              <w:adjustRightInd/>
              <w:snapToGrid/>
              <w:spacing w:beforeLines="0" w:afterLines="0"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质量和安全监理目标明确，且</w:t>
            </w:r>
          </w:p>
          <w:p>
            <w:pPr>
              <w:keepNext w:val="0"/>
              <w:keepLines w:val="0"/>
              <w:pageBreakBefore w:val="0"/>
              <w:widowControl w:val="0"/>
              <w:kinsoku/>
              <w:wordWrap/>
              <w:overflowPunct/>
              <w:topLinePunct w:val="0"/>
              <w:autoSpaceDE w:val="0"/>
              <w:autoSpaceDN w:val="0"/>
              <w:bidi w:val="0"/>
              <w:adjustRightInd/>
              <w:snapToGrid/>
              <w:spacing w:beforeLines="0" w:afterLines="0"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完全响应广东省施工标准化和</w:t>
            </w:r>
          </w:p>
          <w:p>
            <w:pPr>
              <w:keepNext w:val="0"/>
              <w:keepLines w:val="0"/>
              <w:pageBreakBefore w:val="0"/>
              <w:widowControl w:val="0"/>
              <w:kinsoku/>
              <w:wordWrap/>
              <w:overflowPunct/>
              <w:topLinePunct w:val="0"/>
              <w:autoSpaceDE w:val="0"/>
              <w:autoSpaceDN w:val="0"/>
              <w:bidi w:val="0"/>
              <w:adjustRightInd/>
              <w:snapToGrid/>
              <w:spacing w:beforeLines="0" w:afterLines="0"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安全标准化指南的得</w:t>
            </w: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.0分；监理措施具体且有效，对质量和安全问题所采取的对策及预控方法合理可行的，响应广东省施工标准化和安全标准化指南程度，酌情加 0-2.0分。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659"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042"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进度</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（5分）</w:t>
            </w:r>
          </w:p>
        </w:tc>
        <w:tc>
          <w:tcPr>
            <w:tcW w:w="3050"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进度监理目标明确并满足招标文件的要求得3.0分；监理措施具体且有效，对保证工期所采取的对策及预控方法合理可行的，酌情加 0-2.0分。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659"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042"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费用和合同</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监理</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（3分）</w:t>
            </w:r>
          </w:p>
        </w:tc>
        <w:tc>
          <w:tcPr>
            <w:tcW w:w="3050"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工程计量与支付监理方面的具体管理方法和措施具体且有效，有明确的变更管理、预防索赔、减少合同纠纷的管理和控制措施得1.8分；有合理可行的控制超计量支付及提前计量支付的预控方法的，酌情加0-1.2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659"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042"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施工环境保护管理</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（2分）</w:t>
            </w:r>
          </w:p>
        </w:tc>
        <w:tc>
          <w:tcPr>
            <w:tcW w:w="3050" w:type="dxa"/>
            <w:noWrap/>
            <w:vAlign w:val="center"/>
          </w:tcPr>
          <w:p>
            <w:pPr>
              <w:keepNext w:val="0"/>
              <w:keepLines w:val="0"/>
              <w:pageBreakBefore w:val="0"/>
              <w:widowControl w:val="0"/>
              <w:kinsoku/>
              <w:wordWrap/>
              <w:overflowPunct/>
              <w:topLinePunct w:val="0"/>
              <w:autoSpaceDE w:val="0"/>
              <w:autoSpaceDN w:val="0"/>
              <w:bidi w:val="0"/>
              <w:adjustRightInd/>
              <w:snapToGrid/>
              <w:spacing w:beforeLines="0" w:afterLines="0"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有环保监理措施，且完全响应广东省施工标准化和安全标准化指南的得1.2 分；环保监理措施和方法具体且有效的，响应广东省施工标准化和安全标准化指南程度， 酌情加0-0.8</w:t>
            </w:r>
            <w:r>
              <w:rPr>
                <w:rFonts w:hint="eastAsia" w:ascii="宋体" w:hAnsi="宋体" w:eastAsia="宋体" w:cs="宋体"/>
                <w:color w:val="auto"/>
                <w:sz w:val="21"/>
                <w:szCs w:val="21"/>
                <w:highlight w:val="none"/>
                <w:lang w:val="en-US" w:eastAsia="zh-CN"/>
              </w:rPr>
              <w:t>分</w:t>
            </w:r>
            <w:r>
              <w:rPr>
                <w:rFonts w:hint="eastAsia" w:ascii="宋体" w:hAnsi="宋体" w:eastAsia="宋体" w:cs="宋体"/>
                <w:color w:val="auto"/>
                <w:sz w:val="21"/>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本工程监理工作的重点与难点分析</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10</w:t>
            </w:r>
            <w:r>
              <w:rPr>
                <w:rFonts w:hint="eastAsia" w:ascii="宋体" w:hAnsi="宋体" w:eastAsia="宋体" w:cs="宋体"/>
                <w:color w:val="auto"/>
                <w:sz w:val="21"/>
                <w:szCs w:val="21"/>
                <w:highlight w:val="none"/>
              </w:rPr>
              <w:t>分</w:t>
            </w: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有对工程重点、难点的分析得6.0分；分析准确，且有合理可行的应对措施的，酌情加0-4.0分。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936" w:type="dxa"/>
            <w:gridSpan w:val="2"/>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对本工程的建议</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5分</w:t>
            </w: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有对本工程的建议的3.0分；对管理模式、工程质量、进度、投资控制、合同管理等方面均提出合理可行的建议的，酌情加 0-2.0分。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2.2.4(2)</w:t>
            </w:r>
          </w:p>
        </w:tc>
        <w:tc>
          <w:tcPr>
            <w:tcW w:w="93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w:t>
            </w:r>
          </w:p>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人员</w:t>
            </w:r>
          </w:p>
        </w:tc>
        <w:tc>
          <w:tcPr>
            <w:tcW w:w="915"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25分</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pacing w:val="-20"/>
                <w:sz w:val="21"/>
                <w:szCs w:val="21"/>
                <w:highlight w:val="none"/>
              </w:rPr>
            </w:pPr>
            <w:r>
              <w:rPr>
                <w:rFonts w:hint="eastAsia" w:ascii="宋体" w:hAnsi="宋体" w:eastAsia="宋体" w:cs="宋体"/>
                <w:color w:val="auto"/>
                <w:sz w:val="21"/>
                <w:szCs w:val="21"/>
                <w:highlight w:val="none"/>
                <w:lang w:val="en-US" w:eastAsia="zh-CN"/>
              </w:rPr>
              <w:t>总监理工程师或驻地监理工程师任职资格与业绩</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25分</w:t>
            </w:r>
          </w:p>
        </w:tc>
        <w:tc>
          <w:tcPr>
            <w:tcW w:w="4092" w:type="dxa"/>
            <w:gridSpan w:val="2"/>
            <w:noWrap/>
            <w:vAlign w:val="center"/>
          </w:tcPr>
          <w:p>
            <w:pPr>
              <w:pStyle w:val="5"/>
              <w:keepNext w:val="0"/>
              <w:keepLines w:val="0"/>
              <w:pageBreakBefore w:val="0"/>
              <w:widowControl w:val="0"/>
              <w:kinsoku/>
              <w:wordWrap/>
              <w:overflowPunct/>
              <w:topLinePunct w:val="0"/>
              <w:autoSpaceDE w:val="0"/>
              <w:autoSpaceDN w:val="0"/>
              <w:bidi w:val="0"/>
              <w:adjustRightInd/>
              <w:snapToGrid/>
              <w:spacing w:line="400" w:lineRule="exact"/>
              <w:ind w:firstLine="0"/>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监理人员符合资格审查要求的，得25分。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2.2.4(3)</w:t>
            </w:r>
          </w:p>
        </w:tc>
        <w:tc>
          <w:tcPr>
            <w:tcW w:w="936"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w:t>
            </w:r>
          </w:p>
        </w:tc>
        <w:tc>
          <w:tcPr>
            <w:tcW w:w="915"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 分</w:t>
            </w:r>
          </w:p>
        </w:tc>
        <w:tc>
          <w:tcPr>
            <w:tcW w:w="6048" w:type="dxa"/>
            <w:gridSpan w:val="4"/>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评标价得分计算公式：</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如果投标人的评标价&gt;评标基准价，则评标价得分＝F－偏差率×100×E1；</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如果投标人的评标价≤评标基准价，则评标价得分＝F＋偏差率×100×E2。</w:t>
            </w:r>
          </w:p>
          <w:p>
            <w:pPr>
              <w:keepNext w:val="0"/>
              <w:keepLines w:val="0"/>
              <w:pageBreakBefore w:val="0"/>
              <w:widowControl w:val="0"/>
              <w:kinsoku/>
              <w:wordWrap/>
              <w:overflowPunct/>
              <w:topLinePunct w:val="0"/>
              <w:autoSpaceDE w:val="0"/>
              <w:autoSpaceDN w:val="0"/>
              <w:bidi w:val="0"/>
              <w:adjustRightInd/>
              <w:snapToGrid/>
              <w:spacing w:beforeLines="0" w:afterLines="0"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其中：F=10，一般原则上E1=1.0，E2=0.5，评标价得分保留小数点后四位，第五位四舍五入。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trPr>
        <w:tc>
          <w:tcPr>
            <w:tcW w:w="1056"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2.2.4(4)</w:t>
            </w:r>
          </w:p>
        </w:tc>
        <w:tc>
          <w:tcPr>
            <w:tcW w:w="468"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其他因素</w:t>
            </w:r>
          </w:p>
        </w:tc>
        <w:tc>
          <w:tcPr>
            <w:tcW w:w="468"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tc>
        <w:tc>
          <w:tcPr>
            <w:tcW w:w="915" w:type="dxa"/>
            <w:vMerge w:val="restart"/>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25分</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基本要求</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15分</w:t>
            </w: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满足招标文件附录2业绩最低要求的，得 15分。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915"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路基</w:t>
            </w:r>
            <w:r>
              <w:rPr>
                <w:rFonts w:hint="eastAsia" w:eastAsia="宋体" w:cs="宋体"/>
                <w:color w:val="auto"/>
                <w:sz w:val="21"/>
                <w:szCs w:val="21"/>
                <w:highlight w:val="none"/>
                <w:lang w:val="en-US" w:eastAsia="zh-CN"/>
              </w:rPr>
              <w:t>、</w:t>
            </w:r>
            <w:r>
              <w:rPr>
                <w:rFonts w:hint="eastAsia" w:ascii="宋体" w:hAnsi="宋体" w:eastAsia="宋体" w:cs="宋体"/>
                <w:color w:val="auto"/>
                <w:sz w:val="21"/>
                <w:szCs w:val="21"/>
                <w:highlight w:val="none"/>
                <w:lang w:val="en-US"/>
              </w:rPr>
              <w:t>路面工程</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在满足业绩最低要求的基础上，</w:t>
            </w:r>
            <w:r>
              <w:rPr>
                <w:rFonts w:hint="eastAsia" w:ascii="宋体" w:hAnsi="宋体" w:eastAsia="宋体" w:cs="宋体"/>
                <w:color w:val="auto"/>
                <w:sz w:val="21"/>
                <w:szCs w:val="21"/>
                <w:highlight w:val="none"/>
              </w:rPr>
              <w:t>每增加</w:t>
            </w:r>
            <w:r>
              <w:rPr>
                <w:rFonts w:hint="eastAsia" w:ascii="宋体" w:hAnsi="宋体" w:eastAsia="宋体" w:cs="宋体"/>
                <w:color w:val="auto"/>
                <w:sz w:val="21"/>
                <w:szCs w:val="21"/>
                <w:highlight w:val="none"/>
                <w:lang w:val="en-US"/>
              </w:rPr>
              <w:t>12公里</w:t>
            </w:r>
            <w:r>
              <w:rPr>
                <w:rFonts w:hint="eastAsia" w:ascii="宋体" w:hAnsi="宋体" w:eastAsia="宋体" w:cs="宋体"/>
                <w:color w:val="auto"/>
                <w:sz w:val="21"/>
                <w:szCs w:val="21"/>
                <w:highlight w:val="none"/>
              </w:rPr>
              <w:t>类似工程（尾数不计）加</w:t>
            </w:r>
            <w:r>
              <w:rPr>
                <w:rFonts w:hint="eastAsia" w:eastAsia="宋体" w:cs="宋体"/>
                <w:color w:val="auto"/>
                <w:sz w:val="21"/>
                <w:szCs w:val="21"/>
                <w:highlight w:val="none"/>
                <w:lang w:val="en-US" w:eastAsia="zh-CN"/>
              </w:rPr>
              <w:t>2.5</w:t>
            </w:r>
            <w:r>
              <w:rPr>
                <w:rFonts w:hint="eastAsia" w:ascii="宋体" w:hAnsi="宋体" w:eastAsia="宋体" w:cs="宋体"/>
                <w:color w:val="auto"/>
                <w:sz w:val="21"/>
                <w:szCs w:val="21"/>
                <w:highlight w:val="none"/>
              </w:rPr>
              <w:t>分，最多加</w:t>
            </w:r>
            <w:r>
              <w:rPr>
                <w:rFonts w:hint="eastAsia"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056" w:type="dxa"/>
            <w:vMerge w:val="continue"/>
            <w:noWrap/>
            <w:vAlign w:val="top"/>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vMerge w:val="continue"/>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468"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履约信誉</w:t>
            </w:r>
          </w:p>
        </w:tc>
        <w:tc>
          <w:tcPr>
            <w:tcW w:w="915"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10分</w:t>
            </w:r>
          </w:p>
        </w:tc>
        <w:tc>
          <w:tcPr>
            <w:tcW w:w="1297"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履约信誉</w:t>
            </w:r>
          </w:p>
        </w:tc>
        <w:tc>
          <w:tcPr>
            <w:tcW w:w="659" w:type="dxa"/>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10分</w:t>
            </w:r>
          </w:p>
        </w:tc>
        <w:tc>
          <w:tcPr>
            <w:tcW w:w="4092" w:type="dxa"/>
            <w:gridSpan w:val="2"/>
            <w:noWrap/>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1.信用等级分值（5分）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AA、A、B、C级单位的信用等级分得分分别为5.00、4.75、4.45、3.65分。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注：信用等级的确定原则遵循投标人须知前附表10.2款的规定。</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2.履约情况（5分）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若没出现下述情形得满分；</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自202</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rPr>
              <w:t>年</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val="en-US"/>
              </w:rPr>
              <w:t>月1日至投标文件递交截止日，因公路工程（含附属设施）质量、安全、履约或招标投标问题等原因被：</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（1）交通运输部</w:t>
            </w:r>
            <w:r>
              <w:rPr>
                <w:rFonts w:hint="eastAsia" w:ascii="宋体" w:hAnsi="宋体" w:eastAsia="宋体" w:cs="宋体"/>
                <w:color w:val="auto"/>
                <w:sz w:val="21"/>
                <w:szCs w:val="21"/>
                <w:highlight w:val="none"/>
                <w:lang w:val="en-US" w:eastAsia="zh-CN"/>
              </w:rPr>
              <w:t>行政处罚的</w:t>
            </w:r>
            <w:r>
              <w:rPr>
                <w:rFonts w:hint="eastAsia" w:ascii="宋体" w:hAnsi="宋体" w:eastAsia="宋体" w:cs="宋体"/>
                <w:color w:val="auto"/>
                <w:sz w:val="21"/>
                <w:szCs w:val="21"/>
                <w:highlight w:val="none"/>
                <w:lang w:val="en-US"/>
              </w:rPr>
              <w:t>，扣5分/次；（2）广东省交通运输厅</w:t>
            </w:r>
            <w:r>
              <w:rPr>
                <w:rFonts w:hint="eastAsia" w:ascii="宋体" w:hAnsi="宋体" w:eastAsia="宋体" w:cs="宋体"/>
                <w:color w:val="auto"/>
                <w:sz w:val="21"/>
                <w:szCs w:val="21"/>
                <w:highlight w:val="none"/>
                <w:lang w:val="en-US" w:eastAsia="zh-CN"/>
              </w:rPr>
              <w:t>行政处罚的</w:t>
            </w:r>
            <w:r>
              <w:rPr>
                <w:rFonts w:hint="eastAsia" w:ascii="宋体" w:hAnsi="宋体" w:eastAsia="宋体" w:cs="宋体"/>
                <w:color w:val="auto"/>
                <w:sz w:val="21"/>
                <w:szCs w:val="21"/>
                <w:highlight w:val="none"/>
                <w:lang w:val="en-US"/>
              </w:rPr>
              <w:t>，扣</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rPr>
              <w:t>分/次；</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（3）汕头市交通运输局</w:t>
            </w:r>
            <w:r>
              <w:rPr>
                <w:rFonts w:hint="eastAsia" w:ascii="宋体" w:hAnsi="宋体" w:eastAsia="宋体" w:cs="宋体"/>
                <w:color w:val="auto"/>
                <w:sz w:val="21"/>
                <w:szCs w:val="21"/>
                <w:highlight w:val="none"/>
                <w:lang w:val="en-US" w:eastAsia="zh-CN"/>
              </w:rPr>
              <w:t>行政处罚的，</w:t>
            </w:r>
            <w:r>
              <w:rPr>
                <w:rFonts w:hint="eastAsia" w:ascii="宋体" w:hAnsi="宋体" w:eastAsia="宋体" w:cs="宋体"/>
                <w:color w:val="auto"/>
                <w:sz w:val="21"/>
                <w:szCs w:val="21"/>
                <w:highlight w:val="none"/>
                <w:lang w:val="en-US"/>
              </w:rPr>
              <w:t>扣1</w:t>
            </w:r>
            <w:r>
              <w:rPr>
                <w:rFonts w:hint="eastAsia" w:eastAsia="宋体" w:cs="宋体"/>
                <w:color w:val="auto"/>
                <w:sz w:val="21"/>
                <w:szCs w:val="21"/>
                <w:highlight w:val="none"/>
                <w:lang w:val="en-US" w:eastAsia="zh-CN"/>
              </w:rPr>
              <w:t>.5</w:t>
            </w:r>
            <w:r>
              <w:rPr>
                <w:rFonts w:hint="eastAsia" w:ascii="宋体" w:hAnsi="宋体" w:eastAsia="宋体" w:cs="宋体"/>
                <w:color w:val="auto"/>
                <w:sz w:val="21"/>
                <w:szCs w:val="21"/>
                <w:highlight w:val="none"/>
                <w:lang w:val="en-US"/>
              </w:rPr>
              <w:t>分/次。</w:t>
            </w:r>
          </w:p>
          <w:p>
            <w:pPr>
              <w:keepNext w:val="0"/>
              <w:keepLines w:val="0"/>
              <w:pageBreakBefore w:val="0"/>
              <w:widowControl w:val="0"/>
              <w:kinsoku/>
              <w:wordWrap/>
              <w:overflowPunct/>
              <w:topLinePunct w:val="0"/>
              <w:autoSpaceDE w:val="0"/>
              <w:autoSpaceDN w:val="0"/>
              <w:bidi w:val="0"/>
              <w:adjustRightInd/>
              <w:snapToGrid/>
              <w:spacing w:beforeLines="0" w:afterLines="0" w:line="400" w:lineRule="exact"/>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（4）广东省交通运输厅正式约谈的，扣0.1</w:t>
            </w: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分/次。</w:t>
            </w:r>
          </w:p>
          <w:p>
            <w:pPr>
              <w:keepNext w:val="0"/>
              <w:keepLines w:val="0"/>
              <w:pageBreakBefore w:val="0"/>
              <w:widowControl w:val="0"/>
              <w:kinsoku/>
              <w:wordWrap/>
              <w:overflowPunct/>
              <w:topLinePunct w:val="0"/>
              <w:autoSpaceDE w:val="0"/>
              <w:autoSpaceDN w:val="0"/>
              <w:bidi w:val="0"/>
              <w:adjustRightInd/>
              <w:snapToGrid/>
              <w:spacing w:beforeLines="0" w:afterLines="0" w:line="400" w:lineRule="exact"/>
              <w:jc w:val="left"/>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注：同一事项同时被多个部门行政处罚或正式约谈只按最高的扣分计算1 次。如果扣完本项分值，可以从总分中扣。</w:t>
            </w:r>
          </w:p>
        </w:tc>
      </w:tr>
    </w:tbl>
    <w:p>
      <w:pPr>
        <w:spacing w:before="34" w:after="16"/>
        <w:ind w:right="744"/>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pStyle w:val="4"/>
        <w:ind w:left="440"/>
        <w:rPr>
          <w:rFonts w:hint="eastAsia"/>
          <w:color w:val="auto"/>
          <w:sz w:val="21"/>
          <w:highlight w:val="none"/>
        </w:rPr>
      </w:pPr>
    </w:p>
    <w:p>
      <w:pPr>
        <w:spacing w:before="34" w:after="16"/>
        <w:ind w:right="744"/>
        <w:rPr>
          <w:rFonts w:hint="eastAsia"/>
          <w:color w:val="auto"/>
          <w:sz w:val="21"/>
          <w:highlight w:val="none"/>
        </w:rPr>
      </w:pP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7"/>
        <w:gridCol w:w="81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8946" w:type="dxa"/>
            <w:gridSpan w:val="2"/>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highlight w:val="none"/>
              </w:rPr>
              <w:t>需要补充的其他内容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b/>
                <w:color w:val="auto"/>
                <w:spacing w:val="-16"/>
                <w:sz w:val="21"/>
                <w:szCs w:val="21"/>
                <w:highlight w:val="none"/>
              </w:rPr>
              <w:t>条款号</w:t>
            </w:r>
          </w:p>
        </w:tc>
        <w:tc>
          <w:tcPr>
            <w:tcW w:w="8129"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highlight w:val="none"/>
              </w:rPr>
              <w:t>补充或修改的内容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29"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1.1评标方法</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本次评标采用双信封的综合评估法。评标委员会对满足招标文件实质性要求的投标文件，按照本章第2.2款规定的评分标准进行打分，并按得分由高到低顺序推荐中标候选人，但投标</w:t>
            </w:r>
            <w:r>
              <w:rPr>
                <w:rFonts w:hint="eastAsia" w:ascii="宋体" w:hAnsi="宋体" w:eastAsia="宋体" w:cs="宋体"/>
                <w:color w:val="auto"/>
                <w:sz w:val="21"/>
                <w:szCs w:val="21"/>
                <w:highlight w:val="none"/>
                <w:lang w:val="en-US"/>
              </w:rPr>
              <w:t>总</w:t>
            </w:r>
            <w:r>
              <w:rPr>
                <w:rFonts w:hint="eastAsia" w:ascii="宋体" w:hAnsi="宋体" w:eastAsia="宋体" w:cs="宋体"/>
                <w:color w:val="auto"/>
                <w:sz w:val="21"/>
                <w:szCs w:val="21"/>
                <w:highlight w:val="none"/>
              </w:rPr>
              <w:t>报价低于其成本的除外。综合评分相等时，评标委员会应按照评标办法前附表规定的优先次序推荐中标候选人或确定中标人。</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1.2评标组织</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1.2.1协助工作组</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招标人可在评标工作开始前成立协助工作组，选派熟悉招标工作、政治素质高的人员组成，协助评标委员会工作。协助工作组人员的具体数量由招标人视评标工作量确定。</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招标人可以协助评标委员会开展下列工作并提供相关信息：</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（1）根据招标文件，编制评标使用的相应表格；</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（2）对投标</w:t>
            </w:r>
            <w:r>
              <w:rPr>
                <w:rFonts w:hint="eastAsia" w:ascii="宋体" w:hAnsi="宋体" w:eastAsia="宋体" w:cs="宋体"/>
                <w:color w:val="auto"/>
                <w:sz w:val="21"/>
                <w:szCs w:val="21"/>
                <w:highlight w:val="none"/>
                <w:lang w:val="en-US"/>
              </w:rPr>
              <w:t>总</w:t>
            </w:r>
            <w:r>
              <w:rPr>
                <w:rFonts w:hint="eastAsia" w:ascii="宋体" w:hAnsi="宋体" w:eastAsia="宋体" w:cs="宋体"/>
                <w:color w:val="auto"/>
                <w:sz w:val="21"/>
                <w:szCs w:val="21"/>
                <w:highlight w:val="none"/>
              </w:rPr>
              <w:t>报价进行算术性校核；</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（3）以评标标准和方法为依据，列出投标文件相对于招标文件的所有偏差， 并进行归类汇总；</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（4）查询公路建设市场信用信息管理系统，对投标人的资质、业绩、主要人员资历和目前在岗情况、信用等级进行核实（如有）。</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招标人不得对投标文件作出任何评价，不得故意遗漏或者片面摘录，不得在评标委员会对所有偏差定性之前透露存有偏差的投标人名称。</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1.2.2评标委员会</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评标委员会由招标人按国家、广东省等的有关规定依法组建。评标委员人数参见本招标文件“投标人须知前附表第6.1.1。评标委员会的主要工作内容包括：</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（1）评标委员会开始评标工作之前，首先听取招标人、协助工作组关于工程情况和辅助工作的说明，并认真研读招标文件，获取评标所需的重要信息和数据；</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（2）对协助工作组提供的评标工作用表和评标内容进行核查。</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（3）按照以下1.3款程序进行各项评审工作。</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1.3评审工作程序</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（一）第一信封（商务及技术文件）：</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l、初步评审：包括形式评审与响应性评审、资格评审；</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2、详细评审（评审打分）：评标委员会首先对通过初步评审的投标文件第一个信封（商务及技术文件）进行详细评审，对投标人的监理实施方案、主要人员、其他因素等分别评审打分。</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（二）第二信封（报价文件）：</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1、初步评审：</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（1）只有投标文件第一个信封通过详细评审的投标人才能继续参加第二信封报价文件的形式评审与响应性评审；</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（2）报价算术性修正；</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2、详细评审：计算评标基准价、评标价得分及综合得分；</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（三）投标文件相关信息的核查。</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（四）投标文件的澄清和说明(如有)</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（五）按评标办法规定推荐中标候选人，编写评标报告。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w:t>
            </w:r>
          </w:p>
        </w:tc>
        <w:tc>
          <w:tcPr>
            <w:tcW w:w="8129"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原 3.2.2 条款补充细化如下：</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第一个信封详细评审时，各评分因素（主要人员、技术能力（如有）、履约信誉除外）得分一般不得低于该权重分值的60%，评标委员会成员对某一项评分因素的评分低于权重值60%的，应当在评标报告中作出说明。</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商务评分（主要人员、其他因素）得分应以评标委员会各成员的算术平均值确定。</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人数为9人时，计算投标人技术得分时:首先在评委技术评分中，采用取消同一评委对同一标段各投标人评分总分的差值最大的1名评委评分分值（若有2名或以上评委技术评分总分差值最大值相等时，则取消其中1名评委的所有评分，具体办法如下），再对各评分因素细分项中取消一个最高、一个最低分后计算其算术平均值的和为投标人的最终技术得分，平均值计算保留小数点后三位，小数点后第四位“四舍五入”。</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取消其中1名评委所有评分的办法一（依次按照以下流程）：（1）对比上述出现技术评分总分差值最大值相等的评委的次分差值（次分差值＝某一评委技术评分总分的最高分－该评委技术评分总分的次低分），取消次分差值最大的评委所有评分；（2）如次分差值仍相同，则按随机抽取的方式选定取消1名评委评分。取消其中1 名评委所有评分的办法二：按随机抽取的方式选定取消1 名评委评分。</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评标委员会人数为7人时，计算投标人技术得分时:各评分因素细分项中取消一个最高、一个最低分后计算算术平均值的和为投标人的最终技术得分，平均值计算保留小数点后三位，小数点后第四位“四舍五入”。</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以上评标委员会人数以实际参与评审的评标委员会人数数量为准。</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投标人的商务得分保留至小数点后两位，小数点后第三位“四舍五入”。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3.6.2</w:t>
            </w:r>
          </w:p>
        </w:tc>
        <w:tc>
          <w:tcPr>
            <w:tcW w:w="8129"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xml:space="preserve"> 项（2）目末增加以下条款：</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g.广东省实施《中华人民共和国招标投标法》办法第十六条规定的情形。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3.6.3</w:t>
            </w:r>
          </w:p>
        </w:tc>
        <w:tc>
          <w:tcPr>
            <w:tcW w:w="8129"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增加 3.6.3 项：</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3.6.3 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7"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3.9</w:t>
            </w:r>
          </w:p>
        </w:tc>
        <w:tc>
          <w:tcPr>
            <w:tcW w:w="8129" w:type="dxa"/>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增加 3.9.3、3.9.4、3.9.5、3.9.6</w:t>
            </w:r>
            <w:r>
              <w:rPr>
                <w:rFonts w:hint="eastAsia" w:ascii="宋体" w:hAnsi="宋体" w:eastAsia="宋体" w:cs="宋体"/>
                <w:color w:val="auto"/>
                <w:sz w:val="21"/>
                <w:szCs w:val="24"/>
                <w:highlight w:val="none"/>
              </w:rPr>
              <w:t>、3.6.7</w:t>
            </w:r>
            <w:r>
              <w:rPr>
                <w:rFonts w:hint="eastAsia" w:ascii="宋体" w:hAnsi="宋体" w:eastAsia="宋体" w:cs="宋体"/>
                <w:color w:val="auto"/>
                <w:sz w:val="21"/>
                <w:szCs w:val="21"/>
                <w:highlight w:val="none"/>
              </w:rPr>
              <w:t xml:space="preserve"> 条款后增加：</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3.9.3推荐中标候选人方式：按各合同段最高投标限价高低顺序依次选定中标候选人，如果出现投标人在多个合同段都排名第一，将确定该投标人为最高投标限价较高的合同段的第一中标候选人，同时该投标人自动失去在本次招标中其他合同段的中标候选人资格，其他合同段的综合排名名次高者自动上升为中标候选人，如此类推。</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3.9.4通过第一个信封商务和技术文件评审的投标人少于3个的，评标委员会可以否决全部投标；未否决全部投标的，评标委员会应当在评标报告中阐明理由， 招标人应当按照招标文件规定的程序进行第二个信封报价开标，但评标委员会在进行报价评审时仍有权否决全部投标；评标委员会未在报价文件评审时否决全部投标的，应当在评标报告中阐明理由并推荐中标候选人。</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3.9.5通过第一个信封商务和技术文件评审的投标人在3个及以上的，招标人应当按照招标文件规定的程序进行第二个信封报价文件开标；在对报价文件进行评审后，有效投标不足3个的，评标委员会可以否决全部投标。未否决全部投标的，评标委员会应当在评标报告中阐明理由并推荐中标候选人。</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3.9.6如果发生无法确定推荐中标候选人的其它意外情况，评标委员会可建议招标人重新招标。</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3.9.7 本招标文件规定的否决投标条款包含在以下条款：</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（1）招标公告第3 点投标人资格要求；</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（2）投标人须知1.4.3 项、1.4.4 项、1.4.5 项、1.12 项、3.4 项、3.5项；</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（3）本评标办法的否决条款。</w:t>
            </w:r>
          </w:p>
        </w:tc>
      </w:tr>
    </w:tbl>
    <w:p>
      <w:pPr>
        <w:rPr>
          <w:rFonts w:hint="eastAsia"/>
          <w:color w:val="auto"/>
          <w:highlight w:val="none"/>
        </w:rPr>
      </w:pPr>
    </w:p>
    <w:p>
      <w:pPr>
        <w:pStyle w:val="3"/>
        <w:spacing w:line="360" w:lineRule="auto"/>
        <w:jc w:val="both"/>
        <w:rPr>
          <w:color w:val="auto"/>
          <w:sz w:val="44"/>
          <w:szCs w:val="44"/>
          <w:highlight w:val="none"/>
        </w:rPr>
      </w:pPr>
      <w:bookmarkStart w:id="4" w:name="_Toc14792054"/>
    </w:p>
    <w:p>
      <w:pPr>
        <w:pStyle w:val="3"/>
        <w:spacing w:line="360" w:lineRule="auto"/>
        <w:jc w:val="center"/>
        <w:rPr>
          <w:color w:val="auto"/>
          <w:sz w:val="44"/>
          <w:szCs w:val="44"/>
          <w:highlight w:val="none"/>
        </w:rPr>
      </w:pPr>
    </w:p>
    <w:p>
      <w:pPr>
        <w:pStyle w:val="3"/>
        <w:spacing w:line="360" w:lineRule="auto"/>
        <w:jc w:val="center"/>
        <w:rPr>
          <w:color w:val="auto"/>
          <w:sz w:val="44"/>
          <w:szCs w:val="44"/>
          <w:highlight w:val="none"/>
        </w:rPr>
      </w:pPr>
    </w:p>
    <w:p>
      <w:pPr>
        <w:pStyle w:val="3"/>
        <w:spacing w:line="360" w:lineRule="auto"/>
        <w:jc w:val="center"/>
        <w:rPr>
          <w:rFonts w:hint="eastAsia"/>
          <w:color w:val="auto"/>
          <w:sz w:val="44"/>
          <w:szCs w:val="44"/>
          <w:highlight w:val="none"/>
        </w:rPr>
      </w:pPr>
      <w:r>
        <w:rPr>
          <w:color w:val="auto"/>
          <w:sz w:val="44"/>
          <w:szCs w:val="44"/>
          <w:highlight w:val="none"/>
        </w:rPr>
        <w:t>第三章 评标办法正文</w:t>
      </w:r>
      <w:bookmarkEnd w:id="4"/>
    </w:p>
    <w:p>
      <w:pPr>
        <w:spacing w:line="360" w:lineRule="exact"/>
        <w:ind w:firstLine="420" w:firstLineChars="200"/>
        <w:rPr>
          <w:rFonts w:hint="eastAsia"/>
          <w:color w:val="auto"/>
          <w:sz w:val="21"/>
          <w:szCs w:val="21"/>
          <w:highlight w:val="none"/>
        </w:rPr>
      </w:pPr>
      <w:r>
        <w:rPr>
          <w:color w:val="auto"/>
          <w:sz w:val="21"/>
          <w:szCs w:val="21"/>
          <w:highlight w:val="none"/>
        </w:rPr>
        <w:t>详见交通运输部《公路工程标准施工监理招标文件（2018 年版）》</w:t>
      </w:r>
    </w:p>
    <w:p/>
    <w:sectPr>
      <w:pgSz w:w="11906" w:h="16838"/>
      <w:pgMar w:top="1134" w:right="1247" w:bottom="1134"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F47EF9"/>
    <w:multiLevelType w:val="multilevel"/>
    <w:tmpl w:val="1CF47EF9"/>
    <w:lvl w:ilvl="0" w:tentative="0">
      <w:start w:val="1"/>
      <w:numFmt w:val="japaneseCounting"/>
      <w:lvlText w:val="第%1章"/>
      <w:lvlJc w:val="left"/>
      <w:pPr>
        <w:ind w:left="1440" w:hanging="1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GVhMDQ2NjRiZTgzY2VkZTEzOGJhMzQ3ODA0ZDkifQ=="/>
  </w:docVars>
  <w:rsids>
    <w:rsidRoot w:val="67AC0B85"/>
    <w:rsid w:val="67AC0B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3"/>
    <w:basedOn w:val="1"/>
    <w:next w:val="1"/>
    <w:qFormat/>
    <w:uiPriority w:val="9"/>
    <w:pPr>
      <w:keepNext/>
      <w:keepLines/>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spacing w:after="120" w:afterLines="0"/>
      <w:ind w:left="420" w:leftChars="200"/>
    </w:pPr>
    <w:rPr>
      <w:rFonts w:ascii="Times New Roman" w:hAnsi="Times New Roman"/>
      <w:sz w:val="20"/>
      <w:szCs w:val="24"/>
    </w:rPr>
  </w:style>
  <w:style w:type="paragraph" w:styleId="5">
    <w:name w:val="Body Text First Indent"/>
    <w:basedOn w:val="1"/>
    <w:qFormat/>
    <w:uiPriority w:val="99"/>
    <w:pPr>
      <w:spacing w:line="312" w:lineRule="auto"/>
      <w:ind w:firstLine="420"/>
    </w:pPr>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2023-05-10T09:39:00Z</dcterms:created>
  <dc:creator>代理机构</dc:creator>
  <cp:lastModifiedBy>代理机构</cp:lastModifiedBy>
  <dcterms:modified xsi:type="dcterms:W3CDTF">2023-05-10T09:40:31Z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4D1338C4321C4F8EB3F8F13C74928133_11</vt:lpwstr>
  </property>
</Properties>
</file>