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color w:val="auto"/>
          <w:sz w:val="32"/>
          <w:szCs w:val="32"/>
        </w:rPr>
      </w:pPr>
      <w:r>
        <w:rPr>
          <w:rFonts w:hint="eastAsia" w:ascii="Times New Roman"/>
          <w:b/>
          <w:color w:val="auto"/>
          <w:sz w:val="32"/>
          <w:szCs w:val="32"/>
        </w:rPr>
        <w:t>第三章</w:t>
      </w:r>
      <w:r>
        <w:rPr>
          <w:rFonts w:ascii="Times New Roman" w:hAnsi="Times New Roman"/>
          <w:b/>
          <w:color w:val="auto"/>
          <w:sz w:val="32"/>
          <w:szCs w:val="32"/>
        </w:rPr>
        <w:t xml:space="preserve">  </w:t>
      </w:r>
      <w:r>
        <w:rPr>
          <w:rFonts w:hint="eastAsia" w:ascii="Times New Roman"/>
          <w:b/>
          <w:color w:val="auto"/>
          <w:sz w:val="32"/>
          <w:szCs w:val="32"/>
        </w:rPr>
        <w:t>评标办法（综合评估法</w:t>
      </w:r>
      <w:r>
        <w:rPr>
          <w:rFonts w:hint="eastAsia" w:ascii="Times New Roman" w:hAnsi="宋体"/>
          <w:b/>
          <w:color w:val="auto"/>
          <w:sz w:val="32"/>
          <w:szCs w:val="32"/>
        </w:rPr>
        <w:t>）</w:t>
      </w:r>
    </w:p>
    <w:p>
      <w:pPr>
        <w:outlineLvl w:val="1"/>
        <w:rPr>
          <w:rFonts w:ascii="Times New Roman" w:hAnsi="Times New Roman"/>
          <w:color w:val="auto"/>
        </w:rPr>
      </w:pPr>
      <w:r>
        <w:rPr>
          <w:rFonts w:hint="eastAsia" w:ascii="Times New Roman" w:hAnsi="黑体" w:eastAsia="黑体"/>
          <w:color w:val="auto"/>
          <w:szCs w:val="24"/>
        </w:rPr>
        <w:t>评标办法前附表：</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510"/>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519" w:type="dxa"/>
            <w:gridSpan w:val="2"/>
            <w:noWrap/>
            <w:vAlign w:val="center"/>
          </w:tcPr>
          <w:p>
            <w:pPr>
              <w:topLinePunct/>
              <w:adjustRightInd/>
              <w:spacing w:line="360" w:lineRule="exact"/>
              <w:jc w:val="center"/>
              <w:rPr>
                <w:rFonts w:ascii="Times New Roman" w:hAnsi="Times New Roman"/>
                <w:b/>
                <w:color w:val="auto"/>
                <w:szCs w:val="24"/>
              </w:rPr>
            </w:pPr>
            <w:r>
              <w:rPr>
                <w:rFonts w:hint="eastAsia" w:ascii="Times New Roman"/>
                <w:b/>
                <w:color w:val="auto"/>
                <w:szCs w:val="24"/>
              </w:rPr>
              <w:t>条款号</w:t>
            </w:r>
          </w:p>
        </w:tc>
        <w:tc>
          <w:tcPr>
            <w:tcW w:w="6005" w:type="dxa"/>
            <w:noWrap/>
            <w:vAlign w:val="center"/>
          </w:tcPr>
          <w:p>
            <w:pPr>
              <w:topLinePunct/>
              <w:adjustRightInd/>
              <w:spacing w:line="360" w:lineRule="exact"/>
              <w:jc w:val="center"/>
              <w:rPr>
                <w:rFonts w:ascii="Times New Roman" w:hAnsi="Times New Roman"/>
                <w:b/>
                <w:color w:val="auto"/>
                <w:szCs w:val="24"/>
              </w:rPr>
            </w:pPr>
            <w:r>
              <w:rPr>
                <w:rFonts w:hint="eastAsia" w:ascii="Times New Roman"/>
                <w:b/>
                <w:color w:val="auto"/>
                <w:szCs w:val="24"/>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6" w:type="dxa"/>
            <w:noWrap/>
            <w:vAlign w:val="center"/>
          </w:tcPr>
          <w:p>
            <w:pPr>
              <w:topLinePunct/>
              <w:adjustRightInd/>
              <w:spacing w:line="360" w:lineRule="exact"/>
              <w:jc w:val="center"/>
              <w:rPr>
                <w:rFonts w:ascii="Times New Roman" w:hAnsi="Times New Roman"/>
                <w:b/>
                <w:color w:val="auto"/>
                <w:sz w:val="21"/>
                <w:szCs w:val="21"/>
              </w:rPr>
            </w:pPr>
            <w:r>
              <w:rPr>
                <w:rFonts w:ascii="Times New Roman" w:hAnsi="Times New Roman"/>
                <w:color w:val="auto"/>
                <w:sz w:val="21"/>
                <w:szCs w:val="21"/>
              </w:rPr>
              <w:t>1</w:t>
            </w:r>
          </w:p>
        </w:tc>
        <w:tc>
          <w:tcPr>
            <w:tcW w:w="1513" w:type="dxa"/>
            <w:noWrap/>
            <w:vAlign w:val="center"/>
          </w:tcPr>
          <w:p>
            <w:pPr>
              <w:topLinePunct/>
              <w:adjustRightInd/>
              <w:spacing w:line="360" w:lineRule="exact"/>
              <w:jc w:val="center"/>
              <w:rPr>
                <w:rFonts w:ascii="Times New Roman" w:hAnsi="Times New Roman"/>
                <w:b/>
                <w:color w:val="auto"/>
                <w:sz w:val="21"/>
                <w:szCs w:val="21"/>
              </w:rPr>
            </w:pPr>
            <w:r>
              <w:rPr>
                <w:rFonts w:hint="eastAsia" w:ascii="Times New Roman" w:hAnsi="宋体"/>
                <w:color w:val="auto"/>
                <w:sz w:val="21"/>
                <w:szCs w:val="21"/>
              </w:rPr>
              <w:t>评标方法</w:t>
            </w:r>
          </w:p>
        </w:tc>
        <w:tc>
          <w:tcPr>
            <w:tcW w:w="6005" w:type="dxa"/>
            <w:noWrap/>
            <w:vAlign w:val="center"/>
          </w:tcPr>
          <w:p>
            <w:pPr>
              <w:spacing w:line="360" w:lineRule="exact"/>
              <w:ind w:firstLine="420" w:firstLineChars="200"/>
              <w:jc w:val="both"/>
              <w:rPr>
                <w:rFonts w:ascii="Times New Roman" w:hAnsi="Times New Roman"/>
                <w:color w:val="auto"/>
                <w:kern w:val="2"/>
                <w:sz w:val="21"/>
                <w:szCs w:val="21"/>
              </w:rPr>
            </w:pPr>
            <w:r>
              <w:rPr>
                <w:rFonts w:hint="eastAsia" w:ascii="Times New Roman"/>
                <w:color w:val="auto"/>
                <w:sz w:val="21"/>
                <w:szCs w:val="21"/>
              </w:rPr>
              <w:t>综合评分相等时，评标委员会依次按照以下优先顺序推荐中标候选人或确定中标人：</w:t>
            </w:r>
          </w:p>
          <w:p>
            <w:pPr>
              <w:spacing w:line="360" w:lineRule="exact"/>
              <w:ind w:firstLine="420" w:firstLineChars="200"/>
              <w:jc w:val="both"/>
              <w:rPr>
                <w:rFonts w:ascii="Times New Roman" w:hAnsi="Times New Roman"/>
                <w:color w:val="auto"/>
                <w:sz w:val="21"/>
                <w:szCs w:val="21"/>
              </w:rPr>
            </w:pPr>
            <w:r>
              <w:rPr>
                <w:rFonts w:hint="eastAsia" w:ascii="Times New Roman"/>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）评标价低的投标人优先；</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）按招标文件规定被认定为最新年度广东省公路工程从业单位（设计单位）信用评价等级较高的投标人优先；【采用如下的优先顺序：承诺使用的</w:t>
            </w:r>
            <w:r>
              <w:rPr>
                <w:rFonts w:ascii="Times New Roman" w:hAnsi="Times New Roman"/>
                <w:color w:val="auto"/>
                <w:sz w:val="21"/>
                <w:szCs w:val="21"/>
              </w:rPr>
              <w:t>AA</w:t>
            </w:r>
            <w:r>
              <w:rPr>
                <w:rFonts w:hint="eastAsia" w:ascii="Times New Roman" w:hAnsi="宋体"/>
                <w:color w:val="auto"/>
                <w:sz w:val="21"/>
                <w:szCs w:val="21"/>
              </w:rPr>
              <w:t>级投标人、不承诺使用的</w:t>
            </w:r>
            <w:r>
              <w:rPr>
                <w:rFonts w:ascii="Times New Roman" w:hAnsi="Times New Roman"/>
                <w:color w:val="auto"/>
                <w:sz w:val="21"/>
                <w:szCs w:val="21"/>
              </w:rPr>
              <w:t>AA</w:t>
            </w:r>
            <w:r>
              <w:rPr>
                <w:rFonts w:hint="eastAsia" w:ascii="Times New Roman" w:hAnsi="宋体"/>
                <w:color w:val="auto"/>
                <w:sz w:val="21"/>
                <w:szCs w:val="21"/>
              </w:rPr>
              <w:t>级投标人、承诺使用的</w:t>
            </w:r>
            <w:r>
              <w:rPr>
                <w:rFonts w:ascii="Times New Roman" w:hAnsi="Times New Roman"/>
                <w:color w:val="auto"/>
                <w:sz w:val="21"/>
                <w:szCs w:val="21"/>
              </w:rPr>
              <w:t>A</w:t>
            </w:r>
            <w:r>
              <w:rPr>
                <w:rFonts w:hint="eastAsia" w:ascii="Times New Roman" w:hAnsi="宋体"/>
                <w:color w:val="auto"/>
                <w:sz w:val="21"/>
                <w:szCs w:val="21"/>
              </w:rPr>
              <w:t>级投标人、不承诺使用的</w:t>
            </w:r>
            <w:r>
              <w:rPr>
                <w:rFonts w:ascii="Times New Roman" w:hAnsi="Times New Roman"/>
                <w:color w:val="auto"/>
                <w:sz w:val="21"/>
                <w:szCs w:val="21"/>
              </w:rPr>
              <w:t>A</w:t>
            </w:r>
            <w:r>
              <w:rPr>
                <w:rFonts w:hint="eastAsia" w:ascii="Times New Roman" w:hAnsi="宋体"/>
                <w:color w:val="auto"/>
                <w:sz w:val="21"/>
                <w:szCs w:val="21"/>
              </w:rPr>
              <w:t>级投标人、</w:t>
            </w:r>
            <w:r>
              <w:rPr>
                <w:rFonts w:ascii="Times New Roman" w:hAnsi="Times New Roman"/>
                <w:color w:val="auto"/>
                <w:sz w:val="21"/>
                <w:szCs w:val="21"/>
              </w:rPr>
              <w:t>B</w:t>
            </w:r>
            <w:r>
              <w:rPr>
                <w:rFonts w:hint="eastAsia" w:ascii="Times New Roman" w:hAnsi="宋体"/>
                <w:color w:val="auto"/>
                <w:sz w:val="21"/>
                <w:szCs w:val="21"/>
              </w:rPr>
              <w:t>级投标人、未参评且被确定为</w:t>
            </w:r>
            <w:r>
              <w:rPr>
                <w:rFonts w:ascii="Times New Roman" w:hAnsi="Times New Roman"/>
                <w:color w:val="auto"/>
                <w:sz w:val="21"/>
                <w:szCs w:val="21"/>
              </w:rPr>
              <w:t>B</w:t>
            </w:r>
            <w:r>
              <w:rPr>
                <w:rFonts w:hint="eastAsia" w:ascii="Times New Roman" w:hAnsi="宋体"/>
                <w:color w:val="auto"/>
                <w:sz w:val="21"/>
                <w:szCs w:val="21"/>
              </w:rPr>
              <w:t>级投标人】</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）商务和技术得分较高的投标人优先；</w:t>
            </w:r>
          </w:p>
          <w:p>
            <w:pPr>
              <w:spacing w:line="360" w:lineRule="exact"/>
              <w:ind w:firstLine="420" w:firstLineChars="200"/>
              <w:jc w:val="both"/>
              <w:rPr>
                <w:rFonts w:ascii="Times New Roman" w:hAnsi="Times New Roman"/>
                <w:b/>
                <w:color w:val="auto"/>
                <w:sz w:val="21"/>
                <w:szCs w:val="21"/>
              </w:rPr>
            </w:pPr>
            <w:r>
              <w:rPr>
                <w:rFonts w:hint="eastAsia" w:ascii="Times New Roman" w:hAnsi="宋体"/>
                <w:color w:val="auto"/>
                <w:sz w:val="21"/>
                <w:szCs w:val="21"/>
              </w:rPr>
              <w:t>（</w:t>
            </w:r>
            <w:r>
              <w:rPr>
                <w:rFonts w:ascii="Times New Roman" w:hAnsi="Times New Roman"/>
                <w:color w:val="auto"/>
                <w:sz w:val="21"/>
                <w:szCs w:val="21"/>
              </w:rPr>
              <w:t>4</w:t>
            </w:r>
            <w:r>
              <w:rPr>
                <w:rFonts w:hint="eastAsia" w:ascii="Times New Roman" w:hAnsi="宋体"/>
                <w:color w:val="auto"/>
                <w:sz w:val="21"/>
                <w:szCs w:val="21"/>
              </w:rPr>
              <w:t>）评标委员会视投标人情况综合比较，投票确定其名次</w:t>
            </w:r>
            <w:r>
              <w:rPr>
                <w:rFonts w:hint="eastAsia" w:ascii="Times New Roman"/>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6" w:type="dxa"/>
            <w:noWrap/>
            <w:vAlign w:val="center"/>
          </w:tcPr>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2.1.1</w:t>
            </w:r>
          </w:p>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2.1.3</w:t>
            </w: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2.1.1</w:t>
            </w:r>
          </w:p>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2.1.3</w:t>
            </w:r>
          </w:p>
        </w:tc>
        <w:tc>
          <w:tcPr>
            <w:tcW w:w="1513" w:type="dxa"/>
            <w:noWrap/>
            <w:vAlign w:val="center"/>
          </w:tcPr>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r>
              <w:rPr>
                <w:rFonts w:hint="eastAsia" w:ascii="Times New Roman" w:hAnsi="宋体"/>
                <w:color w:val="auto"/>
                <w:kern w:val="2"/>
                <w:sz w:val="21"/>
                <w:szCs w:val="21"/>
              </w:rPr>
              <w:t>形式评审与响应性评审标准</w:t>
            </w: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kern w:val="2"/>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p>
          <w:p>
            <w:pPr>
              <w:widowControl w:val="0"/>
              <w:adjustRightInd w:val="0"/>
              <w:spacing w:line="360" w:lineRule="atLeast"/>
              <w:ind w:firstLine="0" w:firstLineChars="0"/>
              <w:jc w:val="center"/>
              <w:textAlignment w:val="baseline"/>
              <w:rPr>
                <w:rFonts w:ascii="Times New Roman" w:hAnsi="Times New Roman" w:eastAsia="宋体" w:cs="Times New Roman"/>
                <w:color w:val="auto"/>
                <w:kern w:val="0"/>
                <w:sz w:val="24"/>
                <w:szCs w:val="20"/>
                <w:lang w:val="zh-CN" w:eastAsia="zh-CN" w:bidi="ar-SA"/>
              </w:rPr>
            </w:pPr>
          </w:p>
          <w:p>
            <w:pPr>
              <w:topLinePunct/>
              <w:adjustRightInd/>
              <w:spacing w:line="360" w:lineRule="exact"/>
              <w:jc w:val="center"/>
              <w:rPr>
                <w:rFonts w:ascii="Times New Roman" w:hAnsi="Times New Roman"/>
                <w:color w:val="auto"/>
                <w:sz w:val="21"/>
                <w:szCs w:val="21"/>
              </w:rPr>
            </w:pPr>
          </w:p>
          <w:p>
            <w:pPr>
              <w:topLinePunct/>
              <w:adjustRightInd/>
              <w:spacing w:line="360" w:lineRule="exact"/>
              <w:jc w:val="center"/>
              <w:rPr>
                <w:rFonts w:ascii="Times New Roman" w:hAnsi="Times New Roman"/>
                <w:color w:val="auto"/>
                <w:sz w:val="21"/>
                <w:szCs w:val="21"/>
              </w:rPr>
            </w:pPr>
            <w:r>
              <w:rPr>
                <w:rFonts w:hint="eastAsia" w:ascii="Times New Roman" w:hAnsi="宋体"/>
                <w:color w:val="auto"/>
                <w:kern w:val="2"/>
                <w:sz w:val="21"/>
                <w:szCs w:val="21"/>
              </w:rPr>
              <w:t>形式评审与响应性评审标准</w:t>
            </w:r>
          </w:p>
          <w:p>
            <w:pPr>
              <w:topLinePunct/>
              <w:adjustRightInd/>
              <w:spacing w:line="360" w:lineRule="exact"/>
              <w:rPr>
                <w:rFonts w:ascii="Times New Roman" w:hAnsi="Times New Roman"/>
                <w:color w:val="auto"/>
                <w:sz w:val="21"/>
                <w:szCs w:val="21"/>
              </w:rPr>
            </w:pPr>
          </w:p>
        </w:tc>
        <w:tc>
          <w:tcPr>
            <w:tcW w:w="6005" w:type="dxa"/>
            <w:noWrap/>
          </w:tcPr>
          <w:p>
            <w:pPr>
              <w:adjustRightInd/>
              <w:spacing w:line="360" w:lineRule="exact"/>
              <w:ind w:firstLine="422" w:firstLineChars="200"/>
              <w:jc w:val="both"/>
              <w:textAlignment w:val="auto"/>
              <w:rPr>
                <w:rFonts w:ascii="Times New Roman" w:hAnsi="Times New Roman"/>
                <w:b/>
                <w:bCs/>
                <w:color w:val="auto"/>
                <w:kern w:val="2"/>
                <w:sz w:val="21"/>
                <w:szCs w:val="21"/>
              </w:rPr>
            </w:pPr>
            <w:r>
              <w:rPr>
                <w:rFonts w:hint="eastAsia" w:ascii="Times New Roman" w:hAnsi="宋体"/>
                <w:b/>
                <w:bCs/>
                <w:color w:val="auto"/>
                <w:kern w:val="2"/>
                <w:sz w:val="21"/>
                <w:szCs w:val="21"/>
              </w:rPr>
              <w:t>第一个信封（商务及技术文件）评审标准：</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w:t>
            </w:r>
            <w:r>
              <w:rPr>
                <w:rFonts w:hint="eastAsia" w:ascii="Times New Roman" w:hAnsi="宋体"/>
                <w:color w:val="auto"/>
                <w:kern w:val="2"/>
                <w:sz w:val="21"/>
                <w:szCs w:val="21"/>
              </w:rPr>
              <w:t>）投标文件按照招标文件规定的格式、内容填写，字迹清晰可辨：</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a.</w:t>
            </w:r>
            <w:r>
              <w:rPr>
                <w:rFonts w:hint="eastAsia" w:ascii="Times New Roman" w:hAnsi="宋体"/>
                <w:color w:val="auto"/>
                <w:kern w:val="2"/>
                <w:sz w:val="21"/>
                <w:szCs w:val="21"/>
              </w:rPr>
              <w:t>投标函按招标文件规定填报了项目名称、标段号（如有）、补遗书编号（如有）、设计服务期限、质量要求及安全目标；</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b.</w:t>
            </w:r>
            <w:r>
              <w:rPr>
                <w:rFonts w:hint="eastAsia" w:ascii="Times New Roman" w:hAnsi="宋体"/>
                <w:color w:val="auto"/>
                <w:kern w:val="2"/>
                <w:sz w:val="21"/>
                <w:szCs w:val="21"/>
              </w:rPr>
              <w:t>投标文件组成齐全完整，内容均按规定填写。</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2</w:t>
            </w:r>
            <w:r>
              <w:rPr>
                <w:rFonts w:hint="eastAsia" w:ascii="Times New Roman" w:hAnsi="宋体"/>
                <w:color w:val="auto"/>
                <w:kern w:val="2"/>
                <w:sz w:val="21"/>
                <w:szCs w:val="21"/>
              </w:rPr>
              <w:t>）投标文件上法定代表人或其委托代理人的签字、投标人的单位章盖章齐全，符合招标文件规定。</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3</w:t>
            </w:r>
            <w:r>
              <w:rPr>
                <w:rFonts w:hint="eastAsia" w:ascii="Times New Roman" w:hAnsi="宋体"/>
                <w:color w:val="auto"/>
                <w:kern w:val="2"/>
                <w:sz w:val="21"/>
                <w:szCs w:val="21"/>
              </w:rPr>
              <w:t>）</w:t>
            </w:r>
            <w:r>
              <w:rPr>
                <w:rFonts w:ascii="Times New Roman" w:hAnsi="Times New Roman"/>
                <w:color w:val="auto"/>
                <w:kern w:val="2"/>
                <w:sz w:val="21"/>
                <w:szCs w:val="21"/>
              </w:rPr>
              <w:t xml:space="preserve"> </w:t>
            </w:r>
            <w:r>
              <w:rPr>
                <w:rFonts w:hint="eastAsia" w:ascii="Times New Roman" w:hAnsi="宋体"/>
                <w:color w:val="auto"/>
                <w:kern w:val="2"/>
                <w:sz w:val="21"/>
                <w:szCs w:val="21"/>
              </w:rPr>
              <w:t>投标人按照招标文件的规定提供了投标保证金：</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a.</w:t>
            </w:r>
            <w:r>
              <w:rPr>
                <w:rFonts w:hint="eastAsia" w:ascii="Times New Roman" w:hAnsi="宋体"/>
                <w:color w:val="auto"/>
                <w:kern w:val="2"/>
                <w:sz w:val="21"/>
                <w:szCs w:val="21"/>
              </w:rPr>
              <w:t>投标保证金金额符合招标文件规定的金额，且投标保证金有效期不少于投标有效期；</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b.</w:t>
            </w:r>
            <w:r>
              <w:rPr>
                <w:rFonts w:hint="eastAsia" w:ascii="Times New Roman" w:hAnsi="宋体"/>
                <w:color w:val="auto"/>
                <w:kern w:val="2"/>
                <w:sz w:val="21"/>
                <w:szCs w:val="21"/>
              </w:rPr>
              <w:t>若投标保证金采用电汇或转账形式提交，投标人应在投标人须知前附表</w:t>
            </w:r>
            <w:r>
              <w:rPr>
                <w:rFonts w:ascii="Times New Roman" w:hAnsi="Times New Roman"/>
                <w:color w:val="auto"/>
                <w:kern w:val="2"/>
                <w:sz w:val="21"/>
                <w:szCs w:val="21"/>
              </w:rPr>
              <w:t>3.4.1</w:t>
            </w:r>
            <w:r>
              <w:rPr>
                <w:rFonts w:hint="eastAsia" w:ascii="Times New Roman" w:hAnsi="宋体"/>
                <w:color w:val="auto"/>
                <w:kern w:val="2"/>
                <w:sz w:val="21"/>
                <w:szCs w:val="21"/>
              </w:rPr>
              <w:t>款规定的时间，将投标保证金由投标人的基本账户转入招标人指定账户；</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c.</w:t>
            </w:r>
            <w:r>
              <w:rPr>
                <w:rFonts w:hint="eastAsia" w:ascii="Times New Roman" w:hAnsi="宋体"/>
                <w:color w:val="auto"/>
                <w:kern w:val="2"/>
                <w:sz w:val="21"/>
                <w:szCs w:val="21"/>
              </w:rPr>
              <w:t>若投标保证金采用银行保函或投标担保函或投标保证保险合同（或保险单）形式提交，应满足招标文件要求，</w:t>
            </w:r>
            <w:r>
              <w:rPr>
                <w:rFonts w:hint="eastAsia" w:ascii="Times New Roman" w:hAnsi="宋体"/>
                <w:color w:val="auto"/>
                <w:spacing w:val="-8"/>
                <w:sz w:val="21"/>
                <w:szCs w:val="21"/>
              </w:rPr>
              <w:t>银行保函或投标担保函或投标保证保险合同（或保险单）原件在递交投标文件时单独密封递交，其复印件装订在投标文件中。</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4</w:t>
            </w:r>
            <w:r>
              <w:rPr>
                <w:rFonts w:hint="eastAsia" w:ascii="Times New Roman" w:hAnsi="宋体"/>
                <w:color w:val="auto"/>
                <w:kern w:val="2"/>
                <w:sz w:val="21"/>
                <w:szCs w:val="21"/>
              </w:rPr>
              <w:t>）投标人法定代表人授权委托代理人签署投标文件的，须提交授权委托书，且授权人和被授权人均在授权委托书上签名，未使用印章、签名章或其他电子制版签名代替。</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5</w:t>
            </w:r>
            <w:r>
              <w:rPr>
                <w:rFonts w:hint="eastAsia" w:ascii="Times New Roman" w:hAnsi="宋体"/>
                <w:color w:val="auto"/>
                <w:kern w:val="2"/>
                <w:sz w:val="21"/>
                <w:szCs w:val="21"/>
              </w:rPr>
              <w:t>）投标人法定代表人亲自签署投标文件的，提供了法定代表人身份证明，且法定代表人在法定代表人身份证明上签名，未使用印章、签名章或其他电子制版签名代替。</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6</w:t>
            </w:r>
            <w:r>
              <w:rPr>
                <w:rFonts w:hint="eastAsia" w:ascii="Times New Roman" w:hAnsi="宋体"/>
                <w:color w:val="auto"/>
                <w:kern w:val="2"/>
                <w:sz w:val="21"/>
                <w:szCs w:val="21"/>
              </w:rPr>
              <w:t>）投标人如有分包计划，符合招标文件第二章</w:t>
            </w:r>
            <w:r>
              <w:rPr>
                <w:rFonts w:ascii="Times New Roman" w:hAnsi="Times New Roman"/>
                <w:color w:val="auto"/>
                <w:kern w:val="2"/>
                <w:sz w:val="21"/>
                <w:szCs w:val="21"/>
              </w:rPr>
              <w:t>“</w:t>
            </w:r>
            <w:r>
              <w:rPr>
                <w:rFonts w:hint="eastAsia" w:ascii="Times New Roman" w:hAnsi="宋体"/>
                <w:color w:val="auto"/>
                <w:kern w:val="2"/>
                <w:sz w:val="21"/>
                <w:szCs w:val="21"/>
              </w:rPr>
              <w:t>投标人须知</w:t>
            </w:r>
            <w:r>
              <w:rPr>
                <w:rFonts w:ascii="Times New Roman" w:hAnsi="Times New Roman"/>
                <w:color w:val="auto"/>
                <w:kern w:val="2"/>
                <w:sz w:val="21"/>
                <w:szCs w:val="21"/>
              </w:rPr>
              <w:t>”</w:t>
            </w:r>
            <w:r>
              <w:rPr>
                <w:rFonts w:hint="eastAsia" w:ascii="Times New Roman" w:hAnsi="宋体"/>
                <w:color w:val="auto"/>
                <w:kern w:val="2"/>
                <w:sz w:val="21"/>
                <w:szCs w:val="21"/>
              </w:rPr>
              <w:t>第</w:t>
            </w:r>
            <w:r>
              <w:rPr>
                <w:rFonts w:ascii="Times New Roman" w:hAnsi="Times New Roman"/>
                <w:color w:val="auto"/>
                <w:kern w:val="2"/>
                <w:sz w:val="21"/>
                <w:szCs w:val="21"/>
              </w:rPr>
              <w:t>1.11</w:t>
            </w:r>
            <w:r>
              <w:rPr>
                <w:rFonts w:hint="eastAsia" w:ascii="Times New Roman" w:hAnsi="宋体"/>
                <w:color w:val="auto"/>
                <w:kern w:val="2"/>
                <w:sz w:val="21"/>
                <w:szCs w:val="21"/>
              </w:rPr>
              <w:t>款规定，且按招标文件第六章</w:t>
            </w:r>
            <w:r>
              <w:rPr>
                <w:rFonts w:ascii="Times New Roman" w:hAnsi="Times New Roman"/>
                <w:color w:val="auto"/>
                <w:kern w:val="2"/>
                <w:sz w:val="21"/>
                <w:szCs w:val="21"/>
              </w:rPr>
              <w:t>“</w:t>
            </w:r>
            <w:r>
              <w:rPr>
                <w:rFonts w:hint="eastAsia" w:ascii="Times New Roman" w:hAnsi="宋体"/>
                <w:color w:val="auto"/>
                <w:kern w:val="2"/>
                <w:sz w:val="21"/>
                <w:szCs w:val="21"/>
              </w:rPr>
              <w:t>投标文件格式</w:t>
            </w:r>
            <w:r>
              <w:rPr>
                <w:rFonts w:ascii="Times New Roman" w:hAnsi="Times New Roman"/>
                <w:color w:val="auto"/>
                <w:kern w:val="2"/>
                <w:sz w:val="21"/>
                <w:szCs w:val="21"/>
              </w:rPr>
              <w:t>”</w:t>
            </w:r>
            <w:r>
              <w:rPr>
                <w:rFonts w:hint="eastAsia" w:ascii="Times New Roman" w:hAnsi="宋体"/>
                <w:color w:val="auto"/>
                <w:kern w:val="2"/>
                <w:sz w:val="21"/>
                <w:szCs w:val="21"/>
              </w:rPr>
              <w:t>的要求填写了</w:t>
            </w:r>
            <w:r>
              <w:rPr>
                <w:rFonts w:ascii="Times New Roman" w:hAnsi="Times New Roman"/>
                <w:color w:val="auto"/>
                <w:kern w:val="2"/>
                <w:sz w:val="21"/>
                <w:szCs w:val="21"/>
              </w:rPr>
              <w:t>“</w:t>
            </w:r>
            <w:r>
              <w:rPr>
                <w:rFonts w:hint="eastAsia" w:ascii="Times New Roman" w:hAnsi="宋体"/>
                <w:color w:val="auto"/>
                <w:kern w:val="2"/>
                <w:sz w:val="21"/>
                <w:szCs w:val="21"/>
              </w:rPr>
              <w:t>拟分包项目情况表</w:t>
            </w:r>
            <w:r>
              <w:rPr>
                <w:rFonts w:ascii="Times New Roman" w:hAnsi="Times New Roman"/>
                <w:color w:val="auto"/>
                <w:kern w:val="2"/>
                <w:sz w:val="21"/>
                <w:szCs w:val="21"/>
              </w:rPr>
              <w:t>”</w:t>
            </w:r>
            <w:r>
              <w:rPr>
                <w:rFonts w:hint="eastAsia" w:ascii="Times New Roman" w:hAnsi="宋体"/>
                <w:color w:val="auto"/>
                <w:kern w:val="2"/>
                <w:sz w:val="21"/>
                <w:szCs w:val="21"/>
              </w:rPr>
              <w:t>。</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7</w:t>
            </w:r>
            <w:r>
              <w:rPr>
                <w:rFonts w:hint="eastAsia" w:ascii="Times New Roman" w:hAnsi="宋体"/>
                <w:color w:val="auto"/>
                <w:kern w:val="2"/>
                <w:sz w:val="21"/>
                <w:szCs w:val="21"/>
              </w:rPr>
              <w:t>）同一投标人未提交两个以上不同的投标文件，但招标文件要求提交备选投标的除外。</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8</w:t>
            </w:r>
            <w:r>
              <w:rPr>
                <w:rFonts w:hint="eastAsia" w:ascii="Times New Roman" w:hAnsi="宋体"/>
                <w:color w:val="auto"/>
                <w:kern w:val="2"/>
                <w:sz w:val="21"/>
                <w:szCs w:val="21"/>
              </w:rPr>
              <w:t>）投标文件中未出现有关投标报价和降点率的内容。</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9</w:t>
            </w:r>
            <w:r>
              <w:rPr>
                <w:rFonts w:hint="eastAsia" w:ascii="Times New Roman" w:hAnsi="宋体"/>
                <w:color w:val="auto"/>
                <w:kern w:val="2"/>
                <w:sz w:val="21"/>
                <w:szCs w:val="21"/>
              </w:rPr>
              <w:t>）投标文件载明的招标项目完成期限未超过招标文件规定的时限。</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10</w:t>
            </w:r>
            <w:r>
              <w:rPr>
                <w:rFonts w:hint="eastAsia" w:ascii="Times New Roman" w:hAnsi="宋体"/>
                <w:color w:val="auto"/>
                <w:kern w:val="2"/>
                <w:sz w:val="21"/>
                <w:szCs w:val="21"/>
              </w:rPr>
              <w:t>）投标文件对招标文件的实质性要求和条件作出响应。</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11</w:t>
            </w:r>
            <w:r>
              <w:rPr>
                <w:rFonts w:hint="eastAsia" w:ascii="Times New Roman" w:hAnsi="宋体"/>
                <w:color w:val="auto"/>
                <w:kern w:val="2"/>
                <w:sz w:val="21"/>
                <w:szCs w:val="21"/>
              </w:rPr>
              <w:t>）权利义务符合招标文件规定：</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a.</w:t>
            </w:r>
            <w:r>
              <w:rPr>
                <w:rFonts w:hint="eastAsia" w:ascii="Times New Roman" w:hAnsi="宋体"/>
                <w:color w:val="auto"/>
                <w:kern w:val="2"/>
                <w:sz w:val="21"/>
                <w:szCs w:val="21"/>
              </w:rPr>
              <w:t>投标人应接受招标文件规定的风险划分原则，未提出新的风险划分办法；</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b.</w:t>
            </w:r>
            <w:r>
              <w:rPr>
                <w:rFonts w:hint="eastAsia" w:ascii="Times New Roman" w:hAnsi="宋体"/>
                <w:color w:val="auto"/>
                <w:kern w:val="2"/>
                <w:sz w:val="21"/>
                <w:szCs w:val="21"/>
              </w:rPr>
              <w:t>投标人未增加发包人的责任范围，或减少投标人义务；</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c.</w:t>
            </w:r>
            <w:r>
              <w:rPr>
                <w:rFonts w:hint="eastAsia" w:ascii="Times New Roman" w:hAnsi="宋体"/>
                <w:color w:val="auto"/>
                <w:kern w:val="2"/>
                <w:sz w:val="21"/>
                <w:szCs w:val="21"/>
              </w:rPr>
              <w:t>投标人未提出不同的支付办法；</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d.</w:t>
            </w:r>
            <w:r>
              <w:rPr>
                <w:rFonts w:hint="eastAsia" w:ascii="Times New Roman" w:hAnsi="宋体"/>
                <w:color w:val="auto"/>
                <w:kern w:val="2"/>
                <w:sz w:val="21"/>
                <w:szCs w:val="21"/>
              </w:rPr>
              <w:t>投标人对合同纠纷、事故处理办法未提出异议；</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e.</w:t>
            </w:r>
            <w:r>
              <w:rPr>
                <w:rFonts w:hint="eastAsia" w:ascii="Times New Roman" w:hAnsi="宋体"/>
                <w:color w:val="auto"/>
                <w:kern w:val="2"/>
                <w:sz w:val="21"/>
                <w:szCs w:val="21"/>
              </w:rPr>
              <w:t>投标人在投标活动中无欺诈行为；</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f.</w:t>
            </w:r>
            <w:r>
              <w:rPr>
                <w:rFonts w:hint="eastAsia" w:ascii="Times New Roman" w:hAnsi="宋体"/>
                <w:color w:val="auto"/>
                <w:kern w:val="2"/>
                <w:sz w:val="21"/>
                <w:szCs w:val="21"/>
              </w:rPr>
              <w:t>投标人未对合同条款有重要保留。</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12</w:t>
            </w:r>
            <w:r>
              <w:rPr>
                <w:rFonts w:hint="eastAsia" w:ascii="Times New Roman" w:hAnsi="宋体"/>
                <w:color w:val="auto"/>
                <w:kern w:val="2"/>
                <w:sz w:val="21"/>
                <w:szCs w:val="21"/>
              </w:rPr>
              <w:t>）投标文件正、副本份数符合招标文件第二章</w:t>
            </w:r>
            <w:r>
              <w:rPr>
                <w:rFonts w:ascii="Times New Roman" w:hAnsi="Times New Roman"/>
                <w:color w:val="auto"/>
                <w:kern w:val="2"/>
                <w:sz w:val="21"/>
                <w:szCs w:val="21"/>
              </w:rPr>
              <w:t>“</w:t>
            </w:r>
            <w:r>
              <w:rPr>
                <w:rFonts w:hint="eastAsia" w:ascii="Times New Roman" w:hAnsi="宋体"/>
                <w:color w:val="auto"/>
                <w:kern w:val="2"/>
                <w:sz w:val="21"/>
                <w:szCs w:val="21"/>
              </w:rPr>
              <w:t>投标人须知</w:t>
            </w:r>
            <w:r>
              <w:rPr>
                <w:rFonts w:ascii="Times New Roman" w:hAnsi="Times New Roman"/>
                <w:color w:val="auto"/>
                <w:kern w:val="2"/>
                <w:sz w:val="21"/>
                <w:szCs w:val="21"/>
              </w:rPr>
              <w:t>”</w:t>
            </w:r>
            <w:r>
              <w:rPr>
                <w:rFonts w:hint="eastAsia" w:ascii="Times New Roman" w:hAnsi="宋体"/>
                <w:color w:val="auto"/>
                <w:kern w:val="2"/>
                <w:sz w:val="21"/>
                <w:szCs w:val="21"/>
              </w:rPr>
              <w:t>第</w:t>
            </w:r>
            <w:r>
              <w:rPr>
                <w:rFonts w:ascii="Times New Roman" w:hAnsi="Times New Roman"/>
                <w:color w:val="auto"/>
                <w:kern w:val="2"/>
                <w:sz w:val="21"/>
                <w:szCs w:val="21"/>
              </w:rPr>
              <w:t>3.7.4</w:t>
            </w:r>
            <w:r>
              <w:rPr>
                <w:rFonts w:hint="eastAsia" w:ascii="Times New Roman" w:hAnsi="宋体"/>
                <w:color w:val="auto"/>
                <w:kern w:val="2"/>
                <w:sz w:val="21"/>
                <w:szCs w:val="21"/>
              </w:rPr>
              <w:t>项规定。</w:t>
            </w:r>
          </w:p>
          <w:p>
            <w:pPr>
              <w:spacing w:line="360" w:lineRule="exact"/>
              <w:ind w:firstLine="422" w:firstLineChars="200"/>
              <w:jc w:val="both"/>
              <w:rPr>
                <w:rFonts w:ascii="Times New Roman" w:hAnsi="Times New Roman"/>
                <w:b/>
                <w:bCs/>
                <w:color w:val="auto"/>
                <w:kern w:val="2"/>
                <w:sz w:val="21"/>
                <w:szCs w:val="21"/>
              </w:rPr>
            </w:pPr>
            <w:r>
              <w:rPr>
                <w:rFonts w:hint="eastAsia" w:ascii="Times New Roman" w:hAnsi="宋体"/>
                <w:b/>
                <w:bCs/>
                <w:color w:val="auto"/>
                <w:kern w:val="2"/>
                <w:sz w:val="21"/>
                <w:szCs w:val="21"/>
              </w:rPr>
              <w:t>第二个信封（报价文件）评审标准：</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w:t>
            </w:r>
            <w:r>
              <w:rPr>
                <w:rFonts w:hint="eastAsia" w:ascii="Times New Roman" w:hAnsi="宋体"/>
                <w:color w:val="auto"/>
                <w:kern w:val="2"/>
                <w:sz w:val="21"/>
                <w:szCs w:val="21"/>
              </w:rPr>
              <w:t>）投标文件按照招标文件规定的格式、内容填写，字迹清晰可辨，内容齐全完整：</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a.</w:t>
            </w:r>
            <w:r>
              <w:rPr>
                <w:rFonts w:hint="eastAsia" w:ascii="Times New Roman" w:hAnsi="宋体"/>
                <w:color w:val="auto"/>
                <w:kern w:val="2"/>
                <w:sz w:val="21"/>
                <w:szCs w:val="21"/>
              </w:rPr>
              <w:t>投标函按招标文件规定填报了项目名称、标段号（如有）、补遗书编号（如有）、投标报价（包括大写金额和小写金额、降点率）；</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b.</w:t>
            </w:r>
            <w:r>
              <w:rPr>
                <w:rFonts w:hint="eastAsia" w:ascii="Times New Roman" w:hAnsi="宋体"/>
                <w:color w:val="auto"/>
                <w:kern w:val="2"/>
                <w:sz w:val="21"/>
                <w:szCs w:val="21"/>
              </w:rPr>
              <w:t>已标价报价清单说明文字与招标文件规定一致，未进行实质性修改和删减；</w:t>
            </w:r>
          </w:p>
          <w:p>
            <w:pPr>
              <w:adjustRightInd/>
              <w:spacing w:line="360" w:lineRule="exact"/>
              <w:ind w:firstLine="420" w:firstLineChars="200"/>
              <w:jc w:val="both"/>
              <w:textAlignment w:val="auto"/>
              <w:rPr>
                <w:rFonts w:ascii="Times New Roman" w:hAnsi="Times New Roman"/>
                <w:color w:val="auto"/>
                <w:kern w:val="2"/>
                <w:sz w:val="21"/>
                <w:szCs w:val="21"/>
              </w:rPr>
            </w:pPr>
            <w:r>
              <w:rPr>
                <w:rFonts w:ascii="Times New Roman" w:hAnsi="Times New Roman"/>
                <w:color w:val="auto"/>
                <w:kern w:val="2"/>
                <w:sz w:val="21"/>
                <w:szCs w:val="21"/>
              </w:rPr>
              <w:t>c.</w:t>
            </w:r>
            <w:r>
              <w:rPr>
                <w:rFonts w:hint="eastAsia" w:ascii="Times New Roman" w:hAnsi="宋体"/>
                <w:color w:val="auto"/>
                <w:kern w:val="2"/>
                <w:sz w:val="21"/>
                <w:szCs w:val="21"/>
              </w:rPr>
              <w:t>投标文件组成齐全完整，内容均按规定填写。</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2</w:t>
            </w:r>
            <w:r>
              <w:rPr>
                <w:rFonts w:hint="eastAsia" w:ascii="Times New Roman" w:hAnsi="宋体"/>
                <w:color w:val="auto"/>
                <w:kern w:val="2"/>
                <w:sz w:val="21"/>
                <w:szCs w:val="21"/>
              </w:rPr>
              <w:t>）投标文件上法定代表人或其委托代理人的签字、投标人的单位章盖章齐全，符合招标文件规定。</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3</w:t>
            </w:r>
            <w:r>
              <w:rPr>
                <w:rFonts w:hint="eastAsia" w:ascii="Times New Roman" w:hAnsi="宋体"/>
                <w:color w:val="auto"/>
                <w:kern w:val="2"/>
                <w:sz w:val="21"/>
                <w:szCs w:val="21"/>
              </w:rPr>
              <w:t>）投标报价未超过招标文件设定的最高投标总限价。</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4</w:t>
            </w:r>
            <w:r>
              <w:rPr>
                <w:rFonts w:hint="eastAsia" w:ascii="Times New Roman" w:hAnsi="宋体"/>
                <w:color w:val="auto"/>
                <w:kern w:val="2"/>
                <w:sz w:val="21"/>
                <w:szCs w:val="21"/>
              </w:rPr>
              <w:t>）投标报价的大写金额能够确定具体数值。</w:t>
            </w:r>
          </w:p>
          <w:p>
            <w:pPr>
              <w:adjustRightInd/>
              <w:spacing w:line="360" w:lineRule="exact"/>
              <w:ind w:firstLine="420" w:firstLineChars="200"/>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5</w:t>
            </w:r>
            <w:r>
              <w:rPr>
                <w:rFonts w:hint="eastAsia" w:ascii="Times New Roman" w:hAnsi="宋体"/>
                <w:color w:val="auto"/>
                <w:kern w:val="2"/>
                <w:sz w:val="21"/>
                <w:szCs w:val="21"/>
              </w:rPr>
              <w:t>）同一投标人未提交两个以上不同的投标报价，但招标文件要求提交备选投标的除外。</w:t>
            </w:r>
          </w:p>
          <w:p>
            <w:pPr>
              <w:adjustRightInd/>
              <w:spacing w:line="360" w:lineRule="exact"/>
              <w:ind w:firstLine="420" w:firstLineChars="200"/>
              <w:jc w:val="both"/>
              <w:textAlignment w:val="auto"/>
              <w:rPr>
                <w:rFonts w:ascii="Times New Roman" w:hAnsi="Times New Roman"/>
                <w:color w:val="auto"/>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6</w:t>
            </w:r>
            <w:r>
              <w:rPr>
                <w:rFonts w:hint="eastAsia" w:ascii="Times New Roman" w:hAnsi="宋体"/>
                <w:color w:val="auto"/>
                <w:kern w:val="2"/>
                <w:sz w:val="21"/>
                <w:szCs w:val="21"/>
              </w:rPr>
              <w:t>）投标文件正、副本份数符合招标文件第二章</w:t>
            </w:r>
            <w:r>
              <w:rPr>
                <w:rFonts w:ascii="Times New Roman" w:hAnsi="Times New Roman"/>
                <w:color w:val="auto"/>
                <w:kern w:val="2"/>
                <w:sz w:val="21"/>
                <w:szCs w:val="21"/>
              </w:rPr>
              <w:t>“</w:t>
            </w:r>
            <w:r>
              <w:rPr>
                <w:rFonts w:hint="eastAsia" w:ascii="Times New Roman" w:hAnsi="宋体"/>
                <w:color w:val="auto"/>
                <w:kern w:val="2"/>
                <w:sz w:val="21"/>
                <w:szCs w:val="21"/>
              </w:rPr>
              <w:t>投标人须知</w:t>
            </w:r>
            <w:r>
              <w:rPr>
                <w:rFonts w:ascii="Times New Roman" w:hAnsi="Times New Roman"/>
                <w:color w:val="auto"/>
                <w:kern w:val="2"/>
                <w:sz w:val="21"/>
                <w:szCs w:val="21"/>
              </w:rPr>
              <w:t>”</w:t>
            </w:r>
            <w:r>
              <w:rPr>
                <w:rFonts w:hint="eastAsia" w:ascii="Times New Roman" w:hAnsi="宋体"/>
                <w:color w:val="auto"/>
                <w:kern w:val="2"/>
                <w:sz w:val="21"/>
                <w:szCs w:val="21"/>
              </w:rPr>
              <w:t>第</w:t>
            </w:r>
            <w:r>
              <w:rPr>
                <w:rFonts w:ascii="Times New Roman" w:hAnsi="Times New Roman"/>
                <w:color w:val="auto"/>
                <w:kern w:val="2"/>
                <w:sz w:val="21"/>
                <w:szCs w:val="21"/>
              </w:rPr>
              <w:t>3.7.4</w:t>
            </w:r>
            <w:r>
              <w:rPr>
                <w:rFonts w:hint="eastAsia" w:ascii="Times New Roman" w:hAnsi="宋体"/>
                <w:color w:val="auto"/>
                <w:kern w:val="2"/>
                <w:sz w:val="21"/>
                <w:szCs w:val="21"/>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6" w:type="dxa"/>
            <w:noWrap/>
            <w:vAlign w:val="center"/>
          </w:tcPr>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2.1.2</w:t>
            </w:r>
          </w:p>
        </w:tc>
        <w:tc>
          <w:tcPr>
            <w:tcW w:w="1513" w:type="dxa"/>
            <w:noWrap/>
            <w:vAlign w:val="center"/>
          </w:tcPr>
          <w:p>
            <w:pPr>
              <w:topLinePunct/>
              <w:adjustRightInd/>
              <w:spacing w:line="360" w:lineRule="exact"/>
              <w:jc w:val="center"/>
              <w:rPr>
                <w:rFonts w:ascii="Times New Roman" w:hAnsi="Times New Roman"/>
                <w:color w:val="auto"/>
                <w:sz w:val="21"/>
                <w:szCs w:val="21"/>
              </w:rPr>
            </w:pPr>
            <w:r>
              <w:rPr>
                <w:rFonts w:hint="eastAsia" w:ascii="Times New Roman" w:hAnsi="宋体"/>
                <w:color w:val="auto"/>
                <w:sz w:val="21"/>
                <w:szCs w:val="21"/>
              </w:rPr>
              <w:t>资格评审标准</w:t>
            </w:r>
          </w:p>
        </w:tc>
        <w:tc>
          <w:tcPr>
            <w:tcW w:w="6005" w:type="dxa"/>
            <w:noWrap/>
            <w:vAlign w:val="center"/>
          </w:tcPr>
          <w:p>
            <w:pPr>
              <w:spacing w:line="360" w:lineRule="exact"/>
              <w:ind w:firstLine="420" w:firstLineChars="200"/>
              <w:jc w:val="both"/>
              <w:rPr>
                <w:rFonts w:ascii="Times New Roman" w:hAnsi="Times New Roman"/>
                <w:color w:val="auto"/>
                <w:kern w:val="2"/>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）投标人具备有效的营业执照、组织机构代码证（如有）、设计资质证书和基本账户开户许可证或银行出具的基本存款账户信息资料。</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）投标人的资质等级符合招标文件规定。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）投标人的类似项目业绩符合招标文件规定。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4</w:t>
            </w:r>
            <w:r>
              <w:rPr>
                <w:rFonts w:hint="eastAsia" w:ascii="Times New Roman" w:hAnsi="宋体"/>
                <w:color w:val="auto"/>
                <w:sz w:val="21"/>
                <w:szCs w:val="21"/>
              </w:rPr>
              <w:t>）投标人的信誉符合招标文件规定。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5</w:t>
            </w:r>
            <w:r>
              <w:rPr>
                <w:rFonts w:hint="eastAsia" w:ascii="Times New Roman" w:hAnsi="宋体"/>
                <w:color w:val="auto"/>
                <w:sz w:val="21"/>
                <w:szCs w:val="21"/>
              </w:rPr>
              <w:t>）投标人的项目负责人资格符合招标文件规定。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6</w:t>
            </w:r>
            <w:r>
              <w:rPr>
                <w:rFonts w:hint="eastAsia" w:ascii="Times New Roman" w:hAnsi="宋体"/>
                <w:color w:val="auto"/>
                <w:sz w:val="21"/>
                <w:szCs w:val="21"/>
              </w:rPr>
              <w:t>）投标人的其他要求符合招标文件规定。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7</w:t>
            </w:r>
            <w:r>
              <w:rPr>
                <w:rFonts w:hint="eastAsia" w:ascii="Times New Roman" w:hAnsi="宋体"/>
                <w:color w:val="auto"/>
                <w:sz w:val="21"/>
                <w:szCs w:val="21"/>
              </w:rPr>
              <w:t>）投标人不存在第二章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1.4.3</w:t>
            </w:r>
            <w:r>
              <w:rPr>
                <w:rFonts w:hint="eastAsia" w:ascii="Times New Roman" w:hAnsi="宋体"/>
                <w:color w:val="auto"/>
                <w:sz w:val="21"/>
                <w:szCs w:val="21"/>
              </w:rPr>
              <w:t>项或第</w:t>
            </w:r>
            <w:r>
              <w:rPr>
                <w:rFonts w:ascii="Times New Roman" w:hAnsi="Times New Roman"/>
                <w:color w:val="auto"/>
                <w:sz w:val="21"/>
                <w:szCs w:val="21"/>
              </w:rPr>
              <w:t>1.4.4</w:t>
            </w:r>
            <w:r>
              <w:rPr>
                <w:rFonts w:hint="eastAsia" w:ascii="Times New Roman" w:hAnsi="宋体"/>
                <w:color w:val="auto"/>
                <w:sz w:val="21"/>
                <w:szCs w:val="21"/>
              </w:rPr>
              <w:t>项规定的任何一种情形。</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8</w:t>
            </w:r>
            <w:r>
              <w:rPr>
                <w:rFonts w:hint="eastAsia" w:ascii="Times New Roman" w:hAnsi="宋体"/>
                <w:color w:val="auto"/>
                <w:sz w:val="21"/>
                <w:szCs w:val="21"/>
              </w:rPr>
              <w:t>）投标人符合第二章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1.4.5</w:t>
            </w:r>
            <w:r>
              <w:rPr>
                <w:rFonts w:hint="eastAsia" w:ascii="Times New Roman" w:hAnsi="宋体"/>
                <w:color w:val="auto"/>
                <w:sz w:val="21"/>
                <w:szCs w:val="21"/>
              </w:rPr>
              <w:t>项规定。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9</w:t>
            </w:r>
            <w:r>
              <w:rPr>
                <w:rFonts w:hint="eastAsia" w:ascii="Times New Roman" w:hAnsi="宋体"/>
                <w:color w:val="auto"/>
                <w:sz w:val="21"/>
                <w:szCs w:val="21"/>
              </w:rPr>
              <w:t>）以联合体形式参与投标的，联合体各方均未再以自己名义单独或参加其他形式在同一标段中投标；独立参与投标的，投标人未同时参加联合体在同一标段中投标。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6" w:type="dxa"/>
            <w:noWrap/>
            <w:vAlign w:val="center"/>
          </w:tcPr>
          <w:p>
            <w:pPr>
              <w:topLinePunct/>
              <w:adjustRightInd/>
              <w:spacing w:line="360" w:lineRule="exact"/>
              <w:jc w:val="center"/>
              <w:rPr>
                <w:rFonts w:ascii="Times New Roman" w:hAnsi="Times New Roman"/>
                <w:color w:val="auto"/>
                <w:sz w:val="21"/>
                <w:szCs w:val="21"/>
              </w:rPr>
            </w:pPr>
            <w:r>
              <w:rPr>
                <w:rFonts w:ascii="Times New Roman" w:hAnsi="Times New Roman"/>
                <w:color w:val="auto"/>
                <w:sz w:val="21"/>
                <w:szCs w:val="21"/>
              </w:rPr>
              <w:t>2.2.1</w:t>
            </w:r>
          </w:p>
        </w:tc>
        <w:tc>
          <w:tcPr>
            <w:tcW w:w="1513" w:type="dxa"/>
            <w:noWrap/>
            <w:vAlign w:val="center"/>
          </w:tcPr>
          <w:p>
            <w:pPr>
              <w:adjustRightInd/>
              <w:spacing w:line="360" w:lineRule="exact"/>
              <w:jc w:val="center"/>
              <w:textAlignment w:val="auto"/>
              <w:rPr>
                <w:rFonts w:ascii="Times New Roman" w:hAnsi="Times New Roman"/>
                <w:color w:val="auto"/>
                <w:kern w:val="2"/>
                <w:sz w:val="21"/>
                <w:szCs w:val="21"/>
              </w:rPr>
            </w:pPr>
            <w:r>
              <w:rPr>
                <w:rFonts w:hint="eastAsia" w:ascii="Times New Roman" w:hAnsi="宋体"/>
                <w:color w:val="auto"/>
                <w:kern w:val="2"/>
                <w:sz w:val="21"/>
                <w:szCs w:val="21"/>
              </w:rPr>
              <w:t>分值构成</w:t>
            </w:r>
          </w:p>
          <w:p>
            <w:pPr>
              <w:topLinePunct/>
              <w:adjustRightInd/>
              <w:spacing w:line="360" w:lineRule="exact"/>
              <w:jc w:val="center"/>
              <w:rPr>
                <w:rFonts w:ascii="Times New Roman" w:hAnsi="Times New Roman"/>
                <w:color w:val="auto"/>
                <w:sz w:val="21"/>
                <w:szCs w:val="21"/>
              </w:rPr>
            </w:pPr>
            <w:r>
              <w:rPr>
                <w:rFonts w:hint="eastAsia" w:ascii="Times New Roman" w:hAnsi="宋体"/>
                <w:color w:val="auto"/>
                <w:kern w:val="2"/>
                <w:sz w:val="21"/>
                <w:szCs w:val="21"/>
              </w:rPr>
              <w:t>（总分</w:t>
            </w:r>
            <w:r>
              <w:rPr>
                <w:rFonts w:ascii="Times New Roman" w:hAnsi="Times New Roman"/>
                <w:color w:val="auto"/>
                <w:kern w:val="2"/>
                <w:sz w:val="21"/>
                <w:szCs w:val="21"/>
              </w:rPr>
              <w:t>100</w:t>
            </w:r>
            <w:r>
              <w:rPr>
                <w:rFonts w:hint="eastAsia" w:ascii="Times New Roman" w:hAnsi="宋体"/>
                <w:color w:val="auto"/>
                <w:kern w:val="2"/>
                <w:sz w:val="21"/>
                <w:szCs w:val="21"/>
              </w:rPr>
              <w:t>分）</w:t>
            </w:r>
          </w:p>
        </w:tc>
        <w:tc>
          <w:tcPr>
            <w:tcW w:w="6005" w:type="dxa"/>
            <w:noWrap/>
            <w:vAlign w:val="center"/>
          </w:tcPr>
          <w:p>
            <w:pPr>
              <w:spacing w:line="360" w:lineRule="exact"/>
              <w:jc w:val="both"/>
              <w:rPr>
                <w:rFonts w:ascii="Times New Roman" w:hAnsi="Times New Roman"/>
                <w:color w:val="auto"/>
                <w:sz w:val="21"/>
                <w:szCs w:val="21"/>
              </w:rPr>
            </w:pPr>
            <w:r>
              <w:rPr>
                <w:rFonts w:hint="eastAsia" w:ascii="Times New Roman" w:hAnsi="宋体"/>
                <w:b/>
                <w:bCs/>
                <w:color w:val="auto"/>
                <w:kern w:val="2"/>
                <w:sz w:val="21"/>
                <w:szCs w:val="21"/>
              </w:rPr>
              <w:t>第一个信封（商务及技术文件）评分分值构成：</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技术建议书：</w:t>
            </w:r>
            <w:r>
              <w:rPr>
                <w:rFonts w:ascii="Times New Roman" w:hAnsi="Times New Roman"/>
                <w:color w:val="auto"/>
                <w:kern w:val="2"/>
                <w:sz w:val="21"/>
                <w:szCs w:val="21"/>
                <w:u w:val="single"/>
              </w:rPr>
              <w:t xml:space="preserve">   35   </w:t>
            </w:r>
            <w:r>
              <w:rPr>
                <w:rFonts w:hint="eastAsia" w:ascii="Times New Roman" w:hAnsi="宋体"/>
                <w:color w:val="auto"/>
                <w:kern w:val="2"/>
                <w:sz w:val="21"/>
                <w:szCs w:val="21"/>
              </w:rPr>
              <w:t>分</w:t>
            </w:r>
            <w:r>
              <w:rPr>
                <w:rFonts w:ascii="Times New Roman" w:hAnsi="Times New Roman"/>
                <w:color w:val="auto"/>
                <w:kern w:val="2"/>
                <w:sz w:val="21"/>
                <w:szCs w:val="21"/>
              </w:rPr>
              <w:t xml:space="preserve">       </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主要人员：</w:t>
            </w:r>
            <w:r>
              <w:rPr>
                <w:rFonts w:ascii="Times New Roman" w:hAnsi="Times New Roman"/>
                <w:color w:val="auto"/>
                <w:kern w:val="2"/>
                <w:sz w:val="21"/>
                <w:szCs w:val="21"/>
                <w:u w:val="single"/>
              </w:rPr>
              <w:t xml:space="preserve">  20   </w:t>
            </w:r>
            <w:r>
              <w:rPr>
                <w:rFonts w:hint="eastAsia" w:ascii="Times New Roman" w:hAnsi="宋体"/>
                <w:color w:val="auto"/>
                <w:kern w:val="2"/>
                <w:sz w:val="21"/>
                <w:szCs w:val="21"/>
              </w:rPr>
              <w:t>分</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技术能力：</w:t>
            </w:r>
            <w:r>
              <w:rPr>
                <w:rFonts w:ascii="Times New Roman" w:hAnsi="Times New Roman"/>
                <w:color w:val="auto"/>
                <w:kern w:val="2"/>
                <w:sz w:val="21"/>
                <w:szCs w:val="21"/>
                <w:u w:val="single"/>
              </w:rPr>
              <w:t xml:space="preserve">   0   </w:t>
            </w:r>
            <w:r>
              <w:rPr>
                <w:rFonts w:hint="eastAsia" w:ascii="Times New Roman" w:hAnsi="宋体"/>
                <w:color w:val="auto"/>
                <w:kern w:val="2"/>
                <w:sz w:val="21"/>
                <w:szCs w:val="21"/>
              </w:rPr>
              <w:t>分</w:t>
            </w:r>
            <w:r>
              <w:rPr>
                <w:rFonts w:ascii="Times New Roman" w:hAnsi="Times New Roman"/>
                <w:color w:val="auto"/>
                <w:kern w:val="2"/>
                <w:sz w:val="21"/>
                <w:szCs w:val="21"/>
              </w:rPr>
              <w:t xml:space="preserve">         </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业绩：</w:t>
            </w:r>
            <w:r>
              <w:rPr>
                <w:rFonts w:ascii="Times New Roman" w:hAnsi="Times New Roman"/>
                <w:color w:val="auto"/>
                <w:kern w:val="2"/>
                <w:sz w:val="21"/>
                <w:szCs w:val="21"/>
                <w:u w:val="single"/>
              </w:rPr>
              <w:t xml:space="preserve">   25   </w:t>
            </w:r>
            <w:r>
              <w:rPr>
                <w:rFonts w:hint="eastAsia" w:ascii="Times New Roman" w:hAnsi="宋体"/>
                <w:color w:val="auto"/>
                <w:kern w:val="2"/>
                <w:sz w:val="21"/>
                <w:szCs w:val="21"/>
              </w:rPr>
              <w:t>分</w:t>
            </w:r>
            <w:r>
              <w:rPr>
                <w:rFonts w:ascii="Times New Roman" w:hAnsi="Times New Roman"/>
                <w:color w:val="auto"/>
                <w:kern w:val="2"/>
                <w:sz w:val="21"/>
                <w:szCs w:val="21"/>
              </w:rPr>
              <w:t xml:space="preserve">             </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履约信誉：</w:t>
            </w:r>
            <w:r>
              <w:rPr>
                <w:rFonts w:ascii="Times New Roman" w:hAnsi="Times New Roman"/>
                <w:color w:val="auto"/>
                <w:kern w:val="2"/>
                <w:sz w:val="21"/>
                <w:szCs w:val="21"/>
                <w:u w:val="single"/>
              </w:rPr>
              <w:t xml:space="preserve">   10   </w:t>
            </w:r>
            <w:r>
              <w:rPr>
                <w:rFonts w:hint="eastAsia" w:ascii="Times New Roman" w:hAnsi="宋体"/>
                <w:color w:val="auto"/>
                <w:kern w:val="2"/>
                <w:sz w:val="21"/>
                <w:szCs w:val="21"/>
              </w:rPr>
              <w:t>分</w:t>
            </w:r>
            <w:r>
              <w:rPr>
                <w:rFonts w:ascii="Times New Roman" w:hAnsi="Times New Roman"/>
                <w:color w:val="auto"/>
                <w:kern w:val="2"/>
                <w:sz w:val="21"/>
                <w:szCs w:val="21"/>
              </w:rPr>
              <w:t xml:space="preserve">         </w:t>
            </w:r>
          </w:p>
          <w:p>
            <w:pPr>
              <w:adjustRightInd/>
              <w:spacing w:line="360" w:lineRule="exact"/>
              <w:jc w:val="both"/>
              <w:textAlignment w:val="auto"/>
              <w:rPr>
                <w:rFonts w:ascii="Times New Roman" w:hAnsi="Times New Roman"/>
                <w:b/>
                <w:bCs/>
                <w:color w:val="auto"/>
                <w:kern w:val="2"/>
                <w:sz w:val="21"/>
                <w:szCs w:val="21"/>
              </w:rPr>
            </w:pPr>
            <w:r>
              <w:rPr>
                <w:rFonts w:hint="eastAsia" w:ascii="Times New Roman" w:hAnsi="宋体"/>
                <w:b/>
                <w:bCs/>
                <w:color w:val="auto"/>
                <w:kern w:val="2"/>
                <w:sz w:val="21"/>
                <w:szCs w:val="21"/>
              </w:rPr>
              <w:t>第二个信封（报价文件）评分分值构成：</w:t>
            </w:r>
          </w:p>
          <w:p>
            <w:pPr>
              <w:spacing w:line="360" w:lineRule="exact"/>
              <w:jc w:val="both"/>
              <w:rPr>
                <w:rFonts w:ascii="Times New Roman" w:hAnsi="Times New Roman"/>
                <w:color w:val="auto"/>
                <w:sz w:val="21"/>
                <w:szCs w:val="21"/>
              </w:rPr>
            </w:pPr>
            <w:r>
              <w:rPr>
                <w:rFonts w:hint="eastAsia" w:ascii="Times New Roman" w:hAnsi="宋体"/>
                <w:color w:val="auto"/>
                <w:kern w:val="2"/>
                <w:sz w:val="21"/>
                <w:szCs w:val="21"/>
              </w:rPr>
              <w:t>评标价：</w:t>
            </w:r>
            <w:r>
              <w:rPr>
                <w:rFonts w:ascii="Times New Roman" w:hAnsi="Times New Roman"/>
                <w:color w:val="auto"/>
                <w:kern w:val="2"/>
                <w:sz w:val="21"/>
                <w:szCs w:val="21"/>
                <w:u w:val="single"/>
              </w:rPr>
              <w:t xml:space="preserve">   10   </w:t>
            </w:r>
            <w:r>
              <w:rPr>
                <w:rFonts w:hint="eastAsia" w:ascii="Times New Roman" w:hAnsi="宋体"/>
                <w:color w:val="auto"/>
                <w:kern w:val="2"/>
                <w:sz w:val="21"/>
                <w:szCs w:val="21"/>
              </w:rPr>
              <w:t>分</w:t>
            </w:r>
          </w:p>
        </w:tc>
      </w:tr>
    </w:tbl>
    <w:p>
      <w:pPr>
        <w:ind w:firstLine="482" w:firstLineChars="200"/>
        <w:jc w:val="right"/>
        <w:rPr>
          <w:rFonts w:ascii="Times New Roman" w:hAnsi="Times New Roman"/>
          <w:b/>
          <w:color w:val="auto"/>
        </w:rPr>
      </w:pPr>
    </w:p>
    <w:p>
      <w:pPr>
        <w:ind w:firstLine="482" w:firstLineChars="200"/>
        <w:jc w:val="right"/>
        <w:rPr>
          <w:rFonts w:ascii="Times New Roman" w:hAnsi="Times New Roman"/>
          <w:b/>
          <w:color w:val="auto"/>
        </w:rPr>
      </w:pPr>
    </w:p>
    <w:p>
      <w:pPr>
        <w:ind w:firstLine="482" w:firstLineChars="200"/>
        <w:jc w:val="right"/>
        <w:rPr>
          <w:rFonts w:ascii="Times New Roman" w:hAnsi="Times New Roman"/>
          <w:b/>
          <w:color w:val="auto"/>
        </w:rPr>
      </w:pPr>
    </w:p>
    <w:p>
      <w:pPr>
        <w:ind w:firstLine="482" w:firstLineChars="200"/>
        <w:jc w:val="right"/>
        <w:rPr>
          <w:rFonts w:ascii="Times New Roman" w:hAnsi="Times New Roman"/>
          <w:b/>
          <w:color w:val="auto"/>
        </w:rPr>
      </w:pPr>
    </w:p>
    <w:p>
      <w:pPr>
        <w:ind w:firstLine="482" w:firstLineChars="200"/>
        <w:jc w:val="right"/>
        <w:rPr>
          <w:rFonts w:ascii="Times New Roman" w:hAnsi="Times New Roman"/>
          <w:b/>
          <w:color w:val="auto"/>
        </w:rPr>
      </w:pPr>
    </w:p>
    <w:p>
      <w:pPr>
        <w:ind w:firstLine="482" w:firstLineChars="200"/>
        <w:jc w:val="right"/>
        <w:rPr>
          <w:rFonts w:ascii="Times New Roman" w:hAnsi="Times New Roman"/>
          <w:b/>
          <w:color w:val="auto"/>
        </w:rPr>
      </w:pPr>
    </w:p>
    <w:p>
      <w:pPr>
        <w:ind w:firstLine="480" w:firstLineChars="200"/>
        <w:jc w:val="right"/>
        <w:rPr>
          <w:rFonts w:ascii="Times New Roman" w:hAnsi="Times New Roman"/>
          <w:color w:val="auto"/>
        </w:rPr>
      </w:pPr>
      <w:r>
        <w:rPr>
          <w:rFonts w:ascii="Times New Roman" w:hAnsi="Times New Roman"/>
          <w:color w:val="auto"/>
        </w:rPr>
        <w:br w:type="page"/>
      </w:r>
    </w:p>
    <w:tbl>
      <w:tblPr>
        <w:tblStyle w:val="5"/>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631"/>
        <w:gridCol w:w="5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2628" w:type="dxa"/>
            <w:gridSpan w:val="2"/>
            <w:noWrap/>
            <w:vAlign w:val="center"/>
          </w:tcPr>
          <w:p>
            <w:pPr>
              <w:topLinePunct/>
              <w:spacing w:line="240" w:lineRule="auto"/>
              <w:jc w:val="center"/>
              <w:rPr>
                <w:rFonts w:ascii="Times New Roman" w:hAnsi="Times New Roman"/>
                <w:color w:val="auto"/>
                <w:sz w:val="21"/>
                <w:szCs w:val="21"/>
              </w:rPr>
            </w:pPr>
            <w:r>
              <w:rPr>
                <w:rFonts w:hint="eastAsia" w:ascii="Times New Roman" w:hAnsi="宋体"/>
                <w:b/>
                <w:color w:val="auto"/>
              </w:rPr>
              <w:t>条款号</w:t>
            </w:r>
          </w:p>
        </w:tc>
        <w:tc>
          <w:tcPr>
            <w:tcW w:w="5894" w:type="dxa"/>
            <w:noWrap/>
            <w:vAlign w:val="center"/>
          </w:tcPr>
          <w:p>
            <w:pPr>
              <w:spacing w:line="240" w:lineRule="auto"/>
              <w:ind w:firstLine="482" w:firstLineChars="200"/>
              <w:jc w:val="center"/>
              <w:rPr>
                <w:rFonts w:ascii="Times New Roman" w:hAnsi="Times New Roman"/>
                <w:color w:val="auto"/>
                <w:sz w:val="21"/>
                <w:szCs w:val="21"/>
              </w:rPr>
            </w:pPr>
            <w:r>
              <w:rPr>
                <w:rFonts w:hint="eastAsia" w:ascii="Times New Roman" w:hAnsi="宋体"/>
                <w:b/>
                <w:color w:val="auto"/>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94" w:type="dxa"/>
            <w:noWrap/>
            <w:vAlign w:val="center"/>
          </w:tcPr>
          <w:p>
            <w:pPr>
              <w:wordWrap w:val="0"/>
              <w:topLinePunct/>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2.2.2</w:t>
            </w:r>
          </w:p>
        </w:tc>
        <w:tc>
          <w:tcPr>
            <w:tcW w:w="1634" w:type="dxa"/>
            <w:noWrap/>
            <w:vAlign w:val="center"/>
          </w:tcPr>
          <w:p>
            <w:pPr>
              <w:wordWrap w:val="0"/>
              <w:topLinePunct/>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评标基准价计算方法</w:t>
            </w:r>
          </w:p>
        </w:tc>
        <w:tc>
          <w:tcPr>
            <w:tcW w:w="5894" w:type="dxa"/>
            <w:noWrap/>
            <w:vAlign w:val="center"/>
          </w:tcPr>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评标基准价的计算：</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在开标现场，招标人将当场计算并宣布评标基准价。</w:t>
            </w:r>
          </w:p>
          <w:p>
            <w:pPr>
              <w:spacing w:line="360" w:lineRule="exact"/>
              <w:ind w:firstLine="422" w:firstLineChars="200"/>
              <w:jc w:val="both"/>
              <w:rPr>
                <w:rFonts w:ascii="Times New Roman" w:hAnsi="Times New Roman"/>
                <w:b/>
                <w:color w:val="auto"/>
                <w:sz w:val="21"/>
                <w:szCs w:val="21"/>
              </w:rPr>
            </w:pPr>
            <w:r>
              <w:rPr>
                <w:rFonts w:hint="eastAsia" w:ascii="Times New Roman" w:hAnsi="宋体"/>
                <w:b/>
                <w:color w:val="auto"/>
                <w:sz w:val="21"/>
                <w:szCs w:val="21"/>
              </w:rPr>
              <w:t>（</w:t>
            </w:r>
            <w:r>
              <w:rPr>
                <w:rFonts w:ascii="Times New Roman" w:hAnsi="Times New Roman"/>
                <w:b/>
                <w:color w:val="auto"/>
                <w:sz w:val="21"/>
                <w:szCs w:val="21"/>
              </w:rPr>
              <w:t>1</w:t>
            </w:r>
            <w:r>
              <w:rPr>
                <w:rFonts w:hint="eastAsia" w:ascii="Times New Roman" w:hAnsi="宋体"/>
                <w:b/>
                <w:color w:val="auto"/>
                <w:sz w:val="21"/>
                <w:szCs w:val="21"/>
              </w:rPr>
              <w:t>）评标价的确定：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评标价＝投标函文字报价</w:t>
            </w:r>
          </w:p>
          <w:p>
            <w:pPr>
              <w:spacing w:line="360" w:lineRule="exact"/>
              <w:ind w:firstLine="422" w:firstLineChars="200"/>
              <w:jc w:val="both"/>
              <w:rPr>
                <w:rFonts w:ascii="Times New Roman" w:hAnsi="Times New Roman"/>
                <w:b/>
                <w:color w:val="auto"/>
                <w:sz w:val="21"/>
                <w:szCs w:val="21"/>
              </w:rPr>
            </w:pPr>
            <w:r>
              <w:rPr>
                <w:rFonts w:hint="eastAsia" w:ascii="Times New Roman" w:hAnsi="宋体"/>
                <w:b/>
                <w:color w:val="auto"/>
                <w:sz w:val="21"/>
                <w:szCs w:val="21"/>
              </w:rPr>
              <w:t>（</w:t>
            </w:r>
            <w:r>
              <w:rPr>
                <w:rFonts w:ascii="Times New Roman" w:hAnsi="Times New Roman"/>
                <w:b/>
                <w:color w:val="auto"/>
                <w:sz w:val="21"/>
                <w:szCs w:val="21"/>
              </w:rPr>
              <w:t>2</w:t>
            </w:r>
            <w:r>
              <w:rPr>
                <w:rFonts w:hint="eastAsia" w:ascii="Times New Roman" w:hAnsi="宋体"/>
                <w:b/>
                <w:color w:val="auto"/>
                <w:sz w:val="21"/>
                <w:szCs w:val="21"/>
              </w:rPr>
              <w:t>）评标价的平均值的计算：</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①除按第二章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ascii="Times New Roman" w:hAnsi="宋体"/>
                <w:color w:val="auto"/>
                <w:sz w:val="21"/>
                <w:szCs w:val="21"/>
              </w:rPr>
              <w:t xml:space="preserve"> </w:t>
            </w:r>
            <w:r>
              <w:rPr>
                <w:rFonts w:hint="eastAsia" w:ascii="Times New Roman" w:hAnsi="宋体"/>
                <w:color w:val="auto"/>
                <w:sz w:val="21"/>
                <w:szCs w:val="21"/>
              </w:rPr>
              <w:t>第</w:t>
            </w:r>
            <w:r>
              <w:rPr>
                <w:rFonts w:ascii="Times New Roman" w:hAnsi="Times New Roman"/>
                <w:color w:val="auto"/>
                <w:sz w:val="21"/>
                <w:szCs w:val="21"/>
              </w:rPr>
              <w:t>5.2.4</w:t>
            </w:r>
            <w:r>
              <w:rPr>
                <w:rFonts w:hint="eastAsia" w:ascii="Times New Roman" w:hAnsi="宋体"/>
                <w:color w:val="auto"/>
                <w:sz w:val="21"/>
                <w:szCs w:val="21"/>
              </w:rPr>
              <w:t>项规定开标现场被宣布为不进入评标基准价计算的投标报价之外，所有投标人的评标价去掉一个最高值和一个最低值后的算术平均值即为评标价平均值（如果参与评标价平均值计算的有效投标人少于</w:t>
            </w:r>
            <w:r>
              <w:rPr>
                <w:rFonts w:ascii="Times New Roman" w:hAnsi="Times New Roman"/>
                <w:color w:val="auto"/>
                <w:sz w:val="21"/>
                <w:szCs w:val="21"/>
              </w:rPr>
              <w:t>5</w:t>
            </w:r>
            <w:r>
              <w:rPr>
                <w:rFonts w:hint="eastAsia" w:ascii="Times New Roman" w:hAnsi="宋体"/>
                <w:color w:val="auto"/>
                <w:sz w:val="21"/>
                <w:szCs w:val="21"/>
              </w:rPr>
              <w:t>家时，则计算评标价平均值时不去掉最高值和最低值）。</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②参与评标价平均值计算的评标价范围：最高投标限价的</w:t>
            </w:r>
            <w:r>
              <w:rPr>
                <w:rFonts w:ascii="Times New Roman" w:hAnsi="Times New Roman"/>
                <w:color w:val="auto"/>
                <w:sz w:val="21"/>
                <w:szCs w:val="21"/>
              </w:rPr>
              <w:t>85%≤</w:t>
            </w:r>
            <w:r>
              <w:rPr>
                <w:rFonts w:hint="eastAsia" w:ascii="Times New Roman" w:hAnsi="宋体"/>
                <w:color w:val="auto"/>
                <w:sz w:val="21"/>
                <w:szCs w:val="21"/>
              </w:rPr>
              <w:t>参与评标价平均值计算的评标价</w:t>
            </w:r>
            <w:r>
              <w:rPr>
                <w:rFonts w:ascii="Times New Roman" w:hAnsi="Times New Roman"/>
                <w:color w:val="auto"/>
                <w:sz w:val="21"/>
                <w:szCs w:val="21"/>
              </w:rPr>
              <w:t>≤</w:t>
            </w:r>
            <w:r>
              <w:rPr>
                <w:rFonts w:hint="eastAsia" w:ascii="Times New Roman" w:hAnsi="宋体"/>
                <w:color w:val="auto"/>
                <w:sz w:val="21"/>
                <w:szCs w:val="21"/>
              </w:rPr>
              <w:t>最高投标限价的</w:t>
            </w:r>
            <w:r>
              <w:rPr>
                <w:rFonts w:ascii="Times New Roman" w:hAnsi="Times New Roman"/>
                <w:color w:val="auto"/>
                <w:sz w:val="21"/>
                <w:szCs w:val="21"/>
              </w:rPr>
              <w:t>100%</w:t>
            </w:r>
            <w:r>
              <w:rPr>
                <w:rFonts w:hint="eastAsia" w:ascii="Times New Roman" w:hAnsi="宋体"/>
                <w:color w:val="auto"/>
                <w:sz w:val="21"/>
                <w:szCs w:val="21"/>
              </w:rPr>
              <w:t>；（注：小于最高投标限价的</w:t>
            </w:r>
            <w:r>
              <w:rPr>
                <w:rFonts w:ascii="Times New Roman" w:hAnsi="Times New Roman"/>
                <w:color w:val="auto"/>
                <w:sz w:val="21"/>
                <w:szCs w:val="21"/>
              </w:rPr>
              <w:t>85%</w:t>
            </w:r>
            <w:r>
              <w:rPr>
                <w:rFonts w:hint="eastAsia" w:ascii="Times New Roman" w:hAnsi="宋体"/>
                <w:color w:val="auto"/>
                <w:sz w:val="21"/>
                <w:szCs w:val="21"/>
              </w:rPr>
              <w:t>的评标价不参与评标价平均值的计算，但仍参与评标价的得分计算。）</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③若投标人的评标价均小于最高投标限价的</w:t>
            </w:r>
            <w:r>
              <w:rPr>
                <w:rFonts w:ascii="Times New Roman" w:hAnsi="Times New Roman"/>
                <w:color w:val="auto"/>
                <w:sz w:val="21"/>
                <w:szCs w:val="21"/>
              </w:rPr>
              <w:t>85%</w:t>
            </w:r>
            <w:r>
              <w:rPr>
                <w:rFonts w:hint="eastAsia" w:ascii="Times New Roman" w:hAnsi="宋体"/>
                <w:color w:val="auto"/>
                <w:sz w:val="21"/>
                <w:szCs w:val="21"/>
              </w:rPr>
              <w:t>时，则以最高投标限价的</w:t>
            </w:r>
            <w:r>
              <w:rPr>
                <w:rFonts w:ascii="Times New Roman" w:hAnsi="Times New Roman"/>
                <w:color w:val="auto"/>
                <w:sz w:val="21"/>
                <w:szCs w:val="21"/>
              </w:rPr>
              <w:t>85%</w:t>
            </w:r>
            <w:r>
              <w:rPr>
                <w:rFonts w:hint="eastAsia" w:ascii="Times New Roman" w:hAnsi="宋体"/>
                <w:color w:val="auto"/>
                <w:sz w:val="21"/>
                <w:szCs w:val="21"/>
              </w:rPr>
              <w:t>为评标价平均值。</w:t>
            </w:r>
          </w:p>
          <w:p>
            <w:pPr>
              <w:spacing w:line="360" w:lineRule="exact"/>
              <w:ind w:firstLine="422" w:firstLineChars="200"/>
              <w:jc w:val="both"/>
              <w:rPr>
                <w:rFonts w:ascii="Times New Roman" w:hAnsi="Times New Roman"/>
                <w:b/>
                <w:color w:val="auto"/>
                <w:sz w:val="21"/>
                <w:szCs w:val="21"/>
              </w:rPr>
            </w:pPr>
            <w:r>
              <w:rPr>
                <w:rFonts w:hint="eastAsia" w:ascii="Times New Roman" w:hAnsi="宋体"/>
                <w:b/>
                <w:color w:val="auto"/>
                <w:sz w:val="21"/>
                <w:szCs w:val="21"/>
              </w:rPr>
              <w:t>（</w:t>
            </w:r>
            <w:r>
              <w:rPr>
                <w:rFonts w:ascii="Times New Roman" w:hAnsi="Times New Roman"/>
                <w:b/>
                <w:color w:val="auto"/>
                <w:sz w:val="21"/>
                <w:szCs w:val="21"/>
              </w:rPr>
              <w:t>3</w:t>
            </w:r>
            <w:r>
              <w:rPr>
                <w:rFonts w:hint="eastAsia" w:ascii="Times New Roman" w:hAnsi="宋体"/>
                <w:b/>
                <w:color w:val="auto"/>
                <w:sz w:val="21"/>
                <w:szCs w:val="21"/>
              </w:rPr>
              <w:t>）评标基准价的确定：</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将评标价平均值直接作为评标基准价</w:t>
            </w:r>
          </w:p>
          <w:p>
            <w:pPr>
              <w:spacing w:line="360" w:lineRule="exact"/>
              <w:ind w:firstLine="420" w:firstLineChars="200"/>
              <w:jc w:val="both"/>
              <w:rPr>
                <w:rFonts w:ascii="Times New Roman" w:hAnsi="宋体"/>
                <w:color w:val="auto"/>
                <w:sz w:val="21"/>
                <w:szCs w:val="21"/>
              </w:rPr>
            </w:pPr>
            <w:r>
              <w:rPr>
                <w:rFonts w:hint="eastAsia" w:ascii="Times New Roman" w:hAnsi="宋体"/>
                <w:color w:val="auto"/>
                <w:sz w:val="21"/>
                <w:szCs w:val="21"/>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360" w:lineRule="exact"/>
              <w:ind w:firstLine="420" w:firstLineChars="200"/>
              <w:jc w:val="both"/>
              <w:rPr>
                <w:rFonts w:ascii="Times New Roman" w:hAnsi="Times New Roman"/>
                <w:color w:val="auto"/>
                <w:sz w:val="21"/>
                <w:szCs w:val="21"/>
              </w:rPr>
            </w:pPr>
            <w:r>
              <w:rPr>
                <w:rFonts w:hint="eastAsia" w:ascii="Times New Roman" w:hAnsi="宋体"/>
                <w:color w:val="auto"/>
                <w:sz w:val="21"/>
                <w:szCs w:val="21"/>
              </w:rPr>
              <w:t>注：评标价平均值、评标基准价的计算均四舍五入至个位整数。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994" w:type="dxa"/>
            <w:noWrap/>
            <w:vAlign w:val="center"/>
          </w:tcPr>
          <w:p>
            <w:pPr>
              <w:wordWrap w:val="0"/>
              <w:topLinePunct/>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2.2.3</w:t>
            </w:r>
          </w:p>
        </w:tc>
        <w:tc>
          <w:tcPr>
            <w:tcW w:w="1634" w:type="dxa"/>
            <w:noWrap/>
            <w:vAlign w:val="center"/>
          </w:tcPr>
          <w:p>
            <w:pPr>
              <w:wordWrap w:val="0"/>
              <w:topLinePunct/>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评标价的偏差率计算公式</w:t>
            </w:r>
          </w:p>
        </w:tc>
        <w:tc>
          <w:tcPr>
            <w:tcW w:w="5894" w:type="dxa"/>
            <w:noWrap/>
            <w:vAlign w:val="center"/>
          </w:tcPr>
          <w:p>
            <w:pPr>
              <w:spacing w:line="360" w:lineRule="exact"/>
              <w:jc w:val="both"/>
              <w:rPr>
                <w:rFonts w:ascii="Times New Roman" w:hAnsi="Times New Roman"/>
                <w:color w:val="auto"/>
                <w:sz w:val="21"/>
                <w:szCs w:val="21"/>
              </w:rPr>
            </w:pPr>
            <w:r>
              <w:rPr>
                <w:rFonts w:hint="eastAsia" w:ascii="Times New Roman" w:hAnsi="宋体"/>
                <w:color w:val="auto"/>
                <w:sz w:val="21"/>
                <w:szCs w:val="21"/>
              </w:rPr>
              <w:t>偏差率</w:t>
            </w:r>
            <w:r>
              <w:rPr>
                <w:rFonts w:ascii="Times New Roman" w:hAnsi="Times New Roman"/>
                <w:color w:val="auto"/>
                <w:sz w:val="21"/>
                <w:szCs w:val="21"/>
              </w:rPr>
              <w:t>=100% ×</w:t>
            </w:r>
            <w:r>
              <w:rPr>
                <w:rFonts w:hint="eastAsia" w:ascii="Times New Roman" w:hAnsi="宋体"/>
                <w:color w:val="auto"/>
                <w:sz w:val="21"/>
                <w:szCs w:val="21"/>
              </w:rPr>
              <w:t>（投标人评标价－评标基准价）</w:t>
            </w:r>
            <w:r>
              <w:rPr>
                <w:rFonts w:ascii="Times New Roman" w:hAnsi="Times New Roman"/>
                <w:color w:val="auto"/>
                <w:sz w:val="21"/>
                <w:szCs w:val="21"/>
              </w:rPr>
              <w:t>/</w:t>
            </w:r>
            <w:r>
              <w:rPr>
                <w:rFonts w:hint="eastAsia" w:ascii="Times New Roman" w:hAnsi="宋体"/>
                <w:color w:val="auto"/>
                <w:sz w:val="21"/>
                <w:szCs w:val="21"/>
              </w:rPr>
              <w:t>评标基准价</w:t>
            </w:r>
          </w:p>
        </w:tc>
      </w:tr>
    </w:tbl>
    <w:p>
      <w:pPr>
        <w:jc w:val="center"/>
        <w:rPr>
          <w:rFonts w:ascii="Times New Roman" w:hAnsi="Times New Roman"/>
          <w:b/>
          <w:color w:val="auto"/>
        </w:rPr>
      </w:pPr>
    </w:p>
    <w:p>
      <w:pPr>
        <w:jc w:val="center"/>
        <w:rPr>
          <w:rFonts w:ascii="Times New Roman" w:hAnsi="Times New Roman"/>
          <w:b/>
          <w:color w:val="auto"/>
        </w:rPr>
      </w:pPr>
    </w:p>
    <w:p>
      <w:pPr>
        <w:jc w:val="center"/>
        <w:rPr>
          <w:rFonts w:ascii="Times New Roman" w:hAnsi="Times New Roman"/>
          <w:b/>
          <w:color w:val="auto"/>
        </w:rPr>
      </w:pPr>
    </w:p>
    <w:p>
      <w:pPr>
        <w:jc w:val="right"/>
        <w:rPr>
          <w:rFonts w:ascii="Times New Roman" w:hAnsi="Times New Roman"/>
          <w:color w:val="auto"/>
        </w:rPr>
      </w:pPr>
      <w:r>
        <w:rPr>
          <w:rFonts w:ascii="Times New Roman" w:hAnsi="Times New Roman"/>
          <w:b/>
          <w:color w:val="auto"/>
        </w:rPr>
        <w:br w:type="page"/>
      </w:r>
      <w:r>
        <w:rPr>
          <w:rFonts w:hint="eastAsia" w:ascii="Times New Roman"/>
          <w:b/>
          <w:color w:val="auto"/>
        </w:rPr>
        <w:t>续上表</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806"/>
        <w:gridCol w:w="683"/>
        <w:gridCol w:w="1390"/>
        <w:gridCol w:w="677"/>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320" w:type="dxa"/>
            <w:gridSpan w:val="5"/>
            <w:noWrap/>
            <w:vAlign w:val="center"/>
          </w:tcPr>
          <w:p>
            <w:pPr>
              <w:spacing w:line="276" w:lineRule="auto"/>
              <w:jc w:val="center"/>
              <w:rPr>
                <w:rFonts w:ascii="Times New Roman" w:hAnsi="Times New Roman"/>
                <w:color w:val="auto"/>
                <w:sz w:val="21"/>
                <w:szCs w:val="21"/>
              </w:rPr>
            </w:pPr>
            <w:bookmarkStart w:id="0" w:name="OLE_LINK1" w:colFirst="0" w:colLast="5"/>
            <w:r>
              <w:rPr>
                <w:rFonts w:hint="eastAsia" w:ascii="Times New Roman" w:hAnsi="宋体"/>
                <w:b/>
                <w:color w:val="auto"/>
                <w:sz w:val="21"/>
                <w:szCs w:val="21"/>
              </w:rPr>
              <w:t>评审因素与评分值</w:t>
            </w:r>
          </w:p>
        </w:tc>
        <w:tc>
          <w:tcPr>
            <w:tcW w:w="4184" w:type="dxa"/>
            <w:vMerge w:val="restart"/>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条款号</w:t>
            </w:r>
          </w:p>
        </w:tc>
        <w:tc>
          <w:tcPr>
            <w:tcW w:w="806" w:type="dxa"/>
            <w:noWrap/>
            <w:vAlign w:val="center"/>
          </w:tcPr>
          <w:p>
            <w:pPr>
              <w:spacing w:line="276" w:lineRule="auto"/>
              <w:jc w:val="center"/>
              <w:rPr>
                <w:rFonts w:ascii="Times New Roman" w:hAnsi="Times New Roman"/>
                <w:b/>
                <w:color w:val="auto"/>
                <w:sz w:val="21"/>
                <w:szCs w:val="21"/>
              </w:rPr>
            </w:pPr>
            <w:r>
              <w:rPr>
                <w:rFonts w:hint="eastAsia" w:ascii="Times New Roman" w:hAnsi="宋体"/>
                <w:b/>
                <w:color w:val="auto"/>
                <w:sz w:val="21"/>
                <w:szCs w:val="21"/>
              </w:rPr>
              <w:t>评审</w:t>
            </w:r>
          </w:p>
          <w:p>
            <w:pPr>
              <w:spacing w:line="276" w:lineRule="auto"/>
              <w:jc w:val="center"/>
              <w:rPr>
                <w:rFonts w:ascii="Times New Roman" w:hAnsi="Times New Roman"/>
                <w:color w:val="auto"/>
                <w:sz w:val="21"/>
                <w:szCs w:val="21"/>
              </w:rPr>
            </w:pPr>
            <w:r>
              <w:rPr>
                <w:rFonts w:hint="eastAsia" w:ascii="Times New Roman" w:hAnsi="宋体"/>
                <w:b/>
                <w:color w:val="auto"/>
                <w:sz w:val="21"/>
                <w:szCs w:val="21"/>
              </w:rPr>
              <w:t>因素</w:t>
            </w:r>
          </w:p>
        </w:tc>
        <w:tc>
          <w:tcPr>
            <w:tcW w:w="683" w:type="dxa"/>
            <w:noWrap/>
            <w:vAlign w:val="center"/>
          </w:tcPr>
          <w:p>
            <w:pPr>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评分因素权重分值</w:t>
            </w:r>
          </w:p>
        </w:tc>
        <w:tc>
          <w:tcPr>
            <w:tcW w:w="1390"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各评审因素细分项</w:t>
            </w:r>
          </w:p>
        </w:tc>
        <w:tc>
          <w:tcPr>
            <w:tcW w:w="677"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分值</w:t>
            </w:r>
          </w:p>
        </w:tc>
        <w:tc>
          <w:tcPr>
            <w:tcW w:w="4184" w:type="dxa"/>
            <w:vMerge w:val="continue"/>
            <w:noWrap/>
            <w:vAlign w:val="center"/>
          </w:tcPr>
          <w:p>
            <w:pPr>
              <w:spacing w:line="276" w:lineRule="auto"/>
              <w:jc w:val="both"/>
              <w:rPr>
                <w:rFonts w:ascii="Times New Roman" w:hAnsi="Times New Roman"/>
                <w:color w:val="auto"/>
                <w:sz w:val="21"/>
                <w:szCs w:val="21"/>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vMerge w:val="restart"/>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2.2.4</w:t>
            </w:r>
          </w:p>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(1)</w:t>
            </w:r>
          </w:p>
        </w:tc>
        <w:tc>
          <w:tcPr>
            <w:tcW w:w="806" w:type="dxa"/>
            <w:vMerge w:val="restart"/>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技术建议书</w:t>
            </w:r>
          </w:p>
        </w:tc>
        <w:tc>
          <w:tcPr>
            <w:tcW w:w="683" w:type="dxa"/>
            <w:vMerge w:val="restart"/>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u w:val="single"/>
              </w:rPr>
              <w:t>35</w:t>
            </w:r>
            <w:r>
              <w:rPr>
                <w:rFonts w:hint="eastAsia" w:ascii="Times New Roman" w:hAnsi="宋体"/>
                <w:color w:val="auto"/>
                <w:sz w:val="21"/>
                <w:szCs w:val="21"/>
              </w:rPr>
              <w:t>分</w:t>
            </w:r>
          </w:p>
        </w:tc>
        <w:tc>
          <w:tcPr>
            <w:tcW w:w="1390"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对招标项目设计的理解和总体设计思路</w:t>
            </w:r>
          </w:p>
        </w:tc>
        <w:tc>
          <w:tcPr>
            <w:tcW w:w="677" w:type="dxa"/>
            <w:noWrap/>
            <w:vAlign w:val="center"/>
          </w:tcPr>
          <w:p>
            <w:pPr>
              <w:adjustRightInd/>
              <w:spacing w:line="360" w:lineRule="exact"/>
              <w:jc w:val="both"/>
              <w:rPr>
                <w:rFonts w:ascii="Times New Roman" w:hAnsi="Times New Roman"/>
                <w:color w:val="auto"/>
                <w:sz w:val="21"/>
                <w:szCs w:val="21"/>
              </w:rPr>
            </w:pPr>
            <w:r>
              <w:rPr>
                <w:rFonts w:ascii="Times New Roman" w:hAnsi="Times New Roman"/>
                <w:color w:val="auto"/>
                <w:sz w:val="21"/>
                <w:szCs w:val="21"/>
                <w:u w:val="single"/>
              </w:rPr>
              <w:t>10</w:t>
            </w:r>
            <w:r>
              <w:rPr>
                <w:rFonts w:hint="eastAsia" w:ascii="Times New Roman" w:hAnsi="宋体"/>
                <w:color w:val="auto"/>
                <w:sz w:val="21"/>
                <w:szCs w:val="21"/>
              </w:rPr>
              <w:t>分</w:t>
            </w:r>
          </w:p>
        </w:tc>
        <w:tc>
          <w:tcPr>
            <w:tcW w:w="4184" w:type="dxa"/>
            <w:noWrap/>
            <w:vAlign w:val="center"/>
          </w:tcPr>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根据对设计工作范围和任务描述准确程度和总体设计思路清晰、切实可行程度：</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思路清晰、切实可行程度高，得</w:t>
            </w:r>
            <w:r>
              <w:rPr>
                <w:rFonts w:ascii="Times New Roman" w:hAnsi="Times New Roman"/>
                <w:color w:val="auto"/>
                <w:sz w:val="21"/>
                <w:szCs w:val="21"/>
                <w:u w:val="single"/>
              </w:rPr>
              <w:t>8.0</w:t>
            </w:r>
            <w:r>
              <w:rPr>
                <w:rFonts w:hint="eastAsia" w:ascii="Times New Roman" w:hAnsi="宋体"/>
                <w:color w:val="auto"/>
                <w:sz w:val="21"/>
                <w:szCs w:val="21"/>
              </w:rPr>
              <w:t>～</w:t>
            </w:r>
            <w:r>
              <w:rPr>
                <w:rFonts w:ascii="Times New Roman" w:hAnsi="Times New Roman"/>
                <w:color w:val="auto"/>
                <w:sz w:val="21"/>
                <w:szCs w:val="21"/>
                <w:u w:val="single"/>
              </w:rPr>
              <w:t>10.0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pacing w:val="-4"/>
                <w:sz w:val="21"/>
                <w:szCs w:val="21"/>
              </w:rPr>
            </w:pPr>
            <w:r>
              <w:rPr>
                <w:rFonts w:hint="eastAsia" w:ascii="Times New Roman" w:hAnsi="宋体"/>
                <w:color w:val="auto"/>
                <w:spacing w:val="-4"/>
                <w:sz w:val="21"/>
                <w:szCs w:val="21"/>
              </w:rPr>
              <w:t>思路较清晰、切实可行程度较好，得</w:t>
            </w:r>
            <w:r>
              <w:rPr>
                <w:rFonts w:ascii="Times New Roman" w:hAnsi="Times New Roman"/>
                <w:color w:val="auto"/>
                <w:spacing w:val="-4"/>
                <w:sz w:val="21"/>
                <w:szCs w:val="21"/>
                <w:u w:val="single"/>
              </w:rPr>
              <w:t>6.0</w:t>
            </w:r>
            <w:r>
              <w:rPr>
                <w:rFonts w:hint="eastAsia" w:ascii="Times New Roman" w:hAnsi="宋体"/>
                <w:color w:val="auto"/>
                <w:spacing w:val="-4"/>
                <w:sz w:val="21"/>
                <w:szCs w:val="21"/>
              </w:rPr>
              <w:t>～</w:t>
            </w:r>
            <w:r>
              <w:rPr>
                <w:rFonts w:ascii="Times New Roman" w:hAnsi="Times New Roman"/>
                <w:color w:val="auto"/>
                <w:spacing w:val="-4"/>
                <w:sz w:val="21"/>
                <w:szCs w:val="21"/>
                <w:u w:val="single"/>
              </w:rPr>
              <w:t>8.0</w:t>
            </w:r>
            <w:r>
              <w:rPr>
                <w:rFonts w:hint="eastAsia" w:ascii="Times New Roman" w:hAnsi="宋体"/>
                <w:color w:val="auto"/>
                <w:spacing w:val="-4"/>
                <w:sz w:val="21"/>
                <w:szCs w:val="21"/>
              </w:rPr>
              <w:t>分；</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思路清楚、切实可行，得</w:t>
            </w:r>
            <w:r>
              <w:rPr>
                <w:rFonts w:ascii="Times New Roman" w:hAnsi="Times New Roman"/>
                <w:color w:val="auto"/>
                <w:sz w:val="21"/>
                <w:szCs w:val="21"/>
                <w:u w:val="single"/>
              </w:rPr>
              <w:t>6.0</w:t>
            </w:r>
            <w:r>
              <w:rPr>
                <w:rFonts w:hint="eastAsia" w:ascii="Times New Roman"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vMerge w:val="continue"/>
            <w:noWrap/>
            <w:vAlign w:val="center"/>
          </w:tcPr>
          <w:p>
            <w:pPr>
              <w:spacing w:line="276" w:lineRule="auto"/>
              <w:jc w:val="both"/>
              <w:rPr>
                <w:rFonts w:ascii="Times New Roman" w:hAnsi="Times New Roman"/>
                <w:color w:val="auto"/>
                <w:sz w:val="21"/>
                <w:szCs w:val="21"/>
              </w:rPr>
            </w:pPr>
          </w:p>
        </w:tc>
        <w:tc>
          <w:tcPr>
            <w:tcW w:w="806" w:type="dxa"/>
            <w:vMerge w:val="continue"/>
            <w:noWrap/>
            <w:vAlign w:val="center"/>
          </w:tcPr>
          <w:p>
            <w:pPr>
              <w:adjustRightInd/>
              <w:spacing w:line="276" w:lineRule="auto"/>
              <w:jc w:val="both"/>
              <w:rPr>
                <w:rFonts w:ascii="Times New Roman" w:hAnsi="Times New Roman"/>
                <w:color w:val="auto"/>
                <w:sz w:val="21"/>
                <w:szCs w:val="21"/>
              </w:rPr>
            </w:pPr>
          </w:p>
        </w:tc>
        <w:tc>
          <w:tcPr>
            <w:tcW w:w="683" w:type="dxa"/>
            <w:vMerge w:val="continue"/>
            <w:noWrap/>
            <w:vAlign w:val="center"/>
          </w:tcPr>
          <w:p>
            <w:pPr>
              <w:adjustRightInd/>
              <w:spacing w:line="276" w:lineRule="auto"/>
              <w:jc w:val="both"/>
              <w:rPr>
                <w:rFonts w:ascii="Times New Roman" w:hAnsi="Times New Roman"/>
                <w:color w:val="auto"/>
                <w:sz w:val="21"/>
                <w:szCs w:val="21"/>
              </w:rPr>
            </w:pPr>
          </w:p>
        </w:tc>
        <w:tc>
          <w:tcPr>
            <w:tcW w:w="1390"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招标项目设计的特点、关键技术问题的认识及其对策措施</w:t>
            </w:r>
          </w:p>
        </w:tc>
        <w:tc>
          <w:tcPr>
            <w:tcW w:w="677" w:type="dxa"/>
            <w:noWrap/>
            <w:vAlign w:val="center"/>
          </w:tcPr>
          <w:p>
            <w:pPr>
              <w:adjustRightInd/>
              <w:spacing w:line="360" w:lineRule="exact"/>
              <w:jc w:val="both"/>
              <w:rPr>
                <w:rFonts w:ascii="Times New Roman" w:hAnsi="Times New Roman"/>
                <w:color w:val="auto"/>
                <w:sz w:val="21"/>
                <w:szCs w:val="21"/>
              </w:rPr>
            </w:pPr>
            <w:r>
              <w:rPr>
                <w:rFonts w:ascii="Times New Roman" w:hAnsi="Times New Roman"/>
                <w:color w:val="auto"/>
                <w:sz w:val="21"/>
                <w:szCs w:val="21"/>
                <w:u w:val="single"/>
              </w:rPr>
              <w:t>10</w:t>
            </w:r>
            <w:r>
              <w:rPr>
                <w:rFonts w:hint="eastAsia" w:ascii="Times New Roman" w:hAnsi="宋体"/>
                <w:color w:val="auto"/>
                <w:sz w:val="21"/>
                <w:szCs w:val="21"/>
              </w:rPr>
              <w:t>分</w:t>
            </w:r>
          </w:p>
        </w:tc>
        <w:tc>
          <w:tcPr>
            <w:tcW w:w="4184" w:type="dxa"/>
            <w:noWrap/>
            <w:vAlign w:val="center"/>
          </w:tcPr>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根据对项目特点、关键技术问题（旧路如何综合利用）的把握程度和初步设计应着重解决的技术问题所提出处理措施的可行性程度：</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可行性程度高，得</w:t>
            </w:r>
            <w:r>
              <w:rPr>
                <w:rFonts w:ascii="Times New Roman" w:hAnsi="Times New Roman"/>
                <w:color w:val="auto"/>
                <w:sz w:val="21"/>
                <w:szCs w:val="21"/>
                <w:u w:val="single"/>
              </w:rPr>
              <w:t>8.0</w:t>
            </w:r>
            <w:r>
              <w:rPr>
                <w:rFonts w:hint="eastAsia" w:ascii="Times New Roman" w:hAnsi="宋体"/>
                <w:color w:val="auto"/>
                <w:sz w:val="21"/>
                <w:szCs w:val="21"/>
              </w:rPr>
              <w:t>～</w:t>
            </w:r>
            <w:r>
              <w:rPr>
                <w:rFonts w:ascii="Times New Roman" w:hAnsi="Times New Roman"/>
                <w:color w:val="auto"/>
                <w:sz w:val="21"/>
                <w:szCs w:val="21"/>
                <w:u w:val="single"/>
              </w:rPr>
              <w:t>10.0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可行性程度较好，得</w:t>
            </w:r>
            <w:r>
              <w:rPr>
                <w:rFonts w:ascii="Times New Roman" w:hAnsi="Times New Roman"/>
                <w:color w:val="auto"/>
                <w:sz w:val="21"/>
                <w:szCs w:val="21"/>
                <w:u w:val="single"/>
              </w:rPr>
              <w:t>6.0</w:t>
            </w:r>
            <w:r>
              <w:rPr>
                <w:rFonts w:hint="eastAsia" w:ascii="Times New Roman" w:hAnsi="宋体"/>
                <w:color w:val="auto"/>
                <w:sz w:val="21"/>
                <w:szCs w:val="21"/>
              </w:rPr>
              <w:t>～</w:t>
            </w:r>
            <w:r>
              <w:rPr>
                <w:rFonts w:ascii="Times New Roman" w:hAnsi="Times New Roman"/>
                <w:color w:val="auto"/>
                <w:sz w:val="21"/>
                <w:szCs w:val="21"/>
                <w:u w:val="single"/>
              </w:rPr>
              <w:t>8.0</w:t>
            </w:r>
            <w:r>
              <w:rPr>
                <w:rFonts w:hint="eastAsia" w:ascii="Times New Roman" w:hAnsi="宋体"/>
                <w:color w:val="auto"/>
                <w:sz w:val="21"/>
                <w:szCs w:val="21"/>
              </w:rPr>
              <w:t>分；</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措施可行，得</w:t>
            </w:r>
            <w:r>
              <w:rPr>
                <w:rFonts w:ascii="Times New Roman" w:hAnsi="Times New Roman"/>
                <w:color w:val="auto"/>
                <w:sz w:val="21"/>
                <w:szCs w:val="21"/>
                <w:u w:val="single"/>
              </w:rPr>
              <w:t>6.0</w:t>
            </w:r>
            <w:r>
              <w:rPr>
                <w:rFonts w:hint="eastAsia" w:ascii="Times New Roman"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vMerge w:val="continue"/>
            <w:noWrap/>
            <w:vAlign w:val="center"/>
          </w:tcPr>
          <w:p>
            <w:pPr>
              <w:spacing w:line="276" w:lineRule="auto"/>
              <w:jc w:val="both"/>
              <w:rPr>
                <w:rFonts w:ascii="Times New Roman" w:hAnsi="Times New Roman"/>
                <w:color w:val="auto"/>
                <w:sz w:val="21"/>
                <w:szCs w:val="21"/>
              </w:rPr>
            </w:pPr>
          </w:p>
        </w:tc>
        <w:tc>
          <w:tcPr>
            <w:tcW w:w="806" w:type="dxa"/>
            <w:vMerge w:val="continue"/>
            <w:noWrap/>
            <w:vAlign w:val="center"/>
          </w:tcPr>
          <w:p>
            <w:pPr>
              <w:adjustRightInd/>
              <w:spacing w:line="276" w:lineRule="auto"/>
              <w:jc w:val="both"/>
              <w:rPr>
                <w:rFonts w:ascii="Times New Roman" w:hAnsi="Times New Roman"/>
                <w:color w:val="auto"/>
                <w:sz w:val="21"/>
                <w:szCs w:val="21"/>
              </w:rPr>
            </w:pPr>
          </w:p>
        </w:tc>
        <w:tc>
          <w:tcPr>
            <w:tcW w:w="683" w:type="dxa"/>
            <w:vMerge w:val="continue"/>
            <w:noWrap/>
            <w:vAlign w:val="center"/>
          </w:tcPr>
          <w:p>
            <w:pPr>
              <w:adjustRightInd/>
              <w:spacing w:line="276" w:lineRule="auto"/>
              <w:jc w:val="both"/>
              <w:rPr>
                <w:rFonts w:ascii="Times New Roman" w:hAnsi="Times New Roman"/>
                <w:color w:val="auto"/>
                <w:sz w:val="21"/>
                <w:szCs w:val="21"/>
              </w:rPr>
            </w:pPr>
          </w:p>
        </w:tc>
        <w:tc>
          <w:tcPr>
            <w:tcW w:w="1390"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设计工作量及计划安排</w:t>
            </w:r>
          </w:p>
        </w:tc>
        <w:tc>
          <w:tcPr>
            <w:tcW w:w="677" w:type="dxa"/>
            <w:noWrap/>
            <w:vAlign w:val="center"/>
          </w:tcPr>
          <w:p>
            <w:pPr>
              <w:adjustRightInd/>
              <w:spacing w:line="360" w:lineRule="exact"/>
              <w:jc w:val="both"/>
              <w:rPr>
                <w:rFonts w:ascii="Times New Roman" w:hAnsi="Times New Roman"/>
                <w:color w:val="auto"/>
                <w:sz w:val="21"/>
                <w:szCs w:val="21"/>
              </w:rPr>
            </w:pPr>
            <w:r>
              <w:rPr>
                <w:rFonts w:ascii="Times New Roman" w:hAnsi="Times New Roman"/>
                <w:color w:val="auto"/>
                <w:sz w:val="21"/>
                <w:szCs w:val="21"/>
                <w:u w:val="single"/>
              </w:rPr>
              <w:t>5</w:t>
            </w:r>
            <w:r>
              <w:rPr>
                <w:rFonts w:hint="eastAsia" w:ascii="Times New Roman" w:hAnsi="宋体"/>
                <w:color w:val="auto"/>
                <w:sz w:val="21"/>
                <w:szCs w:val="21"/>
              </w:rPr>
              <w:t>分</w:t>
            </w:r>
          </w:p>
        </w:tc>
        <w:tc>
          <w:tcPr>
            <w:tcW w:w="4184" w:type="dxa"/>
            <w:noWrap/>
            <w:vAlign w:val="center"/>
          </w:tcPr>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根据工作计划实施、安排的合理程度：</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合理程度高，得</w:t>
            </w:r>
            <w:r>
              <w:rPr>
                <w:rFonts w:ascii="Times New Roman" w:hAnsi="Times New Roman"/>
                <w:color w:val="auto"/>
                <w:sz w:val="21"/>
                <w:szCs w:val="21"/>
                <w:u w:val="single"/>
              </w:rPr>
              <w:t>4.0</w:t>
            </w:r>
            <w:r>
              <w:rPr>
                <w:rFonts w:hint="eastAsia" w:ascii="Times New Roman" w:hAnsi="宋体"/>
                <w:color w:val="auto"/>
                <w:sz w:val="21"/>
                <w:szCs w:val="21"/>
              </w:rPr>
              <w:t>～</w:t>
            </w:r>
            <w:r>
              <w:rPr>
                <w:rFonts w:ascii="Times New Roman" w:hAnsi="Times New Roman"/>
                <w:color w:val="auto"/>
                <w:sz w:val="21"/>
                <w:szCs w:val="21"/>
                <w:u w:val="single"/>
              </w:rPr>
              <w:t>5.0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合理程度较好，得</w:t>
            </w:r>
            <w:r>
              <w:rPr>
                <w:rFonts w:ascii="Times New Roman" w:hAnsi="Times New Roman"/>
                <w:color w:val="auto"/>
                <w:sz w:val="21"/>
                <w:szCs w:val="21"/>
                <w:u w:val="single"/>
              </w:rPr>
              <w:t>3.0</w:t>
            </w:r>
            <w:r>
              <w:rPr>
                <w:rFonts w:hint="eastAsia" w:ascii="Times New Roman" w:hAnsi="宋体"/>
                <w:color w:val="auto"/>
                <w:sz w:val="21"/>
                <w:szCs w:val="21"/>
              </w:rPr>
              <w:t>～</w:t>
            </w:r>
            <w:r>
              <w:rPr>
                <w:rFonts w:ascii="Times New Roman" w:hAnsi="Times New Roman"/>
                <w:color w:val="auto"/>
                <w:sz w:val="21"/>
                <w:szCs w:val="21"/>
                <w:u w:val="single"/>
              </w:rPr>
              <w:t>4.0</w:t>
            </w:r>
            <w:r>
              <w:rPr>
                <w:rFonts w:hint="eastAsia" w:ascii="Times New Roman" w:hAnsi="宋体"/>
                <w:color w:val="auto"/>
                <w:sz w:val="21"/>
                <w:szCs w:val="21"/>
              </w:rPr>
              <w:t>分；</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相对合理，得</w:t>
            </w:r>
            <w:r>
              <w:rPr>
                <w:rFonts w:ascii="Times New Roman" w:hAnsi="Times New Roman"/>
                <w:color w:val="auto"/>
                <w:sz w:val="21"/>
                <w:szCs w:val="21"/>
                <w:u w:val="single"/>
              </w:rPr>
              <w:t>3.0</w:t>
            </w:r>
            <w:r>
              <w:rPr>
                <w:rFonts w:hint="eastAsia" w:ascii="Times New Roman"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vMerge w:val="continue"/>
            <w:noWrap/>
            <w:vAlign w:val="center"/>
          </w:tcPr>
          <w:p>
            <w:pPr>
              <w:spacing w:line="276" w:lineRule="auto"/>
              <w:jc w:val="both"/>
              <w:rPr>
                <w:rFonts w:ascii="Times New Roman" w:hAnsi="Times New Roman"/>
                <w:color w:val="auto"/>
                <w:sz w:val="21"/>
                <w:szCs w:val="21"/>
              </w:rPr>
            </w:pPr>
          </w:p>
        </w:tc>
        <w:tc>
          <w:tcPr>
            <w:tcW w:w="806" w:type="dxa"/>
            <w:vMerge w:val="continue"/>
            <w:noWrap/>
            <w:vAlign w:val="center"/>
          </w:tcPr>
          <w:p>
            <w:pPr>
              <w:adjustRightInd/>
              <w:spacing w:line="276" w:lineRule="auto"/>
              <w:jc w:val="both"/>
              <w:rPr>
                <w:rFonts w:ascii="Times New Roman" w:hAnsi="Times New Roman"/>
                <w:color w:val="auto"/>
                <w:sz w:val="21"/>
                <w:szCs w:val="21"/>
              </w:rPr>
            </w:pPr>
          </w:p>
        </w:tc>
        <w:tc>
          <w:tcPr>
            <w:tcW w:w="683" w:type="dxa"/>
            <w:vMerge w:val="continue"/>
            <w:noWrap/>
            <w:vAlign w:val="center"/>
          </w:tcPr>
          <w:p>
            <w:pPr>
              <w:adjustRightInd/>
              <w:spacing w:line="276" w:lineRule="auto"/>
              <w:jc w:val="both"/>
              <w:rPr>
                <w:rFonts w:ascii="Times New Roman" w:hAnsi="Times New Roman"/>
                <w:color w:val="auto"/>
                <w:sz w:val="21"/>
                <w:szCs w:val="21"/>
                <w:u w:val="single"/>
              </w:rPr>
            </w:pPr>
          </w:p>
        </w:tc>
        <w:tc>
          <w:tcPr>
            <w:tcW w:w="1390"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设计的质量保证措施、进度保证措施</w:t>
            </w:r>
          </w:p>
        </w:tc>
        <w:tc>
          <w:tcPr>
            <w:tcW w:w="677" w:type="dxa"/>
            <w:noWrap/>
            <w:vAlign w:val="center"/>
          </w:tcPr>
          <w:p>
            <w:pPr>
              <w:adjustRightInd/>
              <w:spacing w:line="360" w:lineRule="exact"/>
              <w:jc w:val="both"/>
              <w:rPr>
                <w:rFonts w:ascii="Times New Roman" w:hAnsi="Times New Roman"/>
                <w:color w:val="auto"/>
                <w:sz w:val="21"/>
                <w:szCs w:val="21"/>
                <w:u w:val="single"/>
              </w:rPr>
            </w:pPr>
            <w:r>
              <w:rPr>
                <w:rFonts w:ascii="Times New Roman" w:hAnsi="Times New Roman"/>
                <w:color w:val="auto"/>
                <w:sz w:val="21"/>
                <w:szCs w:val="21"/>
                <w:u w:val="single"/>
              </w:rPr>
              <w:t>5</w:t>
            </w:r>
            <w:r>
              <w:rPr>
                <w:rFonts w:hint="eastAsia" w:ascii="Times New Roman" w:hAnsi="宋体"/>
                <w:color w:val="auto"/>
                <w:sz w:val="21"/>
                <w:szCs w:val="21"/>
              </w:rPr>
              <w:t>分</w:t>
            </w:r>
          </w:p>
        </w:tc>
        <w:tc>
          <w:tcPr>
            <w:tcW w:w="4184" w:type="dxa"/>
            <w:noWrap/>
            <w:vAlign w:val="center"/>
          </w:tcPr>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根据进度和质量保证措施的可实施性：</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可行性程度高，得</w:t>
            </w:r>
            <w:r>
              <w:rPr>
                <w:rFonts w:ascii="Times New Roman" w:hAnsi="Times New Roman"/>
                <w:color w:val="auto"/>
                <w:sz w:val="21"/>
                <w:szCs w:val="21"/>
                <w:u w:val="single"/>
              </w:rPr>
              <w:t>40.</w:t>
            </w:r>
            <w:r>
              <w:rPr>
                <w:rFonts w:hint="eastAsia" w:ascii="Times New Roman" w:hAnsi="宋体"/>
                <w:color w:val="auto"/>
                <w:sz w:val="21"/>
                <w:szCs w:val="21"/>
              </w:rPr>
              <w:t>～</w:t>
            </w:r>
            <w:r>
              <w:rPr>
                <w:rFonts w:ascii="Times New Roman" w:hAnsi="Times New Roman"/>
                <w:color w:val="auto"/>
                <w:sz w:val="21"/>
                <w:szCs w:val="21"/>
                <w:u w:val="single"/>
              </w:rPr>
              <w:t>5.0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可行性程度较好，得</w:t>
            </w:r>
            <w:r>
              <w:rPr>
                <w:rFonts w:ascii="Times New Roman" w:hAnsi="Times New Roman"/>
                <w:color w:val="auto"/>
                <w:sz w:val="21"/>
                <w:szCs w:val="21"/>
                <w:u w:val="single"/>
              </w:rPr>
              <w:t>3.0</w:t>
            </w:r>
            <w:r>
              <w:rPr>
                <w:rFonts w:hint="eastAsia" w:ascii="Times New Roman" w:hAnsi="宋体"/>
                <w:color w:val="auto"/>
                <w:sz w:val="21"/>
                <w:szCs w:val="21"/>
              </w:rPr>
              <w:t>～</w:t>
            </w:r>
            <w:r>
              <w:rPr>
                <w:rFonts w:ascii="Times New Roman" w:hAnsi="Times New Roman"/>
                <w:color w:val="auto"/>
                <w:sz w:val="21"/>
                <w:szCs w:val="21"/>
                <w:u w:val="single"/>
              </w:rPr>
              <w:t>4.0</w:t>
            </w:r>
            <w:r>
              <w:rPr>
                <w:rFonts w:hint="eastAsia" w:ascii="Times New Roman" w:hAnsi="宋体"/>
                <w:color w:val="auto"/>
                <w:sz w:val="21"/>
                <w:szCs w:val="21"/>
              </w:rPr>
              <w:t>分；</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措施可行，得</w:t>
            </w:r>
            <w:r>
              <w:rPr>
                <w:rFonts w:ascii="Times New Roman" w:hAnsi="Times New Roman"/>
                <w:color w:val="auto"/>
                <w:sz w:val="21"/>
                <w:szCs w:val="21"/>
                <w:u w:val="single"/>
              </w:rPr>
              <w:t>3.0</w:t>
            </w:r>
            <w:r>
              <w:rPr>
                <w:rFonts w:hint="eastAsia" w:ascii="Times New Roman"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64" w:type="dxa"/>
            <w:vMerge w:val="continue"/>
            <w:noWrap/>
            <w:vAlign w:val="center"/>
          </w:tcPr>
          <w:p>
            <w:pPr>
              <w:spacing w:line="276" w:lineRule="auto"/>
              <w:jc w:val="both"/>
              <w:rPr>
                <w:rFonts w:ascii="Times New Roman" w:hAnsi="Times New Roman"/>
                <w:color w:val="auto"/>
                <w:sz w:val="21"/>
                <w:szCs w:val="21"/>
              </w:rPr>
            </w:pPr>
          </w:p>
        </w:tc>
        <w:tc>
          <w:tcPr>
            <w:tcW w:w="806" w:type="dxa"/>
            <w:vMerge w:val="continue"/>
            <w:noWrap/>
            <w:vAlign w:val="center"/>
          </w:tcPr>
          <w:p>
            <w:pPr>
              <w:adjustRightInd/>
              <w:spacing w:line="276" w:lineRule="auto"/>
              <w:jc w:val="both"/>
              <w:rPr>
                <w:rFonts w:ascii="Times New Roman" w:hAnsi="Times New Roman"/>
                <w:color w:val="auto"/>
                <w:sz w:val="21"/>
                <w:szCs w:val="21"/>
              </w:rPr>
            </w:pPr>
          </w:p>
        </w:tc>
        <w:tc>
          <w:tcPr>
            <w:tcW w:w="683" w:type="dxa"/>
            <w:vMerge w:val="continue"/>
            <w:noWrap/>
            <w:vAlign w:val="center"/>
          </w:tcPr>
          <w:p>
            <w:pPr>
              <w:adjustRightInd/>
              <w:spacing w:line="276" w:lineRule="auto"/>
              <w:jc w:val="both"/>
              <w:rPr>
                <w:rFonts w:ascii="Times New Roman" w:hAnsi="Times New Roman"/>
                <w:color w:val="auto"/>
                <w:sz w:val="21"/>
                <w:szCs w:val="21"/>
                <w:u w:val="single"/>
              </w:rPr>
            </w:pPr>
          </w:p>
        </w:tc>
        <w:tc>
          <w:tcPr>
            <w:tcW w:w="1390"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后续服务的安排及保证措施</w:t>
            </w:r>
          </w:p>
        </w:tc>
        <w:tc>
          <w:tcPr>
            <w:tcW w:w="677" w:type="dxa"/>
            <w:noWrap/>
            <w:vAlign w:val="center"/>
          </w:tcPr>
          <w:p>
            <w:pPr>
              <w:adjustRightInd/>
              <w:spacing w:line="360" w:lineRule="exact"/>
              <w:jc w:val="both"/>
              <w:rPr>
                <w:rFonts w:ascii="Times New Roman" w:hAnsi="Times New Roman"/>
                <w:color w:val="auto"/>
                <w:sz w:val="21"/>
                <w:szCs w:val="21"/>
                <w:u w:val="single"/>
              </w:rPr>
            </w:pPr>
            <w:r>
              <w:rPr>
                <w:rFonts w:ascii="Times New Roman" w:hAnsi="Times New Roman"/>
                <w:color w:val="auto"/>
                <w:sz w:val="21"/>
                <w:szCs w:val="21"/>
                <w:u w:val="single"/>
              </w:rPr>
              <w:t>5</w:t>
            </w:r>
            <w:r>
              <w:rPr>
                <w:rFonts w:hint="eastAsia" w:ascii="Times New Roman" w:hAnsi="宋体"/>
                <w:color w:val="auto"/>
                <w:sz w:val="21"/>
                <w:szCs w:val="21"/>
              </w:rPr>
              <w:t>分</w:t>
            </w:r>
          </w:p>
        </w:tc>
        <w:tc>
          <w:tcPr>
            <w:tcW w:w="4184" w:type="dxa"/>
            <w:noWrap/>
            <w:vAlign w:val="center"/>
          </w:tcPr>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根据承诺的后续服务机构人员的完善程度：</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完善程度高，得</w:t>
            </w:r>
            <w:r>
              <w:rPr>
                <w:rFonts w:ascii="Times New Roman" w:hAnsi="Times New Roman"/>
                <w:color w:val="auto"/>
                <w:sz w:val="21"/>
                <w:szCs w:val="21"/>
                <w:u w:val="single"/>
              </w:rPr>
              <w:t>4.0</w:t>
            </w:r>
            <w:r>
              <w:rPr>
                <w:rFonts w:hint="eastAsia" w:ascii="Times New Roman" w:hAnsi="宋体"/>
                <w:color w:val="auto"/>
                <w:sz w:val="21"/>
                <w:szCs w:val="21"/>
              </w:rPr>
              <w:t>～</w:t>
            </w:r>
            <w:r>
              <w:rPr>
                <w:rFonts w:ascii="Times New Roman" w:hAnsi="Times New Roman"/>
                <w:color w:val="auto"/>
                <w:sz w:val="21"/>
                <w:szCs w:val="21"/>
                <w:u w:val="single"/>
              </w:rPr>
              <w:t>5.0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完善程度较好，得</w:t>
            </w:r>
            <w:r>
              <w:rPr>
                <w:rFonts w:ascii="Times New Roman" w:hAnsi="Times New Roman"/>
                <w:color w:val="auto"/>
                <w:sz w:val="21"/>
                <w:szCs w:val="21"/>
                <w:u w:val="single"/>
              </w:rPr>
              <w:t>3.0</w:t>
            </w:r>
            <w:r>
              <w:rPr>
                <w:rFonts w:hint="eastAsia" w:ascii="Times New Roman" w:hAnsi="宋体"/>
                <w:color w:val="auto"/>
                <w:sz w:val="21"/>
                <w:szCs w:val="21"/>
              </w:rPr>
              <w:t>～</w:t>
            </w:r>
            <w:r>
              <w:rPr>
                <w:rFonts w:ascii="Times New Roman" w:hAnsi="Times New Roman"/>
                <w:color w:val="auto"/>
                <w:sz w:val="21"/>
                <w:szCs w:val="21"/>
                <w:u w:val="single"/>
              </w:rPr>
              <w:t>4.0</w:t>
            </w:r>
            <w:r>
              <w:rPr>
                <w:rFonts w:hint="eastAsia" w:ascii="Times New Roman" w:hAnsi="宋体"/>
                <w:color w:val="auto"/>
                <w:sz w:val="21"/>
                <w:szCs w:val="21"/>
              </w:rPr>
              <w:t>分；</w:t>
            </w:r>
          </w:p>
          <w:p>
            <w:pPr>
              <w:topLinePunct/>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较为完善，得</w:t>
            </w:r>
            <w:r>
              <w:rPr>
                <w:rFonts w:ascii="Times New Roman" w:hAnsi="Times New Roman"/>
                <w:color w:val="auto"/>
                <w:sz w:val="21"/>
                <w:szCs w:val="21"/>
                <w:u w:val="single"/>
              </w:rPr>
              <w:t>3.0</w:t>
            </w:r>
            <w:r>
              <w:rPr>
                <w:rFonts w:hint="eastAsia" w:ascii="Times New Roman" w:hAnsi="宋体"/>
                <w:color w:val="auto"/>
                <w:sz w:val="21"/>
                <w:szCs w:val="21"/>
              </w:rPr>
              <w:t>分。</w:t>
            </w:r>
          </w:p>
        </w:tc>
      </w:tr>
    </w:tbl>
    <w:p>
      <w:pPr>
        <w:rPr>
          <w:rFonts w:ascii="Times New Roman" w:hAnsi="Times New Roman"/>
          <w:color w:val="auto"/>
        </w:rPr>
      </w:pPr>
      <w:r>
        <w:rPr>
          <w:rFonts w:hint="eastAsia" w:ascii="Times New Roman"/>
          <w:color w:val="auto"/>
        </w:rPr>
        <w:t>注：评标委员会技术评审打分保留一位小数。</w:t>
      </w:r>
    </w:p>
    <w:p>
      <w:pPr>
        <w:jc w:val="right"/>
        <w:rPr>
          <w:rFonts w:ascii="Times New Roman" w:hAnsi="Times New Roman"/>
          <w:b/>
          <w:color w:val="auto"/>
        </w:rPr>
      </w:pPr>
      <w:r>
        <w:rPr>
          <w:rFonts w:ascii="Times New Roman" w:hAnsi="Times New Roman"/>
          <w:b/>
          <w:color w:val="auto"/>
        </w:rPr>
        <w:br w:type="page"/>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350"/>
        <w:gridCol w:w="467"/>
        <w:gridCol w:w="679"/>
        <w:gridCol w:w="1341"/>
        <w:gridCol w:w="719"/>
        <w:gridCol w:w="4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17" w:type="dxa"/>
            <w:gridSpan w:val="6"/>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评审因素与评分值</w:t>
            </w:r>
          </w:p>
        </w:tc>
        <w:tc>
          <w:tcPr>
            <w:tcW w:w="4187" w:type="dxa"/>
            <w:vMerge w:val="restart"/>
            <w:noWrap/>
            <w:vAlign w:val="center"/>
          </w:tcPr>
          <w:p>
            <w:pPr>
              <w:topLinePunct/>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1"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条款号</w:t>
            </w:r>
          </w:p>
        </w:tc>
        <w:tc>
          <w:tcPr>
            <w:tcW w:w="817" w:type="dxa"/>
            <w:gridSpan w:val="2"/>
            <w:noWrap/>
            <w:vAlign w:val="center"/>
          </w:tcPr>
          <w:p>
            <w:pPr>
              <w:spacing w:line="276" w:lineRule="auto"/>
              <w:jc w:val="center"/>
              <w:rPr>
                <w:rFonts w:ascii="Times New Roman" w:hAnsi="Times New Roman"/>
                <w:b/>
                <w:color w:val="auto"/>
                <w:sz w:val="21"/>
                <w:szCs w:val="21"/>
              </w:rPr>
            </w:pPr>
            <w:r>
              <w:rPr>
                <w:rFonts w:hint="eastAsia" w:ascii="Times New Roman" w:hAnsi="宋体"/>
                <w:b/>
                <w:color w:val="auto"/>
                <w:sz w:val="21"/>
                <w:szCs w:val="21"/>
              </w:rPr>
              <w:t>评审</w:t>
            </w:r>
          </w:p>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因素</w:t>
            </w:r>
          </w:p>
        </w:tc>
        <w:tc>
          <w:tcPr>
            <w:tcW w:w="679" w:type="dxa"/>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评分因素权重分值</w:t>
            </w:r>
          </w:p>
        </w:tc>
        <w:tc>
          <w:tcPr>
            <w:tcW w:w="1341"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各评审因素细分项</w:t>
            </w:r>
          </w:p>
        </w:tc>
        <w:tc>
          <w:tcPr>
            <w:tcW w:w="719" w:type="dxa"/>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分值</w:t>
            </w:r>
          </w:p>
        </w:tc>
        <w:tc>
          <w:tcPr>
            <w:tcW w:w="4187" w:type="dxa"/>
            <w:vMerge w:val="continue"/>
            <w:noWrap/>
            <w:vAlign w:val="center"/>
          </w:tcPr>
          <w:p>
            <w:pPr>
              <w:topLinePunct/>
              <w:adjustRightInd/>
              <w:spacing w:line="276" w:lineRule="auto"/>
              <w:jc w:val="both"/>
              <w:rPr>
                <w:rFonts w:ascii="Times New Roman" w:hAnsi="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1" w:type="dxa"/>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2.2.4</w:t>
            </w:r>
          </w:p>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w:t>
            </w:r>
          </w:p>
        </w:tc>
        <w:tc>
          <w:tcPr>
            <w:tcW w:w="817" w:type="dxa"/>
            <w:gridSpan w:val="2"/>
            <w:noWrap/>
            <w:vAlign w:val="center"/>
          </w:tcPr>
          <w:p>
            <w:pPr>
              <w:adjustRightInd/>
              <w:spacing w:line="276" w:lineRule="auto"/>
              <w:jc w:val="both"/>
              <w:rPr>
                <w:rFonts w:ascii="Times New Roman" w:hAnsi="Times New Roman"/>
                <w:color w:val="auto"/>
                <w:sz w:val="21"/>
                <w:szCs w:val="21"/>
              </w:rPr>
            </w:pPr>
            <w:r>
              <w:rPr>
                <w:rFonts w:hint="eastAsia" w:ascii="Times New Roman" w:hAnsi="宋体"/>
                <w:color w:val="auto"/>
                <w:sz w:val="21"/>
                <w:szCs w:val="21"/>
              </w:rPr>
              <w:t>主要</w:t>
            </w:r>
          </w:p>
          <w:p>
            <w:pPr>
              <w:adjustRightInd/>
              <w:spacing w:line="276" w:lineRule="auto"/>
              <w:jc w:val="both"/>
              <w:rPr>
                <w:rFonts w:ascii="Times New Roman" w:hAnsi="Times New Roman"/>
                <w:color w:val="auto"/>
                <w:sz w:val="21"/>
                <w:szCs w:val="21"/>
              </w:rPr>
            </w:pPr>
            <w:r>
              <w:rPr>
                <w:rFonts w:hint="eastAsia" w:ascii="Times New Roman" w:hAnsi="宋体"/>
                <w:color w:val="auto"/>
                <w:sz w:val="21"/>
                <w:szCs w:val="21"/>
              </w:rPr>
              <w:t>人员</w:t>
            </w:r>
          </w:p>
        </w:tc>
        <w:tc>
          <w:tcPr>
            <w:tcW w:w="679" w:type="dxa"/>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u w:val="single"/>
              </w:rPr>
              <w:t>20</w:t>
            </w:r>
            <w:r>
              <w:rPr>
                <w:rFonts w:hint="eastAsia" w:ascii="Times New Roman" w:hAnsi="宋体"/>
                <w:color w:val="auto"/>
                <w:sz w:val="21"/>
                <w:szCs w:val="21"/>
              </w:rPr>
              <w:t>分</w:t>
            </w:r>
          </w:p>
        </w:tc>
        <w:tc>
          <w:tcPr>
            <w:tcW w:w="1341" w:type="dxa"/>
            <w:noWrap/>
            <w:vAlign w:val="center"/>
          </w:tcPr>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项目负责人任职资格与业绩</w:t>
            </w:r>
          </w:p>
        </w:tc>
        <w:tc>
          <w:tcPr>
            <w:tcW w:w="719" w:type="dxa"/>
            <w:noWrap/>
            <w:vAlign w:val="center"/>
          </w:tcPr>
          <w:p>
            <w:pPr>
              <w:adjustRightInd/>
              <w:spacing w:line="360" w:lineRule="exact"/>
              <w:jc w:val="both"/>
              <w:rPr>
                <w:rFonts w:ascii="Times New Roman" w:hAnsi="Times New Roman"/>
                <w:color w:val="auto"/>
                <w:sz w:val="21"/>
                <w:szCs w:val="21"/>
              </w:rPr>
            </w:pPr>
            <w:r>
              <w:rPr>
                <w:rFonts w:ascii="Times New Roman" w:hAnsi="Times New Roman"/>
                <w:color w:val="auto"/>
                <w:sz w:val="21"/>
                <w:szCs w:val="21"/>
                <w:u w:val="single"/>
              </w:rPr>
              <w:t>20</w:t>
            </w:r>
            <w:r>
              <w:rPr>
                <w:rFonts w:hint="eastAsia" w:ascii="Times New Roman" w:hAnsi="宋体"/>
                <w:color w:val="auto"/>
                <w:sz w:val="21"/>
                <w:szCs w:val="21"/>
              </w:rPr>
              <w:t>分</w:t>
            </w:r>
          </w:p>
        </w:tc>
        <w:tc>
          <w:tcPr>
            <w:tcW w:w="4187" w:type="dxa"/>
            <w:noWrap/>
            <w:vAlign w:val="center"/>
          </w:tcPr>
          <w:p>
            <w:pPr>
              <w:topLinePunct/>
              <w:spacing w:line="360" w:lineRule="exact"/>
              <w:contextualSpacing/>
              <w:jc w:val="both"/>
              <w:rPr>
                <w:rFonts w:ascii="Times New Roman" w:hAnsi="Times New Roman"/>
                <w:color w:val="auto"/>
                <w:sz w:val="21"/>
                <w:szCs w:val="21"/>
              </w:rPr>
            </w:pPr>
            <w:r>
              <w:rPr>
                <w:rFonts w:hint="eastAsia" w:ascii="Times New Roman" w:hAnsi="宋体"/>
                <w:color w:val="auto"/>
                <w:sz w:val="21"/>
                <w:szCs w:val="21"/>
              </w:rPr>
              <w:t>满足资格审查条件（项目负责人最低要求），得</w:t>
            </w:r>
            <w:r>
              <w:rPr>
                <w:rFonts w:ascii="Times New Roman" w:hAnsi="Times New Roman"/>
                <w:color w:val="auto"/>
                <w:sz w:val="21"/>
                <w:szCs w:val="21"/>
              </w:rPr>
              <w:t>12</w:t>
            </w:r>
            <w:r>
              <w:rPr>
                <w:rFonts w:hint="eastAsia" w:ascii="Times New Roman" w:hAnsi="宋体"/>
                <w:color w:val="auto"/>
                <w:sz w:val="21"/>
                <w:szCs w:val="21"/>
              </w:rPr>
              <w:t>分，在此基础上：</w:t>
            </w:r>
          </w:p>
          <w:p>
            <w:pPr>
              <w:adjustRightInd/>
              <w:spacing w:line="360" w:lineRule="exact"/>
              <w:jc w:val="both"/>
              <w:rPr>
                <w:rFonts w:ascii="Times New Roman" w:hAnsi="Times New Roman"/>
                <w:color w:val="auto"/>
                <w:sz w:val="21"/>
                <w:szCs w:val="21"/>
              </w:rPr>
            </w:pPr>
            <w:r>
              <w:rPr>
                <w:rFonts w:ascii="Times New Roman" w:hAnsi="Times New Roman"/>
                <w:color w:val="auto"/>
                <w:sz w:val="21"/>
                <w:szCs w:val="21"/>
              </w:rPr>
              <w:t>1.</w:t>
            </w:r>
            <w:r>
              <w:rPr>
                <w:rFonts w:hint="eastAsia" w:ascii="Times New Roman" w:hAnsi="宋体"/>
                <w:color w:val="auto"/>
                <w:sz w:val="21"/>
                <w:szCs w:val="21"/>
              </w:rPr>
              <w:t>具有交通运输部颁发的公路造价人员资格</w:t>
            </w:r>
            <w:r>
              <w:rPr>
                <w:rFonts w:ascii="Times New Roman" w:hAnsi="宋体"/>
                <w:color w:val="auto"/>
                <w:sz w:val="21"/>
                <w:szCs w:val="21"/>
              </w:rPr>
              <w:t>(</w:t>
            </w:r>
            <w:r>
              <w:rPr>
                <w:rFonts w:hint="eastAsia" w:ascii="Times New Roman" w:hAnsi="宋体"/>
                <w:color w:val="auto"/>
                <w:sz w:val="21"/>
                <w:szCs w:val="21"/>
              </w:rPr>
              <w:t>甲级</w:t>
            </w:r>
            <w:r>
              <w:rPr>
                <w:rFonts w:ascii="Times New Roman" w:hAnsi="宋体"/>
                <w:color w:val="auto"/>
                <w:sz w:val="21"/>
                <w:szCs w:val="21"/>
              </w:rPr>
              <w:t>)(</w:t>
            </w:r>
            <w:r>
              <w:rPr>
                <w:rFonts w:hint="eastAsia" w:ascii="Times New Roman" w:hAnsi="宋体"/>
                <w:color w:val="auto"/>
                <w:sz w:val="21"/>
                <w:szCs w:val="21"/>
              </w:rPr>
              <w:t>或一级造价工程师</w:t>
            </w:r>
            <w:r>
              <w:rPr>
                <w:rFonts w:ascii="Times New Roman" w:hAnsi="宋体"/>
                <w:color w:val="auto"/>
                <w:sz w:val="21"/>
                <w:szCs w:val="21"/>
              </w:rPr>
              <w:t>)</w:t>
            </w:r>
            <w:r>
              <w:rPr>
                <w:rFonts w:hint="eastAsia" w:ascii="Times New Roman" w:hAnsi="宋体"/>
                <w:color w:val="auto"/>
                <w:sz w:val="21"/>
                <w:szCs w:val="21"/>
              </w:rPr>
              <w:t>执业资证的加</w:t>
            </w:r>
            <w:r>
              <w:rPr>
                <w:rFonts w:ascii="Times New Roman" w:hAnsi="宋体"/>
                <w:color w:val="auto"/>
                <w:sz w:val="21"/>
                <w:szCs w:val="21"/>
              </w:rPr>
              <w:t>2</w:t>
            </w:r>
            <w:r>
              <w:rPr>
                <w:rFonts w:hint="eastAsia" w:ascii="Times New Roman" w:hAnsi="宋体"/>
                <w:color w:val="auto"/>
                <w:sz w:val="21"/>
                <w:szCs w:val="21"/>
              </w:rPr>
              <w:t>分。</w:t>
            </w:r>
          </w:p>
          <w:p>
            <w:pPr>
              <w:adjustRightInd/>
              <w:spacing w:line="360" w:lineRule="exact"/>
              <w:jc w:val="both"/>
              <w:rPr>
                <w:rFonts w:ascii="Times New Roman" w:hAnsi="Times New Roman"/>
                <w:color w:val="auto"/>
                <w:sz w:val="21"/>
                <w:szCs w:val="21"/>
              </w:rPr>
            </w:pPr>
            <w:r>
              <w:rPr>
                <w:rFonts w:ascii="Times New Roman" w:hAnsi="Times New Roman"/>
                <w:color w:val="auto"/>
                <w:sz w:val="21"/>
                <w:szCs w:val="21"/>
              </w:rPr>
              <w:t>2.</w:t>
            </w:r>
            <w:r>
              <w:rPr>
                <w:rFonts w:hint="eastAsia" w:ascii="Times New Roman" w:hAnsi="宋体"/>
                <w:color w:val="auto"/>
                <w:sz w:val="21"/>
                <w:szCs w:val="21"/>
              </w:rPr>
              <w:t>近五年来项目负责人每增加担任过</w:t>
            </w:r>
            <w:r>
              <w:rPr>
                <w:rFonts w:ascii="Times New Roman" w:hAnsi="Times New Roman"/>
                <w:color w:val="auto"/>
                <w:sz w:val="21"/>
                <w:szCs w:val="21"/>
              </w:rPr>
              <w:t>1</w:t>
            </w:r>
            <w:r>
              <w:rPr>
                <w:rFonts w:hint="eastAsia" w:ascii="Times New Roman" w:hAnsi="宋体"/>
                <w:color w:val="auto"/>
                <w:sz w:val="21"/>
                <w:szCs w:val="21"/>
              </w:rPr>
              <w:t>个合同段类似工程的设计工作的项目负责人工作经验的加</w:t>
            </w:r>
            <w:r>
              <w:rPr>
                <w:rFonts w:ascii="Times New Roman" w:hAnsi="Times New Roman"/>
                <w:color w:val="auto"/>
                <w:sz w:val="21"/>
                <w:szCs w:val="21"/>
              </w:rPr>
              <w:t>1.5</w:t>
            </w:r>
            <w:r>
              <w:rPr>
                <w:rFonts w:hint="eastAsia" w:ascii="Times New Roman" w:hAnsi="宋体"/>
                <w:color w:val="auto"/>
                <w:sz w:val="21"/>
                <w:szCs w:val="21"/>
              </w:rPr>
              <w:t>分，最多加</w:t>
            </w:r>
            <w:r>
              <w:rPr>
                <w:rFonts w:ascii="Times New Roman" w:hAnsi="Times New Roman"/>
                <w:color w:val="auto"/>
                <w:sz w:val="21"/>
                <w:szCs w:val="21"/>
              </w:rPr>
              <w:t>6</w:t>
            </w:r>
            <w:r>
              <w:rPr>
                <w:rFonts w:hint="eastAsia" w:ascii="Times New Roman"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1" w:type="dxa"/>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2.2.4</w:t>
            </w: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w:t>
            </w:r>
          </w:p>
        </w:tc>
        <w:tc>
          <w:tcPr>
            <w:tcW w:w="817" w:type="dxa"/>
            <w:gridSpan w:val="2"/>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评标价</w:t>
            </w:r>
          </w:p>
        </w:tc>
        <w:tc>
          <w:tcPr>
            <w:tcW w:w="679" w:type="dxa"/>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u w:val="single"/>
              </w:rPr>
              <w:t>10</w:t>
            </w:r>
            <w:r>
              <w:rPr>
                <w:rFonts w:hint="eastAsia" w:ascii="Times New Roman" w:hAnsi="宋体"/>
                <w:color w:val="auto"/>
                <w:sz w:val="21"/>
                <w:szCs w:val="21"/>
              </w:rPr>
              <w:t>分</w:t>
            </w:r>
          </w:p>
        </w:tc>
        <w:tc>
          <w:tcPr>
            <w:tcW w:w="6247" w:type="dxa"/>
            <w:gridSpan w:val="3"/>
            <w:noWrap/>
            <w:vAlign w:val="center"/>
          </w:tcPr>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评标价得分计算公式示例：</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w:t>
            </w:r>
            <w:r>
              <w:rPr>
                <w:rFonts w:hint="eastAsia" w:ascii="Times New Roman" w:hAnsi="宋体"/>
                <w:color w:val="auto"/>
                <w:kern w:val="2"/>
                <w:sz w:val="21"/>
                <w:szCs w:val="21"/>
              </w:rPr>
              <w:t>）如果投标人的评标价</w:t>
            </w:r>
            <w:r>
              <w:rPr>
                <w:rFonts w:ascii="Times New Roman" w:hAnsi="Times New Roman"/>
                <w:color w:val="auto"/>
                <w:kern w:val="2"/>
                <w:sz w:val="21"/>
                <w:szCs w:val="21"/>
              </w:rPr>
              <w:t>&gt;</w:t>
            </w:r>
            <w:r>
              <w:rPr>
                <w:rFonts w:hint="eastAsia" w:ascii="Times New Roman" w:hAnsi="宋体"/>
                <w:color w:val="auto"/>
                <w:kern w:val="2"/>
                <w:sz w:val="21"/>
                <w:szCs w:val="21"/>
              </w:rPr>
              <w:t>评标基准价，则评标价得分＝</w:t>
            </w:r>
            <w:r>
              <w:rPr>
                <w:rFonts w:ascii="Times New Roman" w:hAnsi="Times New Roman"/>
                <w:color w:val="auto"/>
                <w:kern w:val="2"/>
                <w:sz w:val="21"/>
                <w:szCs w:val="21"/>
              </w:rPr>
              <w:t>10</w:t>
            </w:r>
            <w:r>
              <w:rPr>
                <w:rFonts w:hint="eastAsia" w:ascii="Times New Roman" w:hAnsi="宋体"/>
                <w:color w:val="auto"/>
                <w:kern w:val="2"/>
                <w:sz w:val="21"/>
                <w:szCs w:val="21"/>
              </w:rPr>
              <w:t>－偏差率</w:t>
            </w:r>
            <w:r>
              <w:rPr>
                <w:rFonts w:ascii="Times New Roman" w:hAnsi="Times New Roman"/>
                <w:color w:val="auto"/>
                <w:kern w:val="2"/>
                <w:sz w:val="21"/>
                <w:szCs w:val="21"/>
              </w:rPr>
              <w:t>×100× E</w:t>
            </w:r>
            <w:r>
              <w:rPr>
                <w:rFonts w:ascii="Times New Roman" w:hAnsi="Times New Roman"/>
                <w:color w:val="auto"/>
                <w:kern w:val="2"/>
                <w:sz w:val="21"/>
                <w:szCs w:val="21"/>
                <w:vertAlign w:val="subscript"/>
              </w:rPr>
              <w:t>1</w:t>
            </w:r>
            <w:r>
              <w:rPr>
                <w:rFonts w:hint="eastAsia" w:ascii="Times New Roman" w:hAnsi="宋体"/>
                <w:color w:val="auto"/>
                <w:kern w:val="2"/>
                <w:sz w:val="21"/>
                <w:szCs w:val="21"/>
              </w:rPr>
              <w:t>；</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2</w:t>
            </w:r>
            <w:r>
              <w:rPr>
                <w:rFonts w:hint="eastAsia" w:ascii="Times New Roman" w:hAnsi="宋体"/>
                <w:color w:val="auto"/>
                <w:kern w:val="2"/>
                <w:sz w:val="21"/>
                <w:szCs w:val="21"/>
              </w:rPr>
              <w:t>）如果投标人的评标价</w:t>
            </w:r>
            <w:r>
              <w:rPr>
                <w:rFonts w:ascii="Times New Roman" w:hAnsi="Times New Roman"/>
                <w:color w:val="auto"/>
                <w:kern w:val="2"/>
                <w:sz w:val="21"/>
                <w:szCs w:val="21"/>
              </w:rPr>
              <w:t>≤</w:t>
            </w:r>
            <w:r>
              <w:rPr>
                <w:rFonts w:hint="eastAsia" w:ascii="Times New Roman" w:hAnsi="宋体"/>
                <w:color w:val="auto"/>
                <w:kern w:val="2"/>
                <w:sz w:val="21"/>
                <w:szCs w:val="21"/>
              </w:rPr>
              <w:t>评标基准价，则评标价得分＝</w:t>
            </w:r>
            <w:r>
              <w:rPr>
                <w:rFonts w:ascii="Times New Roman" w:hAnsi="Times New Roman"/>
                <w:color w:val="auto"/>
                <w:kern w:val="2"/>
                <w:sz w:val="21"/>
                <w:szCs w:val="21"/>
              </w:rPr>
              <w:t>10</w:t>
            </w:r>
            <w:r>
              <w:rPr>
                <w:rFonts w:hint="eastAsia" w:ascii="Times New Roman" w:hAnsi="宋体"/>
                <w:color w:val="auto"/>
                <w:kern w:val="2"/>
                <w:sz w:val="21"/>
                <w:szCs w:val="21"/>
              </w:rPr>
              <w:t>＋偏差率</w:t>
            </w:r>
            <w:r>
              <w:rPr>
                <w:rFonts w:ascii="Times New Roman" w:hAnsi="Times New Roman"/>
                <w:color w:val="auto"/>
                <w:kern w:val="2"/>
                <w:sz w:val="21"/>
                <w:szCs w:val="21"/>
              </w:rPr>
              <w:t>× 100× E</w:t>
            </w:r>
            <w:r>
              <w:rPr>
                <w:rFonts w:ascii="Times New Roman" w:hAnsi="Times New Roman"/>
                <w:color w:val="auto"/>
                <w:kern w:val="2"/>
                <w:sz w:val="21"/>
                <w:szCs w:val="21"/>
                <w:vertAlign w:val="subscript"/>
              </w:rPr>
              <w:t>2</w:t>
            </w:r>
            <w:r>
              <w:rPr>
                <w:rFonts w:hint="eastAsia" w:ascii="Times New Roman" w:hAnsi="宋体"/>
                <w:color w:val="auto"/>
                <w:kern w:val="2"/>
                <w:sz w:val="21"/>
                <w:szCs w:val="21"/>
              </w:rPr>
              <w:t>。</w:t>
            </w:r>
          </w:p>
          <w:p>
            <w:pPr>
              <w:spacing w:beforeLines="50" w:line="360" w:lineRule="exact"/>
              <w:ind w:firstLine="159" w:firstLineChars="76"/>
              <w:jc w:val="both"/>
              <w:rPr>
                <w:rFonts w:ascii="Times New Roman" w:hAnsi="Times New Roman"/>
                <w:color w:val="auto"/>
                <w:kern w:val="2"/>
                <w:sz w:val="21"/>
                <w:szCs w:val="21"/>
              </w:rPr>
            </w:pPr>
            <w:r>
              <w:rPr>
                <w:rFonts w:hint="eastAsia" w:ascii="Times New Roman" w:hAnsi="宋体"/>
                <w:color w:val="auto"/>
                <w:kern w:val="2"/>
                <w:sz w:val="21"/>
                <w:szCs w:val="21"/>
              </w:rPr>
              <w:t>其中：</w:t>
            </w:r>
            <w:r>
              <w:rPr>
                <w:rFonts w:ascii="Times New Roman" w:hAnsi="Times New Roman"/>
                <w:color w:val="auto"/>
                <w:kern w:val="2"/>
                <w:sz w:val="21"/>
                <w:szCs w:val="21"/>
              </w:rPr>
              <w:t xml:space="preserve"> </w:t>
            </w:r>
          </w:p>
          <w:p>
            <w:pPr>
              <w:spacing w:line="360" w:lineRule="exact"/>
              <w:ind w:firstLine="159" w:firstLineChars="76"/>
              <w:jc w:val="both"/>
              <w:rPr>
                <w:rFonts w:ascii="Times New Roman" w:hAnsi="Times New Roman"/>
                <w:color w:val="auto"/>
                <w:kern w:val="2"/>
                <w:sz w:val="21"/>
                <w:szCs w:val="21"/>
              </w:rPr>
            </w:pPr>
            <w:r>
              <w:rPr>
                <w:rFonts w:ascii="Times New Roman" w:hAnsi="Times New Roman"/>
                <w:color w:val="auto"/>
                <w:kern w:val="2"/>
                <w:sz w:val="21"/>
                <w:szCs w:val="21"/>
              </w:rPr>
              <w:t>E</w:t>
            </w:r>
            <w:r>
              <w:rPr>
                <w:rFonts w:ascii="Times New Roman" w:hAnsi="Times New Roman"/>
                <w:color w:val="auto"/>
                <w:kern w:val="2"/>
                <w:sz w:val="21"/>
                <w:szCs w:val="21"/>
                <w:vertAlign w:val="subscript"/>
              </w:rPr>
              <w:t>1</w:t>
            </w:r>
            <w:r>
              <w:rPr>
                <w:rFonts w:ascii="Times New Roman" w:hAnsi="Times New Roman"/>
                <w:color w:val="auto"/>
                <w:kern w:val="2"/>
                <w:sz w:val="21"/>
                <w:szCs w:val="21"/>
              </w:rPr>
              <w:t xml:space="preserve">=0.6 </w:t>
            </w:r>
            <w:r>
              <w:rPr>
                <w:rFonts w:hint="eastAsia" w:ascii="Times New Roman" w:hAnsi="宋体"/>
                <w:color w:val="auto"/>
                <w:kern w:val="2"/>
                <w:sz w:val="21"/>
                <w:szCs w:val="21"/>
              </w:rPr>
              <w:t>是评标价每高于评标基准价一个百分点的扣分值；</w:t>
            </w:r>
          </w:p>
          <w:p>
            <w:pPr>
              <w:spacing w:line="360" w:lineRule="exact"/>
              <w:ind w:firstLine="159" w:firstLineChars="76"/>
              <w:jc w:val="both"/>
              <w:rPr>
                <w:rFonts w:ascii="Times New Roman" w:hAnsi="Times New Roman"/>
                <w:color w:val="auto"/>
                <w:kern w:val="2"/>
                <w:sz w:val="21"/>
                <w:szCs w:val="21"/>
              </w:rPr>
            </w:pPr>
            <w:r>
              <w:rPr>
                <w:rFonts w:ascii="Times New Roman" w:hAnsi="Times New Roman"/>
                <w:color w:val="auto"/>
                <w:kern w:val="2"/>
                <w:sz w:val="21"/>
                <w:szCs w:val="21"/>
              </w:rPr>
              <w:t>E</w:t>
            </w:r>
            <w:r>
              <w:rPr>
                <w:rFonts w:ascii="Times New Roman" w:hAnsi="Times New Roman"/>
                <w:color w:val="auto"/>
                <w:kern w:val="2"/>
                <w:sz w:val="21"/>
                <w:szCs w:val="21"/>
                <w:vertAlign w:val="subscript"/>
              </w:rPr>
              <w:t>2</w:t>
            </w:r>
            <w:r>
              <w:rPr>
                <w:rFonts w:ascii="Times New Roman" w:hAnsi="Times New Roman"/>
                <w:color w:val="auto"/>
                <w:kern w:val="2"/>
                <w:sz w:val="21"/>
                <w:szCs w:val="21"/>
              </w:rPr>
              <w:t xml:space="preserve">=0.3 </w:t>
            </w:r>
            <w:r>
              <w:rPr>
                <w:rFonts w:hint="eastAsia" w:ascii="Times New Roman" w:hAnsi="宋体"/>
                <w:color w:val="auto"/>
                <w:kern w:val="2"/>
                <w:sz w:val="21"/>
                <w:szCs w:val="21"/>
              </w:rPr>
              <w:t>是评标价每低于评标基准价一个百分点的扣分值；</w:t>
            </w:r>
            <w:r>
              <w:rPr>
                <w:rFonts w:ascii="Times New Roman" w:hAnsi="Times New Roman"/>
                <w:color w:val="auto"/>
                <w:kern w:val="2"/>
                <w:sz w:val="21"/>
                <w:szCs w:val="21"/>
              </w:rPr>
              <w:t xml:space="preserve"> </w:t>
            </w:r>
          </w:p>
          <w:p>
            <w:pPr>
              <w:topLinePunct/>
              <w:adjustRightInd/>
              <w:spacing w:beforeLines="50" w:line="360" w:lineRule="exact"/>
              <w:ind w:firstLine="159" w:firstLineChars="76"/>
              <w:jc w:val="both"/>
              <w:rPr>
                <w:rFonts w:ascii="Times New Roman" w:hAnsi="Times New Roman"/>
                <w:color w:val="auto"/>
                <w:sz w:val="21"/>
                <w:szCs w:val="21"/>
              </w:rPr>
            </w:pPr>
            <w:r>
              <w:rPr>
                <w:rFonts w:hint="eastAsia" w:ascii="Times New Roman" w:hAnsi="宋体"/>
                <w:color w:val="auto"/>
                <w:kern w:val="2"/>
                <w:sz w:val="21"/>
                <w:szCs w:val="21"/>
              </w:rPr>
              <w:t>评标价得分四舍五入至小数点后四位</w:t>
            </w:r>
            <w:r>
              <w:rPr>
                <w:rFonts w:hint="eastAsia" w:ascii="Times New Roman" w:hAnsi="Times New Roman"/>
                <w:color w:val="auto"/>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1" w:type="dxa"/>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2.2.4</w:t>
            </w: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w:t>
            </w:r>
          </w:p>
        </w:tc>
        <w:tc>
          <w:tcPr>
            <w:tcW w:w="350"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其他因素</w:t>
            </w:r>
          </w:p>
        </w:tc>
        <w:tc>
          <w:tcPr>
            <w:tcW w:w="467"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技术能力</w:t>
            </w:r>
          </w:p>
        </w:tc>
        <w:tc>
          <w:tcPr>
            <w:tcW w:w="679" w:type="dxa"/>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rPr>
              <w:t>/</w:t>
            </w:r>
          </w:p>
        </w:tc>
        <w:tc>
          <w:tcPr>
            <w:tcW w:w="6247" w:type="dxa"/>
            <w:gridSpan w:val="3"/>
            <w:noWrap/>
            <w:vAlign w:val="center"/>
          </w:tcPr>
          <w:p>
            <w:pPr>
              <w:topLinePunct/>
              <w:adjustRightInd/>
              <w:spacing w:line="276" w:lineRule="auto"/>
              <w:rPr>
                <w:rFonts w:ascii="Times New Roman" w:hAnsi="Times New Roman"/>
                <w:color w:val="auto"/>
                <w:sz w:val="21"/>
                <w:szCs w:val="21"/>
              </w:rPr>
            </w:pPr>
            <w:r>
              <w:rPr>
                <w:rFonts w:ascii="Times New Roman" w:hAnsi="Times New Roman"/>
                <w:color w:val="auto"/>
                <w:sz w:val="21"/>
                <w:szCs w:val="21"/>
              </w:rPr>
              <w:t>/</w:t>
            </w:r>
          </w:p>
        </w:tc>
      </w:tr>
    </w:tbl>
    <w:p>
      <w:pPr>
        <w:rPr>
          <w:rFonts w:ascii="Times New Roman" w:hAnsi="Times New Roman"/>
          <w:color w:val="auto"/>
        </w:rPr>
      </w:pPr>
    </w:p>
    <w:p>
      <w:pPr>
        <w:ind w:right="120"/>
        <w:jc w:val="right"/>
        <w:rPr>
          <w:rFonts w:ascii="Times New Roman" w:hAnsi="Times New Roman"/>
          <w:b/>
          <w:color w:val="auto"/>
        </w:rPr>
      </w:pPr>
      <w:r>
        <w:rPr>
          <w:rFonts w:ascii="Times New Roman" w:hAnsi="Times New Roman"/>
          <w:b/>
          <w:color w:val="auto"/>
        </w:rPr>
        <w:br w:type="page"/>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348"/>
        <w:gridCol w:w="461"/>
        <w:gridCol w:w="666"/>
        <w:gridCol w:w="1032"/>
        <w:gridCol w:w="886"/>
        <w:gridCol w:w="4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441" w:type="dxa"/>
            <w:gridSpan w:val="6"/>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评审因素与评分值</w:t>
            </w:r>
          </w:p>
        </w:tc>
        <w:tc>
          <w:tcPr>
            <w:tcW w:w="4826" w:type="dxa"/>
            <w:vMerge w:val="restart"/>
            <w:noWrap/>
            <w:vAlign w:val="center"/>
          </w:tcPr>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2" w:type="dxa"/>
            <w:noWrap/>
            <w:vAlign w:val="center"/>
          </w:tcPr>
          <w:p>
            <w:pPr>
              <w:adjustRightInd/>
              <w:spacing w:line="276" w:lineRule="auto"/>
              <w:jc w:val="center"/>
              <w:rPr>
                <w:rFonts w:ascii="Times New Roman" w:hAnsi="Times New Roman"/>
                <w:b/>
                <w:color w:val="auto"/>
                <w:sz w:val="21"/>
                <w:szCs w:val="21"/>
              </w:rPr>
            </w:pPr>
            <w:r>
              <w:rPr>
                <w:rFonts w:hint="eastAsia" w:ascii="Times New Roman" w:hAnsi="宋体"/>
                <w:b/>
                <w:color w:val="auto"/>
                <w:sz w:val="21"/>
                <w:szCs w:val="21"/>
              </w:rPr>
              <w:t>条</w:t>
            </w:r>
          </w:p>
          <w:p>
            <w:pPr>
              <w:adjustRightInd/>
              <w:spacing w:line="276" w:lineRule="auto"/>
              <w:jc w:val="center"/>
              <w:rPr>
                <w:rFonts w:ascii="Times New Roman" w:hAnsi="Times New Roman"/>
                <w:b/>
                <w:color w:val="auto"/>
                <w:sz w:val="21"/>
                <w:szCs w:val="21"/>
              </w:rPr>
            </w:pPr>
            <w:r>
              <w:rPr>
                <w:rFonts w:hint="eastAsia" w:ascii="Times New Roman" w:hAnsi="宋体"/>
                <w:b/>
                <w:color w:val="auto"/>
                <w:sz w:val="21"/>
                <w:szCs w:val="21"/>
              </w:rPr>
              <w:t>款</w:t>
            </w:r>
          </w:p>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号</w:t>
            </w:r>
          </w:p>
        </w:tc>
        <w:tc>
          <w:tcPr>
            <w:tcW w:w="846" w:type="dxa"/>
            <w:gridSpan w:val="2"/>
            <w:noWrap/>
            <w:vAlign w:val="center"/>
          </w:tcPr>
          <w:p>
            <w:pPr>
              <w:spacing w:line="276" w:lineRule="auto"/>
              <w:jc w:val="center"/>
              <w:rPr>
                <w:rFonts w:ascii="Times New Roman" w:hAnsi="Times New Roman"/>
                <w:b/>
                <w:color w:val="auto"/>
                <w:sz w:val="21"/>
                <w:szCs w:val="21"/>
              </w:rPr>
            </w:pPr>
            <w:r>
              <w:rPr>
                <w:rFonts w:hint="eastAsia" w:ascii="Times New Roman" w:hAnsi="宋体"/>
                <w:b/>
                <w:color w:val="auto"/>
                <w:sz w:val="21"/>
                <w:szCs w:val="21"/>
              </w:rPr>
              <w:t>评审</w:t>
            </w:r>
          </w:p>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因素</w:t>
            </w:r>
          </w:p>
        </w:tc>
        <w:tc>
          <w:tcPr>
            <w:tcW w:w="714" w:type="dxa"/>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评分因素权重分值</w:t>
            </w:r>
          </w:p>
        </w:tc>
        <w:tc>
          <w:tcPr>
            <w:tcW w:w="1121"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b/>
                <w:color w:val="auto"/>
                <w:sz w:val="21"/>
                <w:szCs w:val="21"/>
              </w:rPr>
              <w:t>各评审因素细分项</w:t>
            </w:r>
          </w:p>
        </w:tc>
        <w:tc>
          <w:tcPr>
            <w:tcW w:w="958" w:type="dxa"/>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b/>
                <w:color w:val="auto"/>
                <w:sz w:val="21"/>
                <w:szCs w:val="21"/>
              </w:rPr>
              <w:t>分值</w:t>
            </w:r>
          </w:p>
        </w:tc>
        <w:tc>
          <w:tcPr>
            <w:tcW w:w="4826" w:type="dxa"/>
            <w:vMerge w:val="continue"/>
            <w:noWrap/>
            <w:vAlign w:val="center"/>
          </w:tcPr>
          <w:p>
            <w:pPr>
              <w:adjustRightInd/>
              <w:spacing w:line="276" w:lineRule="auto"/>
              <w:jc w:val="both"/>
              <w:rPr>
                <w:rFonts w:ascii="Times New Roman" w:hAnsi="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2" w:type="dxa"/>
            <w:vMerge w:val="restart"/>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rPr>
              <w:t>2.2.4</w:t>
            </w: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w:t>
            </w:r>
          </w:p>
        </w:tc>
        <w:tc>
          <w:tcPr>
            <w:tcW w:w="360" w:type="dxa"/>
            <w:vMerge w:val="restart"/>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其他因素</w:t>
            </w:r>
          </w:p>
        </w:tc>
        <w:tc>
          <w:tcPr>
            <w:tcW w:w="486"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业绩</w:t>
            </w:r>
          </w:p>
        </w:tc>
        <w:tc>
          <w:tcPr>
            <w:tcW w:w="714" w:type="dxa"/>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u w:val="single"/>
              </w:rPr>
              <w:t>25</w:t>
            </w:r>
            <w:r>
              <w:rPr>
                <w:rFonts w:hint="eastAsia" w:ascii="Times New Roman" w:hAnsi="宋体"/>
                <w:color w:val="auto"/>
                <w:sz w:val="21"/>
                <w:szCs w:val="21"/>
              </w:rPr>
              <w:t>分</w:t>
            </w:r>
          </w:p>
        </w:tc>
        <w:tc>
          <w:tcPr>
            <w:tcW w:w="1121" w:type="dxa"/>
            <w:noWrap/>
            <w:vAlign w:val="center"/>
          </w:tcPr>
          <w:p>
            <w:pPr>
              <w:adjustRightInd/>
              <w:spacing w:line="276" w:lineRule="auto"/>
              <w:jc w:val="center"/>
              <w:rPr>
                <w:rFonts w:ascii="Times New Roman" w:hAnsi="Times New Roman"/>
                <w:color w:val="auto"/>
                <w:sz w:val="21"/>
                <w:szCs w:val="21"/>
                <w:u w:val="single"/>
              </w:rPr>
            </w:pPr>
            <w:r>
              <w:rPr>
                <w:rFonts w:hint="eastAsia" w:ascii="Times New Roman" w:hAnsi="宋体"/>
                <w:color w:val="auto"/>
                <w:sz w:val="21"/>
                <w:szCs w:val="21"/>
              </w:rPr>
              <w:t>土建与交通工程类</w:t>
            </w:r>
          </w:p>
        </w:tc>
        <w:tc>
          <w:tcPr>
            <w:tcW w:w="958" w:type="dxa"/>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u w:val="single"/>
              </w:rPr>
              <w:t>25</w:t>
            </w:r>
            <w:r>
              <w:rPr>
                <w:rFonts w:hint="eastAsia" w:ascii="Times New Roman" w:hAnsi="宋体"/>
                <w:color w:val="auto"/>
                <w:sz w:val="21"/>
                <w:szCs w:val="21"/>
              </w:rPr>
              <w:t>分</w:t>
            </w:r>
          </w:p>
        </w:tc>
        <w:tc>
          <w:tcPr>
            <w:tcW w:w="4826" w:type="dxa"/>
            <w:noWrap/>
            <w:vAlign w:val="center"/>
          </w:tcPr>
          <w:p>
            <w:pPr>
              <w:spacing w:line="360" w:lineRule="exact"/>
              <w:jc w:val="both"/>
              <w:rPr>
                <w:rFonts w:ascii="Times New Roman" w:hAnsi="Times New Roman"/>
                <w:color w:val="auto"/>
                <w:sz w:val="21"/>
                <w:szCs w:val="21"/>
                <w:lang w:val="zh-CN"/>
              </w:rPr>
            </w:pPr>
            <w:r>
              <w:rPr>
                <w:rFonts w:hint="eastAsia" w:ascii="Times New Roman" w:hAnsi="宋体"/>
                <w:color w:val="auto"/>
                <w:sz w:val="21"/>
                <w:szCs w:val="21"/>
                <w:lang w:val="zh-CN"/>
              </w:rPr>
              <w:t>满足资格审查条件（业绩最低要求）得基本分</w:t>
            </w:r>
            <w:r>
              <w:rPr>
                <w:rFonts w:ascii="Times New Roman" w:hAnsi="Times New Roman"/>
                <w:color w:val="auto"/>
                <w:sz w:val="21"/>
                <w:szCs w:val="21"/>
                <w:lang w:val="zh-CN"/>
              </w:rPr>
              <w:t>15</w:t>
            </w:r>
            <w:r>
              <w:rPr>
                <w:rFonts w:hint="eastAsia" w:ascii="Times New Roman" w:hAnsi="宋体"/>
                <w:color w:val="auto"/>
                <w:sz w:val="21"/>
                <w:szCs w:val="21"/>
                <w:lang w:val="zh-CN"/>
              </w:rPr>
              <w:t>分；</w:t>
            </w:r>
          </w:p>
          <w:p>
            <w:pPr>
              <w:spacing w:line="360" w:lineRule="exact"/>
              <w:jc w:val="both"/>
              <w:rPr>
                <w:rFonts w:ascii="Times New Roman" w:hAnsi="Times New Roman"/>
                <w:color w:val="auto"/>
                <w:sz w:val="21"/>
                <w:szCs w:val="21"/>
                <w:lang w:val="zh-CN"/>
              </w:rPr>
            </w:pPr>
            <w:r>
              <w:rPr>
                <w:rFonts w:ascii="Times New Roman" w:hAnsi="Times New Roman"/>
                <w:color w:val="auto"/>
                <w:sz w:val="21"/>
                <w:szCs w:val="21"/>
                <w:lang w:val="zh-CN"/>
              </w:rPr>
              <w:t>1.</w:t>
            </w:r>
            <w:r>
              <w:rPr>
                <w:rFonts w:hint="eastAsia" w:ascii="Times New Roman" w:hAnsi="宋体"/>
                <w:color w:val="auto"/>
                <w:sz w:val="21"/>
                <w:szCs w:val="21"/>
                <w:lang w:val="zh-CN"/>
              </w:rPr>
              <w:t>自</w:t>
            </w:r>
            <w:r>
              <w:rPr>
                <w:rFonts w:ascii="Times New Roman" w:hAnsi="Times New Roman"/>
                <w:color w:val="auto"/>
                <w:sz w:val="21"/>
                <w:szCs w:val="21"/>
                <w:lang w:val="zh-CN"/>
              </w:rPr>
              <w:t>2018</w:t>
            </w:r>
            <w:r>
              <w:rPr>
                <w:rFonts w:hint="eastAsia" w:ascii="Times New Roman" w:hAnsi="宋体"/>
                <w:color w:val="auto"/>
                <w:sz w:val="21"/>
                <w:szCs w:val="21"/>
                <w:lang w:val="zh-CN"/>
              </w:rPr>
              <w:t>年</w:t>
            </w:r>
            <w:r>
              <w:rPr>
                <w:rFonts w:ascii="Times New Roman" w:hAnsi="Times New Roman"/>
                <w:color w:val="auto"/>
                <w:sz w:val="21"/>
                <w:szCs w:val="21"/>
                <w:lang w:val="zh-CN"/>
              </w:rPr>
              <w:t>1</w:t>
            </w:r>
            <w:r>
              <w:rPr>
                <w:rFonts w:hint="eastAsia" w:ascii="Times New Roman" w:hAnsi="宋体"/>
                <w:color w:val="auto"/>
                <w:sz w:val="21"/>
                <w:szCs w:val="21"/>
                <w:lang w:val="zh-CN"/>
              </w:rPr>
              <w:t>月</w:t>
            </w:r>
            <w:r>
              <w:rPr>
                <w:rFonts w:ascii="Times New Roman" w:hAnsi="Times New Roman"/>
                <w:color w:val="auto"/>
                <w:sz w:val="21"/>
                <w:szCs w:val="21"/>
                <w:lang w:val="zh-CN"/>
              </w:rPr>
              <w:t>1</w:t>
            </w:r>
            <w:r>
              <w:rPr>
                <w:rFonts w:hint="eastAsia" w:ascii="Times New Roman" w:hAnsi="宋体"/>
                <w:color w:val="auto"/>
                <w:sz w:val="21"/>
                <w:szCs w:val="21"/>
                <w:lang w:val="zh-CN"/>
              </w:rPr>
              <w:t>日至投标文件递交截止之日止累计完成每增加</w:t>
            </w:r>
            <w:r>
              <w:rPr>
                <w:rFonts w:ascii="Times New Roman" w:hAnsi="Times New Roman"/>
                <w:color w:val="auto"/>
                <w:sz w:val="21"/>
                <w:szCs w:val="21"/>
                <w:lang w:val="zh-CN"/>
              </w:rPr>
              <w:t>6</w:t>
            </w:r>
            <w:r>
              <w:rPr>
                <w:rFonts w:hint="eastAsia" w:ascii="Times New Roman" w:hAnsi="宋体"/>
                <w:color w:val="auto"/>
                <w:sz w:val="21"/>
                <w:szCs w:val="21"/>
                <w:lang w:val="zh-CN"/>
              </w:rPr>
              <w:t>公里（尾数不计）的类似工程设计的加</w:t>
            </w:r>
            <w:r>
              <w:rPr>
                <w:rFonts w:ascii="Times New Roman" w:hAnsi="Times New Roman"/>
                <w:color w:val="auto"/>
                <w:sz w:val="21"/>
                <w:szCs w:val="21"/>
                <w:lang w:val="zh-CN"/>
              </w:rPr>
              <w:t>1</w:t>
            </w:r>
            <w:r>
              <w:rPr>
                <w:rFonts w:hint="eastAsia" w:ascii="Times New Roman" w:hAnsi="宋体"/>
                <w:color w:val="auto"/>
                <w:sz w:val="21"/>
                <w:szCs w:val="21"/>
                <w:lang w:val="zh-CN"/>
              </w:rPr>
              <w:t>分，最多加</w:t>
            </w:r>
            <w:r>
              <w:rPr>
                <w:rFonts w:ascii="Times New Roman" w:hAnsi="Times New Roman"/>
                <w:color w:val="auto"/>
                <w:sz w:val="21"/>
                <w:szCs w:val="21"/>
                <w:lang w:val="zh-CN"/>
              </w:rPr>
              <w:t>10</w:t>
            </w:r>
            <w:r>
              <w:rPr>
                <w:rFonts w:hint="eastAsia" w:ascii="Times New Roman" w:hAnsi="宋体"/>
                <w:color w:val="auto"/>
                <w:sz w:val="21"/>
                <w:szCs w:val="21"/>
                <w:lang w:val="zh-CN"/>
              </w:rPr>
              <w:t>分。</w:t>
            </w:r>
          </w:p>
          <w:p>
            <w:pPr>
              <w:spacing w:line="360" w:lineRule="exact"/>
              <w:jc w:val="both"/>
              <w:rPr>
                <w:rFonts w:ascii="Times New Roman" w:hAnsi="Times New Roman"/>
                <w:color w:val="auto"/>
                <w:sz w:val="21"/>
                <w:szCs w:val="21"/>
              </w:rPr>
            </w:pPr>
            <w:r>
              <w:rPr>
                <w:rFonts w:hint="eastAsia" w:ascii="Times New Roman" w:hAnsi="宋体"/>
                <w:color w:val="auto"/>
                <w:sz w:val="21"/>
                <w:szCs w:val="21"/>
                <w:lang w:val="zh-CN"/>
              </w:rPr>
              <w:t>（注：业绩证明材料应符合投标人须知前附表</w:t>
            </w:r>
            <w:r>
              <w:rPr>
                <w:rFonts w:ascii="Times New Roman" w:hAnsi="Times New Roman"/>
                <w:color w:val="auto"/>
                <w:sz w:val="21"/>
                <w:szCs w:val="21"/>
                <w:lang w:val="zh-CN"/>
              </w:rPr>
              <w:t>3.5.</w:t>
            </w:r>
            <w:r>
              <w:rPr>
                <w:rFonts w:ascii="Times New Roman" w:hAnsi="Times New Roman"/>
                <w:color w:val="auto"/>
                <w:sz w:val="21"/>
                <w:szCs w:val="21"/>
              </w:rPr>
              <w:t>2</w:t>
            </w:r>
            <w:r>
              <w:rPr>
                <w:rFonts w:hint="eastAsia" w:ascii="Times New Roman" w:hAnsi="宋体"/>
                <w:color w:val="auto"/>
                <w:sz w:val="21"/>
                <w:szCs w:val="21"/>
                <w:lang w:val="zh-CN"/>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2" w:type="dxa"/>
            <w:vMerge w:val="continue"/>
            <w:noWrap/>
            <w:vAlign w:val="center"/>
          </w:tcPr>
          <w:p>
            <w:pPr>
              <w:adjustRightInd/>
              <w:spacing w:line="276" w:lineRule="auto"/>
              <w:jc w:val="center"/>
              <w:rPr>
                <w:rFonts w:ascii="Times New Roman" w:hAnsi="Times New Roman"/>
                <w:color w:val="auto"/>
                <w:sz w:val="18"/>
                <w:szCs w:val="18"/>
              </w:rPr>
            </w:pPr>
          </w:p>
        </w:tc>
        <w:tc>
          <w:tcPr>
            <w:tcW w:w="360" w:type="dxa"/>
            <w:vMerge w:val="continue"/>
            <w:noWrap/>
            <w:vAlign w:val="center"/>
          </w:tcPr>
          <w:p>
            <w:pPr>
              <w:adjustRightInd/>
              <w:spacing w:line="276" w:lineRule="auto"/>
              <w:jc w:val="center"/>
              <w:rPr>
                <w:rFonts w:ascii="Times New Roman" w:hAnsi="Times New Roman"/>
                <w:color w:val="auto"/>
                <w:sz w:val="18"/>
                <w:szCs w:val="18"/>
              </w:rPr>
            </w:pPr>
          </w:p>
        </w:tc>
        <w:tc>
          <w:tcPr>
            <w:tcW w:w="486" w:type="dxa"/>
            <w:vMerge w:val="restart"/>
            <w:noWrap/>
            <w:vAlign w:val="center"/>
          </w:tcPr>
          <w:p>
            <w:pPr>
              <w:spacing w:line="276" w:lineRule="auto"/>
              <w:jc w:val="center"/>
              <w:rPr>
                <w:rFonts w:ascii="Times New Roman" w:hAnsi="Times New Roman"/>
                <w:color w:val="auto"/>
                <w:sz w:val="21"/>
                <w:szCs w:val="21"/>
              </w:rPr>
            </w:pPr>
            <w:r>
              <w:rPr>
                <w:rFonts w:hint="eastAsia" w:ascii="Times New Roman" w:hAnsi="宋体"/>
                <w:color w:val="auto"/>
                <w:sz w:val="21"/>
                <w:szCs w:val="21"/>
              </w:rPr>
              <w:t>履约信誉</w:t>
            </w:r>
          </w:p>
        </w:tc>
        <w:tc>
          <w:tcPr>
            <w:tcW w:w="714" w:type="dxa"/>
            <w:vMerge w:val="restart"/>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u w:val="single"/>
              </w:rPr>
              <w:t>10</w:t>
            </w:r>
            <w:r>
              <w:rPr>
                <w:rFonts w:hint="eastAsia" w:ascii="Times New Roman" w:hAnsi="宋体"/>
                <w:color w:val="auto"/>
                <w:sz w:val="21"/>
                <w:szCs w:val="21"/>
              </w:rPr>
              <w:t>分</w:t>
            </w:r>
          </w:p>
        </w:tc>
        <w:tc>
          <w:tcPr>
            <w:tcW w:w="1121"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履约情况</w:t>
            </w:r>
          </w:p>
        </w:tc>
        <w:tc>
          <w:tcPr>
            <w:tcW w:w="958" w:type="dxa"/>
            <w:noWrap/>
            <w:vAlign w:val="center"/>
          </w:tcPr>
          <w:p>
            <w:pPr>
              <w:adjustRightInd/>
              <w:spacing w:line="276" w:lineRule="auto"/>
              <w:jc w:val="center"/>
              <w:rPr>
                <w:rFonts w:ascii="Times New Roman" w:hAnsi="Times New Roman"/>
                <w:color w:val="auto"/>
                <w:sz w:val="21"/>
                <w:szCs w:val="21"/>
              </w:rPr>
            </w:pPr>
            <w:r>
              <w:rPr>
                <w:rFonts w:ascii="Times New Roman" w:hAnsi="Times New Roman"/>
                <w:color w:val="auto"/>
                <w:sz w:val="21"/>
                <w:szCs w:val="21"/>
                <w:u w:val="single"/>
              </w:rPr>
              <w:t>5</w:t>
            </w:r>
            <w:r>
              <w:rPr>
                <w:rFonts w:hint="eastAsia" w:ascii="Times New Roman" w:hAnsi="宋体"/>
                <w:color w:val="auto"/>
                <w:sz w:val="21"/>
                <w:szCs w:val="21"/>
              </w:rPr>
              <w:t>分</w:t>
            </w:r>
          </w:p>
        </w:tc>
        <w:tc>
          <w:tcPr>
            <w:tcW w:w="4826" w:type="dxa"/>
            <w:noWrap/>
            <w:vAlign w:val="center"/>
          </w:tcPr>
          <w:p>
            <w:pPr>
              <w:adjustRightInd/>
              <w:spacing w:line="360" w:lineRule="exact"/>
              <w:jc w:val="both"/>
              <w:textAlignment w:val="auto"/>
              <w:rPr>
                <w:rFonts w:ascii="Times New Roman" w:hAnsi="Times New Roman"/>
                <w:color w:val="auto"/>
                <w:kern w:val="2"/>
                <w:sz w:val="21"/>
                <w:szCs w:val="21"/>
              </w:rPr>
            </w:pPr>
            <w:r>
              <w:rPr>
                <w:rFonts w:hint="eastAsia" w:ascii="Times New Roman" w:hAnsi="Times New Roman"/>
                <w:color w:val="auto"/>
                <w:kern w:val="2"/>
                <w:sz w:val="21"/>
                <w:szCs w:val="21"/>
              </w:rPr>
              <w:t>若</w:t>
            </w:r>
            <w:r>
              <w:rPr>
                <w:rFonts w:hint="eastAsia" w:ascii="Times New Roman" w:hAnsi="宋体"/>
                <w:color w:val="auto"/>
                <w:kern w:val="2"/>
                <w:sz w:val="21"/>
                <w:szCs w:val="21"/>
              </w:rPr>
              <w:t>没出现下述情形得满分</w:t>
            </w:r>
            <w:r>
              <w:rPr>
                <w:rFonts w:hint="eastAsia" w:ascii="Times New Roman" w:hAnsi="宋体"/>
                <w:color w:val="auto"/>
                <w:sz w:val="21"/>
                <w:szCs w:val="21"/>
                <w:lang w:val="zh-CN"/>
              </w:rPr>
              <w:t>（</w:t>
            </w:r>
            <w:r>
              <w:rPr>
                <w:rFonts w:ascii="Times New Roman" w:hAnsi="Times New Roman"/>
                <w:color w:val="auto"/>
                <w:sz w:val="21"/>
                <w:szCs w:val="21"/>
                <w:u w:val="single"/>
                <w:lang w:val="zh-CN"/>
              </w:rPr>
              <w:t>5</w:t>
            </w:r>
            <w:r>
              <w:rPr>
                <w:rFonts w:hint="eastAsia" w:ascii="Times New Roman" w:hAnsi="宋体"/>
                <w:color w:val="auto"/>
                <w:sz w:val="21"/>
                <w:szCs w:val="21"/>
                <w:lang w:val="zh-CN"/>
              </w:rPr>
              <w:t>分）</w:t>
            </w:r>
            <w:r>
              <w:rPr>
                <w:rFonts w:hint="eastAsia" w:ascii="Times New Roman" w:hAnsi="宋体"/>
                <w:color w:val="auto"/>
                <w:kern w:val="2"/>
                <w:sz w:val="21"/>
                <w:szCs w:val="21"/>
              </w:rPr>
              <w:t>；</w:t>
            </w:r>
          </w:p>
          <w:p>
            <w:pPr>
              <w:adjustRightInd/>
              <w:spacing w:line="360" w:lineRule="exact"/>
              <w:jc w:val="both"/>
              <w:textAlignment w:val="auto"/>
              <w:rPr>
                <w:rFonts w:ascii="Times New Roman" w:hAnsi="Times New Roman"/>
                <w:color w:val="auto"/>
                <w:sz w:val="21"/>
                <w:szCs w:val="21"/>
              </w:rPr>
            </w:pPr>
            <w:r>
              <w:rPr>
                <w:rFonts w:hint="eastAsia" w:ascii="Times New Roman" w:hAnsi="宋体"/>
                <w:color w:val="auto"/>
                <w:kern w:val="2"/>
                <w:sz w:val="21"/>
                <w:szCs w:val="21"/>
              </w:rPr>
              <w:t>投标文件递交截止日前</w:t>
            </w:r>
            <w:r>
              <w:rPr>
                <w:rFonts w:ascii="Times New Roman" w:hAnsi="Times New Roman"/>
                <w:color w:val="auto"/>
                <w:kern w:val="2"/>
                <w:sz w:val="21"/>
                <w:szCs w:val="21"/>
              </w:rPr>
              <w:t>1</w:t>
            </w:r>
            <w:r>
              <w:rPr>
                <w:rFonts w:hint="eastAsia" w:ascii="Times New Roman" w:hAnsi="宋体"/>
                <w:color w:val="auto"/>
                <w:kern w:val="2"/>
                <w:sz w:val="21"/>
                <w:szCs w:val="21"/>
              </w:rPr>
              <w:t>年内，因公路工程设计原因、履约或招标投标问题等原因被：</w:t>
            </w:r>
          </w:p>
          <w:p>
            <w:pPr>
              <w:adjustRightInd/>
              <w:spacing w:line="360" w:lineRule="exact"/>
              <w:jc w:val="both"/>
              <w:textAlignment w:val="auto"/>
              <w:rPr>
                <w:rFonts w:ascii="Times New Roman" w:hAnsi="Times New Roman"/>
                <w:color w:val="auto"/>
                <w:kern w:val="2"/>
                <w:sz w:val="21"/>
                <w:szCs w:val="21"/>
              </w:rPr>
            </w:pPr>
            <w:r>
              <w:rPr>
                <w:rFonts w:hint="eastAsia" w:ascii="Times New Roman" w:hAnsi="宋体"/>
                <w:color w:val="auto"/>
                <w:kern w:val="2"/>
                <w:sz w:val="21"/>
                <w:szCs w:val="21"/>
              </w:rPr>
              <w:t>（</w:t>
            </w:r>
            <w:r>
              <w:rPr>
                <w:rFonts w:ascii="Times New Roman" w:hAnsi="Times New Roman"/>
                <w:color w:val="auto"/>
                <w:kern w:val="2"/>
                <w:sz w:val="21"/>
                <w:szCs w:val="21"/>
              </w:rPr>
              <w:t>1</w:t>
            </w:r>
            <w:r>
              <w:rPr>
                <w:rFonts w:hint="eastAsia" w:ascii="Times New Roman" w:hAnsi="宋体"/>
                <w:color w:val="auto"/>
                <w:kern w:val="2"/>
                <w:sz w:val="21"/>
                <w:szCs w:val="21"/>
              </w:rPr>
              <w:t>）交通运输部通报批评的，扣</w:t>
            </w:r>
            <w:r>
              <w:rPr>
                <w:rFonts w:ascii="Times New Roman" w:hAnsi="Times New Roman"/>
                <w:color w:val="auto"/>
                <w:kern w:val="2"/>
                <w:sz w:val="21"/>
                <w:szCs w:val="21"/>
              </w:rPr>
              <w:t>5</w:t>
            </w:r>
            <w:r>
              <w:rPr>
                <w:rFonts w:hint="eastAsia" w:ascii="Times New Roman" w:hAnsi="宋体"/>
                <w:color w:val="auto"/>
                <w:kern w:val="2"/>
                <w:sz w:val="21"/>
                <w:szCs w:val="21"/>
              </w:rPr>
              <w:t>分</w:t>
            </w:r>
            <w:r>
              <w:rPr>
                <w:rFonts w:ascii="Times New Roman" w:hAnsi="Times New Roman"/>
                <w:color w:val="auto"/>
                <w:kern w:val="2"/>
                <w:sz w:val="21"/>
                <w:szCs w:val="21"/>
              </w:rPr>
              <w:t>/</w:t>
            </w:r>
            <w:r>
              <w:rPr>
                <w:rFonts w:hint="eastAsia" w:ascii="Times New Roman" w:hAnsi="宋体"/>
                <w:color w:val="auto"/>
                <w:kern w:val="2"/>
                <w:sz w:val="21"/>
                <w:szCs w:val="21"/>
              </w:rPr>
              <w:t>次；</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）广东省交通运输厅通报批评的，扣</w:t>
            </w:r>
            <w:r>
              <w:rPr>
                <w:rFonts w:ascii="Times New Roman" w:hAnsi="Times New Roman"/>
                <w:color w:val="auto"/>
                <w:sz w:val="21"/>
                <w:szCs w:val="21"/>
              </w:rPr>
              <w:t>4</w:t>
            </w:r>
            <w:r>
              <w:rPr>
                <w:rFonts w:hint="eastAsia" w:ascii="Times New Roman" w:hAnsi="宋体"/>
                <w:color w:val="auto"/>
                <w:sz w:val="21"/>
                <w:szCs w:val="21"/>
              </w:rPr>
              <w:t>分</w:t>
            </w:r>
            <w:r>
              <w:rPr>
                <w:rFonts w:ascii="Times New Roman" w:hAnsi="Times New Roman"/>
                <w:color w:val="auto"/>
                <w:kern w:val="2"/>
                <w:sz w:val="21"/>
                <w:szCs w:val="21"/>
              </w:rPr>
              <w:t>/</w:t>
            </w:r>
            <w:r>
              <w:rPr>
                <w:rFonts w:hint="eastAsia" w:ascii="Times New Roman" w:hAnsi="宋体"/>
                <w:color w:val="auto"/>
                <w:kern w:val="2"/>
                <w:sz w:val="21"/>
                <w:szCs w:val="21"/>
              </w:rPr>
              <w:t>次；</w:t>
            </w:r>
          </w:p>
          <w:p>
            <w:pPr>
              <w:adjustRightInd/>
              <w:spacing w:line="360" w:lineRule="exact"/>
              <w:jc w:val="both"/>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）项目所在地地市级交通局、本项目招标人或招标人上级管理单位通报批评一次的，扣</w:t>
            </w:r>
            <w:r>
              <w:rPr>
                <w:rFonts w:ascii="Times New Roman" w:hAnsi="Times New Roman"/>
                <w:color w:val="auto"/>
                <w:sz w:val="21"/>
                <w:szCs w:val="21"/>
              </w:rPr>
              <w:t>1</w:t>
            </w:r>
            <w:r>
              <w:rPr>
                <w:rFonts w:hint="eastAsia" w:ascii="Times New Roman" w:hAnsi="宋体"/>
                <w:color w:val="auto"/>
                <w:sz w:val="21"/>
                <w:szCs w:val="21"/>
              </w:rPr>
              <w:t>分</w:t>
            </w:r>
            <w:r>
              <w:rPr>
                <w:rFonts w:ascii="Times New Roman" w:hAnsi="Times New Roman"/>
                <w:color w:val="auto"/>
                <w:kern w:val="2"/>
                <w:sz w:val="21"/>
                <w:szCs w:val="21"/>
              </w:rPr>
              <w:t>/</w:t>
            </w:r>
            <w:r>
              <w:rPr>
                <w:rFonts w:hint="eastAsia" w:ascii="Times New Roman" w:hAnsi="宋体"/>
                <w:color w:val="auto"/>
                <w:kern w:val="2"/>
                <w:sz w:val="21"/>
                <w:szCs w:val="21"/>
              </w:rPr>
              <w:t>次</w:t>
            </w:r>
            <w:r>
              <w:rPr>
                <w:rFonts w:hint="eastAsia" w:ascii="Times New Roman" w:hAnsi="宋体"/>
                <w:color w:val="auto"/>
                <w:sz w:val="21"/>
                <w:szCs w:val="21"/>
              </w:rPr>
              <w:t>。</w:t>
            </w:r>
          </w:p>
          <w:p>
            <w:pPr>
              <w:adjustRightInd/>
              <w:spacing w:line="360" w:lineRule="exact"/>
              <w:jc w:val="both"/>
              <w:rPr>
                <w:rFonts w:ascii="Times New Roman" w:hAnsi="Times New Roman"/>
                <w:color w:val="auto"/>
                <w:sz w:val="18"/>
                <w:szCs w:val="18"/>
              </w:rPr>
            </w:pPr>
            <w:r>
              <w:rPr>
                <w:rFonts w:hint="eastAsia" w:ascii="Times New Roman" w:hAnsi="宋体"/>
                <w:color w:val="auto"/>
                <w:sz w:val="18"/>
                <w:szCs w:val="18"/>
              </w:rPr>
              <w:t>注：同一事项同时被多个部门通报批评只按最高的扣分计算</w:t>
            </w:r>
            <w:r>
              <w:rPr>
                <w:rFonts w:ascii="Times New Roman" w:hAnsi="Times New Roman"/>
                <w:color w:val="auto"/>
                <w:sz w:val="18"/>
                <w:szCs w:val="18"/>
              </w:rPr>
              <w:t>1</w:t>
            </w:r>
            <w:r>
              <w:rPr>
                <w:rFonts w:hint="eastAsia" w:ascii="Times New Roman" w:hAnsi="宋体"/>
                <w:color w:val="auto"/>
                <w:sz w:val="18"/>
                <w:szCs w:val="18"/>
              </w:rPr>
              <w:t>次。如果扣完本项分值，可以从总分中扣。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2" w:type="dxa"/>
            <w:vMerge w:val="continue"/>
            <w:noWrap/>
            <w:vAlign w:val="center"/>
          </w:tcPr>
          <w:p>
            <w:pPr>
              <w:adjustRightInd/>
              <w:spacing w:line="276" w:lineRule="auto"/>
              <w:jc w:val="center"/>
              <w:rPr>
                <w:rFonts w:ascii="Times New Roman" w:hAnsi="Times New Roman"/>
                <w:color w:val="auto"/>
                <w:sz w:val="18"/>
                <w:szCs w:val="18"/>
              </w:rPr>
            </w:pPr>
          </w:p>
        </w:tc>
        <w:tc>
          <w:tcPr>
            <w:tcW w:w="360" w:type="dxa"/>
            <w:vMerge w:val="continue"/>
            <w:noWrap/>
            <w:vAlign w:val="center"/>
          </w:tcPr>
          <w:p>
            <w:pPr>
              <w:adjustRightInd/>
              <w:spacing w:line="276" w:lineRule="auto"/>
              <w:jc w:val="center"/>
              <w:rPr>
                <w:rFonts w:ascii="Times New Roman" w:hAnsi="Times New Roman"/>
                <w:color w:val="auto"/>
                <w:sz w:val="18"/>
                <w:szCs w:val="18"/>
              </w:rPr>
            </w:pPr>
          </w:p>
        </w:tc>
        <w:tc>
          <w:tcPr>
            <w:tcW w:w="486" w:type="dxa"/>
            <w:vMerge w:val="continue"/>
            <w:noWrap/>
            <w:vAlign w:val="center"/>
          </w:tcPr>
          <w:p>
            <w:pPr>
              <w:adjustRightInd/>
              <w:spacing w:line="276" w:lineRule="auto"/>
              <w:jc w:val="center"/>
              <w:rPr>
                <w:rFonts w:ascii="Times New Roman" w:hAnsi="Times New Roman"/>
                <w:color w:val="auto"/>
                <w:sz w:val="21"/>
                <w:szCs w:val="21"/>
              </w:rPr>
            </w:pPr>
          </w:p>
        </w:tc>
        <w:tc>
          <w:tcPr>
            <w:tcW w:w="714" w:type="dxa"/>
            <w:vMerge w:val="continue"/>
            <w:noWrap/>
            <w:vAlign w:val="center"/>
          </w:tcPr>
          <w:p>
            <w:pPr>
              <w:adjustRightInd/>
              <w:spacing w:line="276" w:lineRule="auto"/>
              <w:jc w:val="center"/>
              <w:rPr>
                <w:rFonts w:ascii="Times New Roman" w:hAnsi="Times New Roman"/>
                <w:color w:val="auto"/>
                <w:sz w:val="21"/>
                <w:szCs w:val="21"/>
                <w:u w:val="single"/>
              </w:rPr>
            </w:pPr>
          </w:p>
        </w:tc>
        <w:tc>
          <w:tcPr>
            <w:tcW w:w="1121" w:type="dxa"/>
            <w:noWrap/>
            <w:vAlign w:val="center"/>
          </w:tcPr>
          <w:p>
            <w:pPr>
              <w:adjustRightInd/>
              <w:spacing w:line="276" w:lineRule="auto"/>
              <w:jc w:val="center"/>
              <w:rPr>
                <w:rFonts w:ascii="Times New Roman" w:hAnsi="Times New Roman"/>
                <w:color w:val="auto"/>
                <w:sz w:val="21"/>
                <w:szCs w:val="21"/>
              </w:rPr>
            </w:pPr>
            <w:r>
              <w:rPr>
                <w:rFonts w:hint="eastAsia" w:ascii="Times New Roman" w:hAnsi="宋体"/>
                <w:color w:val="auto"/>
                <w:sz w:val="21"/>
                <w:szCs w:val="21"/>
              </w:rPr>
              <w:t>信用评价</w:t>
            </w:r>
          </w:p>
        </w:tc>
        <w:tc>
          <w:tcPr>
            <w:tcW w:w="958" w:type="dxa"/>
            <w:noWrap/>
            <w:vAlign w:val="center"/>
          </w:tcPr>
          <w:p>
            <w:pPr>
              <w:adjustRightInd/>
              <w:spacing w:line="276" w:lineRule="auto"/>
              <w:jc w:val="center"/>
              <w:rPr>
                <w:rFonts w:ascii="Times New Roman" w:hAnsi="Times New Roman"/>
                <w:color w:val="auto"/>
                <w:sz w:val="21"/>
                <w:szCs w:val="21"/>
                <w:u w:val="single"/>
              </w:rPr>
            </w:pPr>
            <w:r>
              <w:rPr>
                <w:rFonts w:ascii="Times New Roman" w:hAnsi="Times New Roman"/>
                <w:color w:val="auto"/>
                <w:sz w:val="21"/>
                <w:szCs w:val="21"/>
                <w:u w:val="single"/>
              </w:rPr>
              <w:t>5</w:t>
            </w:r>
            <w:r>
              <w:rPr>
                <w:rFonts w:hint="eastAsia" w:ascii="Times New Roman" w:hAnsi="宋体"/>
                <w:color w:val="auto"/>
                <w:sz w:val="21"/>
                <w:szCs w:val="21"/>
              </w:rPr>
              <w:t>分</w:t>
            </w:r>
          </w:p>
        </w:tc>
        <w:tc>
          <w:tcPr>
            <w:tcW w:w="4826" w:type="dxa"/>
            <w:noWrap/>
            <w:vAlign w:val="center"/>
          </w:tcPr>
          <w:p>
            <w:pPr>
              <w:adjustRightInd/>
              <w:spacing w:line="360" w:lineRule="exact"/>
              <w:jc w:val="both"/>
              <w:textAlignment w:val="auto"/>
              <w:rPr>
                <w:rFonts w:ascii="Times New Roman" w:hAnsi="Times New Roman"/>
                <w:color w:val="auto"/>
                <w:sz w:val="21"/>
                <w:szCs w:val="21"/>
                <w:lang w:val="zh-CN"/>
              </w:rPr>
            </w:pPr>
            <w:r>
              <w:rPr>
                <w:rFonts w:hint="eastAsia" w:ascii="Times New Roman" w:hAnsi="宋体"/>
                <w:color w:val="auto"/>
                <w:sz w:val="21"/>
                <w:szCs w:val="21"/>
                <w:lang w:val="zh-CN"/>
              </w:rPr>
              <w:t>信用等级分值（</w:t>
            </w:r>
            <w:r>
              <w:rPr>
                <w:rFonts w:ascii="Times New Roman" w:hAnsi="Times New Roman"/>
                <w:color w:val="auto"/>
                <w:sz w:val="21"/>
                <w:szCs w:val="21"/>
                <w:u w:val="single"/>
                <w:lang w:val="zh-CN"/>
              </w:rPr>
              <w:t>5</w:t>
            </w:r>
            <w:r>
              <w:rPr>
                <w:rFonts w:hint="eastAsia" w:ascii="Times New Roman" w:hAnsi="宋体"/>
                <w:color w:val="auto"/>
                <w:sz w:val="21"/>
                <w:szCs w:val="21"/>
                <w:lang w:val="zh-CN"/>
              </w:rPr>
              <w:t>分）</w:t>
            </w:r>
          </w:p>
          <w:p>
            <w:pPr>
              <w:adjustRightInd/>
              <w:spacing w:line="360" w:lineRule="exact"/>
              <w:jc w:val="both"/>
              <w:rPr>
                <w:rFonts w:ascii="Times New Roman" w:hAnsi="Times New Roman"/>
                <w:color w:val="auto"/>
                <w:sz w:val="18"/>
                <w:szCs w:val="18"/>
              </w:rPr>
            </w:pPr>
            <w:r>
              <w:rPr>
                <w:rFonts w:hint="eastAsia" w:ascii="Times New Roman" w:hAnsi="宋体"/>
                <w:color w:val="auto"/>
                <w:sz w:val="21"/>
                <w:szCs w:val="21"/>
                <w:lang w:val="zh-CN"/>
              </w:rPr>
              <w:t>按投标人须知前附表</w:t>
            </w:r>
            <w:r>
              <w:rPr>
                <w:rFonts w:ascii="Times New Roman" w:hAnsi="Times New Roman"/>
                <w:color w:val="auto"/>
                <w:sz w:val="21"/>
                <w:szCs w:val="21"/>
                <w:lang w:val="zh-CN"/>
              </w:rPr>
              <w:t>10.2</w:t>
            </w:r>
            <w:r>
              <w:rPr>
                <w:rFonts w:hint="eastAsia" w:ascii="Times New Roman" w:hAnsi="宋体"/>
                <w:color w:val="auto"/>
                <w:sz w:val="21"/>
                <w:szCs w:val="21"/>
                <w:lang w:val="zh-CN"/>
              </w:rPr>
              <w:t>款的规定，各投标人信用等级为</w:t>
            </w:r>
            <w:r>
              <w:rPr>
                <w:rFonts w:ascii="Times New Roman" w:hAnsi="Times New Roman"/>
                <w:color w:val="auto"/>
                <w:sz w:val="21"/>
                <w:szCs w:val="21"/>
                <w:lang w:val="zh-CN"/>
              </w:rPr>
              <w:t>AA</w:t>
            </w:r>
            <w:r>
              <w:rPr>
                <w:rFonts w:hint="eastAsia" w:ascii="Times New Roman" w:hAnsi="宋体"/>
                <w:color w:val="auto"/>
                <w:sz w:val="21"/>
                <w:szCs w:val="21"/>
                <w:lang w:val="zh-CN"/>
              </w:rPr>
              <w:t>、</w:t>
            </w:r>
            <w:r>
              <w:rPr>
                <w:rFonts w:ascii="Times New Roman" w:hAnsi="Times New Roman"/>
                <w:color w:val="auto"/>
                <w:sz w:val="21"/>
                <w:szCs w:val="21"/>
                <w:lang w:val="zh-CN"/>
              </w:rPr>
              <w:t>A</w:t>
            </w:r>
            <w:r>
              <w:rPr>
                <w:rFonts w:hint="eastAsia" w:ascii="Times New Roman" w:hAnsi="宋体"/>
                <w:color w:val="auto"/>
                <w:sz w:val="21"/>
                <w:szCs w:val="21"/>
                <w:lang w:val="zh-CN"/>
              </w:rPr>
              <w:t>、</w:t>
            </w:r>
            <w:r>
              <w:rPr>
                <w:rFonts w:ascii="Times New Roman" w:hAnsi="Times New Roman"/>
                <w:color w:val="auto"/>
                <w:sz w:val="21"/>
                <w:szCs w:val="21"/>
                <w:lang w:val="zh-CN"/>
              </w:rPr>
              <w:t>B</w:t>
            </w:r>
            <w:r>
              <w:rPr>
                <w:rFonts w:hint="eastAsia" w:ascii="Times New Roman" w:hAnsi="宋体"/>
                <w:color w:val="auto"/>
                <w:sz w:val="21"/>
                <w:szCs w:val="21"/>
                <w:lang w:val="zh-CN"/>
              </w:rPr>
              <w:t>、</w:t>
            </w:r>
            <w:r>
              <w:rPr>
                <w:rFonts w:ascii="Times New Roman" w:hAnsi="Times New Roman"/>
                <w:color w:val="auto"/>
                <w:sz w:val="21"/>
                <w:szCs w:val="21"/>
                <w:lang w:val="zh-CN"/>
              </w:rPr>
              <w:t>C</w:t>
            </w:r>
            <w:r>
              <w:rPr>
                <w:rFonts w:hint="eastAsia" w:ascii="Times New Roman" w:hAnsi="宋体"/>
                <w:color w:val="auto"/>
                <w:sz w:val="21"/>
                <w:szCs w:val="21"/>
                <w:lang w:val="zh-CN"/>
              </w:rPr>
              <w:t>级的得分分别为</w:t>
            </w:r>
            <w:r>
              <w:rPr>
                <w:rFonts w:ascii="Times New Roman" w:hAnsi="Times New Roman"/>
                <w:color w:val="auto"/>
                <w:sz w:val="21"/>
                <w:szCs w:val="21"/>
                <w:lang w:val="zh-CN"/>
              </w:rPr>
              <w:t>5</w:t>
            </w:r>
            <w:r>
              <w:rPr>
                <w:rFonts w:hint="eastAsia" w:ascii="Times New Roman" w:hAnsi="宋体"/>
                <w:color w:val="auto"/>
                <w:sz w:val="21"/>
                <w:szCs w:val="21"/>
                <w:lang w:val="zh-CN"/>
              </w:rPr>
              <w:t>分、</w:t>
            </w:r>
            <w:r>
              <w:rPr>
                <w:rFonts w:ascii="Times New Roman" w:hAnsi="Times New Roman"/>
                <w:color w:val="auto"/>
                <w:sz w:val="21"/>
                <w:szCs w:val="21"/>
                <w:lang w:val="zh-CN"/>
              </w:rPr>
              <w:t>4.75</w:t>
            </w:r>
            <w:r>
              <w:rPr>
                <w:rFonts w:hint="eastAsia" w:ascii="Times New Roman" w:hAnsi="宋体"/>
                <w:color w:val="auto"/>
                <w:sz w:val="21"/>
                <w:szCs w:val="21"/>
                <w:lang w:val="zh-CN"/>
              </w:rPr>
              <w:t>分、</w:t>
            </w:r>
            <w:r>
              <w:rPr>
                <w:rFonts w:ascii="Times New Roman" w:hAnsi="Times New Roman"/>
                <w:color w:val="auto"/>
                <w:sz w:val="21"/>
                <w:szCs w:val="21"/>
                <w:lang w:val="zh-CN"/>
              </w:rPr>
              <w:t>4.45</w:t>
            </w:r>
            <w:r>
              <w:rPr>
                <w:rFonts w:hint="eastAsia" w:ascii="Times New Roman" w:hAnsi="宋体"/>
                <w:color w:val="auto"/>
                <w:sz w:val="21"/>
                <w:szCs w:val="21"/>
                <w:lang w:val="zh-CN"/>
              </w:rPr>
              <w:t>分、</w:t>
            </w:r>
            <w:r>
              <w:rPr>
                <w:rFonts w:ascii="Times New Roman" w:hAnsi="Times New Roman"/>
                <w:color w:val="auto"/>
                <w:sz w:val="21"/>
                <w:szCs w:val="21"/>
                <w:lang w:val="zh-CN"/>
              </w:rPr>
              <w:t>3.65</w:t>
            </w:r>
            <w:r>
              <w:rPr>
                <w:rFonts w:hint="eastAsia" w:ascii="Times New Roman" w:hAnsi="宋体"/>
                <w:color w:val="auto"/>
                <w:sz w:val="21"/>
                <w:szCs w:val="21"/>
                <w:lang w:val="zh-CN"/>
              </w:rPr>
              <w:t>分。</w:t>
            </w:r>
          </w:p>
          <w:p>
            <w:pPr>
              <w:adjustRightInd/>
              <w:spacing w:line="360" w:lineRule="exact"/>
              <w:jc w:val="both"/>
              <w:rPr>
                <w:rFonts w:ascii="Times New Roman" w:hAnsi="Times New Roman"/>
                <w:color w:val="auto"/>
                <w:sz w:val="18"/>
                <w:szCs w:val="18"/>
              </w:rPr>
            </w:pPr>
          </w:p>
          <w:p>
            <w:pPr>
              <w:adjustRightInd/>
              <w:spacing w:line="360" w:lineRule="exact"/>
              <w:jc w:val="both"/>
              <w:rPr>
                <w:rFonts w:ascii="Times New Roman" w:hAnsi="Times New Roman"/>
                <w:color w:val="auto"/>
                <w:sz w:val="18"/>
                <w:szCs w:val="18"/>
              </w:rPr>
            </w:pPr>
            <w:r>
              <w:rPr>
                <w:rFonts w:hint="eastAsia" w:ascii="Times New Roman" w:hAnsi="宋体"/>
                <w:color w:val="auto"/>
                <w:sz w:val="18"/>
                <w:szCs w:val="18"/>
              </w:rPr>
              <w:t>注：信用等级的确定原则遵循投标人须知前附表</w:t>
            </w:r>
            <w:r>
              <w:rPr>
                <w:rFonts w:ascii="Times New Roman" w:hAnsi="Times New Roman"/>
                <w:color w:val="auto"/>
                <w:sz w:val="18"/>
                <w:szCs w:val="18"/>
              </w:rPr>
              <w:t>10.2</w:t>
            </w:r>
            <w:r>
              <w:rPr>
                <w:rFonts w:hint="eastAsia" w:ascii="Times New Roman" w:hAnsi="宋体"/>
                <w:color w:val="auto"/>
                <w:sz w:val="18"/>
                <w:szCs w:val="18"/>
              </w:rPr>
              <w:t>款的规定。</w:t>
            </w:r>
          </w:p>
        </w:tc>
      </w:tr>
    </w:tbl>
    <w:p>
      <w:pPr>
        <w:jc w:val="right"/>
        <w:rPr>
          <w:rFonts w:ascii="Times New Roman" w:hAnsi="Times New Roman"/>
          <w:b/>
          <w:color w:val="auto"/>
        </w:rPr>
      </w:pPr>
    </w:p>
    <w:p>
      <w:pPr>
        <w:jc w:val="right"/>
        <w:rPr>
          <w:rFonts w:ascii="Times New Roman" w:hAnsi="Times New Roman"/>
          <w:color w:val="auto"/>
        </w:rPr>
      </w:pPr>
      <w:r>
        <w:rPr>
          <w:rFonts w:ascii="Times New Roman" w:hAnsi="Times New Roman"/>
          <w:b/>
          <w:color w:val="auto"/>
        </w:rPr>
        <w:br w:type="page"/>
      </w:r>
      <w:r>
        <w:rPr>
          <w:rFonts w:hint="eastAsia" w:ascii="Times New Roman"/>
          <w:b/>
          <w:color w:val="auto"/>
        </w:rPr>
        <w:t>续上表</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7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40" w:type="dxa"/>
            <w:gridSpan w:val="2"/>
            <w:noWrap/>
            <w:vAlign w:val="center"/>
          </w:tcPr>
          <w:p>
            <w:pPr>
              <w:spacing w:line="276" w:lineRule="auto"/>
              <w:rPr>
                <w:rFonts w:ascii="Times New Roman" w:hAnsi="Times New Roman"/>
                <w:color w:val="auto"/>
                <w:sz w:val="21"/>
                <w:szCs w:val="21"/>
              </w:rPr>
            </w:pPr>
            <w:r>
              <w:rPr>
                <w:rFonts w:hint="eastAsia" w:ascii="Times New Roman" w:hAnsi="宋体"/>
                <w:b/>
                <w:color w:val="auto"/>
                <w:sz w:val="21"/>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条款号</w:t>
            </w:r>
          </w:p>
        </w:tc>
        <w:tc>
          <w:tcPr>
            <w:tcW w:w="8154"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noWrap/>
            <w:vAlign w:val="center"/>
          </w:tcPr>
          <w:p>
            <w:pPr>
              <w:spacing w:line="276" w:lineRule="auto"/>
              <w:jc w:val="center"/>
              <w:rPr>
                <w:rFonts w:ascii="Times New Roman" w:hAnsi="Times New Roman"/>
                <w:color w:val="auto"/>
                <w:sz w:val="21"/>
                <w:szCs w:val="21"/>
              </w:rPr>
            </w:pPr>
            <w:r>
              <w:rPr>
                <w:rFonts w:ascii="Times New Roman" w:hAnsi="Times New Roman"/>
                <w:color w:val="auto"/>
                <w:sz w:val="21"/>
                <w:szCs w:val="21"/>
              </w:rPr>
              <w:t>1</w:t>
            </w:r>
          </w:p>
        </w:tc>
        <w:tc>
          <w:tcPr>
            <w:tcW w:w="8154" w:type="dxa"/>
            <w:noWrap/>
            <w:vAlign w:val="center"/>
          </w:tcPr>
          <w:p>
            <w:pPr>
              <w:spacing w:line="360" w:lineRule="auto"/>
              <w:rPr>
                <w:rFonts w:ascii="Times New Roman" w:hAnsi="Times New Roman"/>
                <w:color w:val="auto"/>
                <w:sz w:val="21"/>
                <w:szCs w:val="21"/>
              </w:rPr>
            </w:pPr>
            <w:r>
              <w:rPr>
                <w:rFonts w:hint="eastAsia" w:ascii="Times New Roman" w:hAnsi="宋体"/>
                <w:color w:val="auto"/>
                <w:sz w:val="21"/>
                <w:szCs w:val="21"/>
              </w:rPr>
              <w:t>将评标办法范本原文第</w:t>
            </w:r>
            <w:r>
              <w:rPr>
                <w:rFonts w:ascii="Times New Roman" w:hAnsi="Times New Roman"/>
                <w:color w:val="auto"/>
                <w:sz w:val="21"/>
                <w:szCs w:val="21"/>
              </w:rPr>
              <w:t>1</w:t>
            </w:r>
            <w:r>
              <w:rPr>
                <w:rFonts w:hint="eastAsia" w:ascii="Times New Roman" w:hAnsi="宋体"/>
                <w:color w:val="auto"/>
                <w:sz w:val="21"/>
                <w:szCs w:val="21"/>
              </w:rPr>
              <w:t>条</w:t>
            </w:r>
            <w:r>
              <w:rPr>
                <w:rFonts w:ascii="Times New Roman" w:hAnsi="Times New Roman"/>
                <w:color w:val="auto"/>
                <w:sz w:val="21"/>
                <w:szCs w:val="21"/>
              </w:rPr>
              <w:t>“</w:t>
            </w:r>
            <w:r>
              <w:rPr>
                <w:rFonts w:hint="eastAsia" w:ascii="Times New Roman" w:hAnsi="宋体"/>
                <w:color w:val="auto"/>
                <w:sz w:val="21"/>
                <w:szCs w:val="21"/>
              </w:rPr>
              <w:t>评标方法</w:t>
            </w:r>
            <w:r>
              <w:rPr>
                <w:rFonts w:ascii="Times New Roman" w:hAnsi="Times New Roman"/>
                <w:color w:val="auto"/>
                <w:sz w:val="21"/>
                <w:szCs w:val="21"/>
              </w:rPr>
              <w:t>”</w:t>
            </w:r>
            <w:r>
              <w:rPr>
                <w:rFonts w:hint="eastAsia" w:ascii="Times New Roman" w:hAnsi="宋体"/>
                <w:color w:val="auto"/>
                <w:sz w:val="21"/>
                <w:szCs w:val="21"/>
              </w:rPr>
              <w:t>改为</w:t>
            </w:r>
            <w:r>
              <w:rPr>
                <w:rFonts w:ascii="Times New Roman" w:hAnsi="Times New Roman"/>
                <w:color w:val="auto"/>
                <w:sz w:val="21"/>
                <w:szCs w:val="21"/>
              </w:rPr>
              <w:t>“</w:t>
            </w:r>
            <w:r>
              <w:rPr>
                <w:rFonts w:hint="eastAsia" w:ascii="Times New Roman" w:hAnsi="宋体"/>
                <w:color w:val="auto"/>
                <w:sz w:val="21"/>
                <w:szCs w:val="21"/>
              </w:rPr>
              <w:t>评标方法、组织及工作程序</w:t>
            </w:r>
            <w:r>
              <w:rPr>
                <w:rFonts w:ascii="Times New Roman" w:hAnsi="Times New Roman"/>
                <w:color w:val="auto"/>
                <w:sz w:val="21"/>
                <w:szCs w:val="21"/>
              </w:rPr>
              <w:t>”</w:t>
            </w:r>
            <w:r>
              <w:rPr>
                <w:rFonts w:hint="eastAsia" w:ascii="Times New Roman" w:hAnsi="宋体"/>
                <w:color w:val="auto"/>
                <w:sz w:val="21"/>
                <w:szCs w:val="21"/>
              </w:rPr>
              <w:t>，并且原文内容修改如下：</w:t>
            </w:r>
          </w:p>
          <w:p>
            <w:pPr>
              <w:spacing w:line="360" w:lineRule="auto"/>
              <w:rPr>
                <w:rFonts w:ascii="Times New Roman" w:hAnsi="Times New Roman"/>
                <w:color w:val="auto"/>
                <w:sz w:val="21"/>
                <w:szCs w:val="21"/>
              </w:rPr>
            </w:pPr>
            <w:r>
              <w:rPr>
                <w:rFonts w:ascii="Times New Roman" w:hAnsi="Times New Roman"/>
                <w:color w:val="auto"/>
                <w:sz w:val="21"/>
                <w:szCs w:val="21"/>
              </w:rPr>
              <w:t>1.1</w:t>
            </w:r>
            <w:r>
              <w:rPr>
                <w:rFonts w:hint="eastAsia" w:ascii="Times New Roman" w:hAnsi="宋体"/>
                <w:color w:val="auto"/>
                <w:sz w:val="21"/>
                <w:szCs w:val="21"/>
              </w:rPr>
              <w:t>评标方法</w:t>
            </w:r>
          </w:p>
          <w:p>
            <w:pPr>
              <w:spacing w:line="360" w:lineRule="auto"/>
              <w:ind w:firstLine="420" w:firstLineChars="200"/>
              <w:rPr>
                <w:rFonts w:ascii="Times New Roman" w:hAnsi="Times New Roman"/>
                <w:color w:val="auto"/>
                <w:sz w:val="21"/>
                <w:szCs w:val="21"/>
              </w:rPr>
            </w:pPr>
            <w:r>
              <w:rPr>
                <w:rFonts w:hint="eastAsia" w:ascii="Times New Roman" w:hAnsi="宋体"/>
                <w:color w:val="auto"/>
                <w:sz w:val="21"/>
                <w:szCs w:val="21"/>
              </w:rPr>
              <w:t>本次评标采用综合评估法。评标委员会对满足招标文件实质性要求的投标文件，按照本章第</w:t>
            </w:r>
            <w:r>
              <w:rPr>
                <w:rFonts w:ascii="Times New Roman" w:hAnsi="Times New Roman"/>
                <w:color w:val="auto"/>
                <w:sz w:val="21"/>
                <w:szCs w:val="21"/>
              </w:rPr>
              <w:t>2.2</w:t>
            </w:r>
            <w:r>
              <w:rPr>
                <w:rFonts w:hint="eastAsia" w:ascii="Times New Roman" w:hAnsi="宋体"/>
                <w:color w:val="auto"/>
                <w:sz w:val="21"/>
                <w:szCs w:val="21"/>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pPr>
              <w:spacing w:line="360" w:lineRule="auto"/>
              <w:rPr>
                <w:rFonts w:ascii="Times New Roman" w:hAnsi="Times New Roman"/>
                <w:color w:val="auto"/>
                <w:sz w:val="21"/>
                <w:szCs w:val="21"/>
              </w:rPr>
            </w:pPr>
            <w:r>
              <w:rPr>
                <w:rFonts w:ascii="Times New Roman" w:hAnsi="Times New Roman"/>
                <w:color w:val="auto"/>
                <w:sz w:val="21"/>
                <w:szCs w:val="21"/>
              </w:rPr>
              <w:t>1.2</w:t>
            </w:r>
            <w:r>
              <w:rPr>
                <w:rFonts w:hint="eastAsia" w:ascii="Times New Roman" w:hAnsi="宋体"/>
                <w:color w:val="auto"/>
                <w:sz w:val="21"/>
                <w:szCs w:val="21"/>
              </w:rPr>
              <w:t>评标组织</w:t>
            </w:r>
          </w:p>
          <w:p>
            <w:pPr>
              <w:spacing w:line="360" w:lineRule="auto"/>
              <w:rPr>
                <w:rFonts w:ascii="Times New Roman" w:hAnsi="Times New Roman"/>
                <w:color w:val="auto"/>
                <w:sz w:val="21"/>
                <w:szCs w:val="21"/>
              </w:rPr>
            </w:pPr>
            <w:r>
              <w:rPr>
                <w:rFonts w:ascii="Times New Roman" w:hAnsi="Times New Roman"/>
                <w:color w:val="auto"/>
                <w:sz w:val="21"/>
                <w:szCs w:val="21"/>
              </w:rPr>
              <w:t>1.2.1</w:t>
            </w:r>
            <w:r>
              <w:rPr>
                <w:rFonts w:hint="eastAsia" w:ascii="Times New Roman" w:hAnsi="宋体"/>
                <w:color w:val="auto"/>
                <w:sz w:val="21"/>
                <w:szCs w:val="21"/>
              </w:rPr>
              <w:t>协助工作组</w:t>
            </w:r>
          </w:p>
          <w:p>
            <w:pPr>
              <w:spacing w:line="360" w:lineRule="auto"/>
              <w:ind w:firstLine="420" w:firstLineChars="200"/>
              <w:rPr>
                <w:rFonts w:ascii="Times New Roman" w:hAnsi="Times New Roman"/>
                <w:color w:val="auto"/>
                <w:sz w:val="21"/>
                <w:szCs w:val="21"/>
              </w:rPr>
            </w:pPr>
            <w:r>
              <w:rPr>
                <w:rFonts w:hint="eastAsia" w:ascii="Times New Roman" w:hAnsi="宋体"/>
                <w:color w:val="auto"/>
                <w:sz w:val="21"/>
                <w:szCs w:val="21"/>
              </w:rPr>
              <w:t>招标代理可在评标工作开始前成立协助工作组，选派熟悉招标工作、政治素质高的人员组成，协助评标委员会工作。协助工作组人员的具体数量由招标人视评标工作量确定。</w:t>
            </w:r>
          </w:p>
          <w:p>
            <w:pPr>
              <w:spacing w:line="360" w:lineRule="auto"/>
              <w:ind w:firstLine="485"/>
              <w:rPr>
                <w:rFonts w:ascii="Times New Roman" w:hAnsi="Times New Roman"/>
                <w:color w:val="auto"/>
                <w:sz w:val="21"/>
                <w:szCs w:val="21"/>
              </w:rPr>
            </w:pPr>
            <w:r>
              <w:rPr>
                <w:rFonts w:hint="eastAsia" w:ascii="Times New Roman" w:hAnsi="宋体"/>
                <w:color w:val="auto"/>
                <w:sz w:val="21"/>
                <w:szCs w:val="21"/>
              </w:rPr>
              <w:t>招标代理可以协助评标委员会开展下列工作并提供相关信息：</w:t>
            </w:r>
          </w:p>
          <w:p>
            <w:pPr>
              <w:spacing w:line="360" w:lineRule="auto"/>
              <w:ind w:firstLine="485"/>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）根据招标文件，编制评标使用的相应表格；</w:t>
            </w:r>
          </w:p>
          <w:p>
            <w:pPr>
              <w:spacing w:line="360" w:lineRule="auto"/>
              <w:ind w:firstLine="485"/>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）对投标报价进行算术性校核（如采用固化工程量清单，本步骤省略）；</w:t>
            </w:r>
          </w:p>
          <w:p>
            <w:pPr>
              <w:spacing w:line="360" w:lineRule="auto"/>
              <w:ind w:firstLine="485"/>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）以评标标准和方法为依据，列出投标文件相对于招标文件的所有偏差，并进行归类汇总；</w:t>
            </w:r>
          </w:p>
          <w:p>
            <w:pPr>
              <w:spacing w:line="360" w:lineRule="auto"/>
              <w:ind w:firstLine="485"/>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4</w:t>
            </w:r>
            <w:r>
              <w:rPr>
                <w:rFonts w:hint="eastAsia" w:ascii="Times New Roman" w:hAnsi="宋体"/>
                <w:color w:val="auto"/>
                <w:sz w:val="21"/>
                <w:szCs w:val="21"/>
              </w:rPr>
              <w:t>）查询全国公路建设市场信用信息管理系统，对投标人的资质、业绩、信用等级进行核实。</w:t>
            </w:r>
          </w:p>
          <w:p>
            <w:pPr>
              <w:spacing w:line="360" w:lineRule="auto"/>
              <w:ind w:firstLine="420" w:firstLineChars="200"/>
              <w:rPr>
                <w:rFonts w:ascii="Times New Roman" w:hAnsi="Times New Roman"/>
                <w:color w:val="auto"/>
                <w:sz w:val="21"/>
                <w:szCs w:val="21"/>
              </w:rPr>
            </w:pPr>
            <w:r>
              <w:rPr>
                <w:rFonts w:hint="eastAsia" w:ascii="Times New Roman" w:hAnsi="宋体"/>
                <w:color w:val="auto"/>
                <w:sz w:val="21"/>
                <w:szCs w:val="21"/>
              </w:rPr>
              <w:t>招标人不得对投标文件作出任何评价，不得故意遗漏或者片面摘录，不得在评标委员会对所有偏差定性之前透露存有偏差的投标人名称。</w:t>
            </w:r>
          </w:p>
          <w:p>
            <w:pPr>
              <w:spacing w:line="360" w:lineRule="auto"/>
              <w:rPr>
                <w:rFonts w:ascii="Times New Roman" w:hAnsi="Times New Roman"/>
                <w:color w:val="auto"/>
                <w:sz w:val="21"/>
                <w:szCs w:val="21"/>
              </w:rPr>
            </w:pPr>
            <w:r>
              <w:rPr>
                <w:rFonts w:ascii="Times New Roman" w:hAnsi="Times New Roman"/>
                <w:color w:val="auto"/>
                <w:sz w:val="21"/>
                <w:szCs w:val="21"/>
              </w:rPr>
              <w:t>1.2.2</w:t>
            </w:r>
            <w:r>
              <w:rPr>
                <w:rFonts w:hint="eastAsia" w:ascii="Times New Roman" w:hAnsi="宋体"/>
                <w:color w:val="auto"/>
                <w:sz w:val="21"/>
                <w:szCs w:val="21"/>
              </w:rPr>
              <w:t>评标委员会</w:t>
            </w:r>
          </w:p>
          <w:p>
            <w:pPr>
              <w:spacing w:line="360" w:lineRule="auto"/>
              <w:ind w:firstLine="420" w:firstLineChars="200"/>
              <w:rPr>
                <w:rFonts w:ascii="Times New Roman" w:hAnsi="Times New Roman"/>
                <w:color w:val="auto"/>
                <w:sz w:val="21"/>
                <w:szCs w:val="21"/>
              </w:rPr>
            </w:pPr>
            <w:r>
              <w:rPr>
                <w:rFonts w:hint="eastAsia" w:ascii="Times New Roman" w:hAnsi="宋体"/>
                <w:color w:val="auto"/>
                <w:sz w:val="21"/>
                <w:szCs w:val="21"/>
              </w:rPr>
              <w:t>评标委员会的组建按投标人须知第</w:t>
            </w:r>
            <w:r>
              <w:rPr>
                <w:rFonts w:ascii="Times New Roman" w:hAnsi="Times New Roman"/>
                <w:color w:val="auto"/>
                <w:sz w:val="21"/>
                <w:szCs w:val="21"/>
              </w:rPr>
              <w:t>6.1.1</w:t>
            </w:r>
            <w:r>
              <w:rPr>
                <w:rFonts w:hint="eastAsia" w:ascii="Times New Roman" w:hAnsi="宋体"/>
                <w:color w:val="auto"/>
                <w:sz w:val="21"/>
                <w:szCs w:val="21"/>
              </w:rPr>
              <w:t>项执行。评标委员会的主要工作内容包括：</w:t>
            </w:r>
          </w:p>
          <w:p>
            <w:pPr>
              <w:spacing w:line="360" w:lineRule="auto"/>
              <w:ind w:firstLine="210" w:firstLineChars="100"/>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）评标委员会开始评标工作之前，首先听取招标人、协助工作组关于工程情况和辅助工作的说明，并认真研读招标文件，获取评标所需的重要信息和数据；</w:t>
            </w:r>
          </w:p>
          <w:p>
            <w:pPr>
              <w:spacing w:line="360" w:lineRule="auto"/>
              <w:ind w:firstLine="210" w:firstLineChars="100"/>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）对协助工作组提供的评标工作用表和评标内容进行核查。</w:t>
            </w:r>
          </w:p>
          <w:p>
            <w:pPr>
              <w:spacing w:line="360" w:lineRule="auto"/>
              <w:ind w:firstLine="210" w:firstLineChars="100"/>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）按照评标程序进行各项评审工作。</w:t>
            </w:r>
          </w:p>
        </w:tc>
      </w:tr>
    </w:tbl>
    <w:p>
      <w:pPr>
        <w:rPr>
          <w:rFonts w:ascii="Times New Roman" w:hAnsi="Times New Roman"/>
          <w:color w:val="auto"/>
        </w:rPr>
      </w:pPr>
      <w:r>
        <w:rPr>
          <w:rFonts w:ascii="Times New Roman" w:hAnsi="Times New Roman"/>
          <w:color w:val="auto"/>
        </w:rPr>
        <w:br w:type="page"/>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8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86" w:type="dxa"/>
            <w:noWrap/>
            <w:vAlign w:val="center"/>
          </w:tcPr>
          <w:p>
            <w:pPr>
              <w:spacing w:line="276" w:lineRule="auto"/>
              <w:jc w:val="center"/>
              <w:rPr>
                <w:rFonts w:ascii="Times New Roman" w:hAnsi="Times New Roman"/>
                <w:color w:val="auto"/>
                <w:sz w:val="21"/>
                <w:szCs w:val="21"/>
              </w:rPr>
            </w:pPr>
            <w:r>
              <w:rPr>
                <w:rFonts w:hint="eastAsia" w:ascii="Times New Roman" w:hAnsi="宋体"/>
                <w:b/>
                <w:color w:val="auto"/>
                <w:sz w:val="21"/>
                <w:szCs w:val="21"/>
              </w:rPr>
              <w:t>条款号</w:t>
            </w:r>
          </w:p>
        </w:tc>
        <w:tc>
          <w:tcPr>
            <w:tcW w:w="8154" w:type="dxa"/>
            <w:noWrap/>
            <w:vAlign w:val="center"/>
          </w:tcPr>
          <w:p>
            <w:pPr>
              <w:spacing w:line="276" w:lineRule="auto"/>
              <w:ind w:firstLine="422" w:firstLineChars="200"/>
              <w:jc w:val="center"/>
              <w:rPr>
                <w:rFonts w:ascii="Times New Roman" w:hAnsi="Times New Roman"/>
                <w:color w:val="auto"/>
                <w:sz w:val="21"/>
                <w:szCs w:val="21"/>
              </w:rPr>
            </w:pPr>
            <w:r>
              <w:rPr>
                <w:rFonts w:hint="eastAsia" w:ascii="Times New Roman" w:hAnsi="宋体"/>
                <w:b/>
                <w:color w:val="auto"/>
                <w:sz w:val="21"/>
                <w:szCs w:val="21"/>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0" w:hRule="atLeast"/>
          <w:jc w:val="center"/>
        </w:trPr>
        <w:tc>
          <w:tcPr>
            <w:tcW w:w="886" w:type="dxa"/>
            <w:noWrap/>
            <w:vAlign w:val="center"/>
          </w:tcPr>
          <w:p>
            <w:pPr>
              <w:spacing w:line="276" w:lineRule="auto"/>
              <w:jc w:val="center"/>
              <w:rPr>
                <w:rFonts w:ascii="Times New Roman" w:hAnsi="Times New Roman"/>
                <w:color w:val="auto"/>
                <w:sz w:val="21"/>
                <w:szCs w:val="21"/>
              </w:rPr>
            </w:pPr>
            <w:r>
              <w:rPr>
                <w:rFonts w:ascii="Times New Roman" w:hAnsi="Times New Roman"/>
                <w:color w:val="auto"/>
                <w:sz w:val="21"/>
                <w:szCs w:val="21"/>
              </w:rPr>
              <w:t>3.2.3</w:t>
            </w:r>
          </w:p>
        </w:tc>
        <w:tc>
          <w:tcPr>
            <w:tcW w:w="8154" w:type="dxa"/>
            <w:noWrap/>
            <w:vAlign w:val="center"/>
          </w:tcPr>
          <w:p>
            <w:pPr>
              <w:spacing w:line="307" w:lineRule="auto"/>
              <w:rPr>
                <w:rFonts w:ascii="Times New Roman" w:hAnsi="Times New Roman"/>
                <w:color w:val="auto"/>
                <w:szCs w:val="21"/>
              </w:rPr>
            </w:pPr>
            <w:r>
              <w:rPr>
                <w:rFonts w:hint="eastAsia" w:ascii="Times New Roman" w:hAnsi="宋体"/>
                <w:color w:val="auto"/>
                <w:sz w:val="21"/>
                <w:szCs w:val="21"/>
              </w:rPr>
              <w:t>将评标办法范本原文第</w:t>
            </w:r>
            <w:r>
              <w:rPr>
                <w:rFonts w:ascii="Times New Roman" w:hAnsi="Times New Roman"/>
                <w:color w:val="auto"/>
                <w:sz w:val="21"/>
                <w:szCs w:val="21"/>
              </w:rPr>
              <w:t>3.2.3</w:t>
            </w:r>
            <w:r>
              <w:rPr>
                <w:rFonts w:hint="eastAsia" w:ascii="Times New Roman" w:hAnsi="宋体"/>
                <w:color w:val="auto"/>
                <w:sz w:val="21"/>
                <w:szCs w:val="21"/>
              </w:rPr>
              <w:t>款细化如下：</w:t>
            </w:r>
          </w:p>
          <w:p>
            <w:pPr>
              <w:spacing w:line="307" w:lineRule="auto"/>
              <w:ind w:firstLine="420" w:firstLineChars="200"/>
              <w:rPr>
                <w:rFonts w:ascii="Times New Roman" w:hAnsi="Times New Roman"/>
                <w:color w:val="auto"/>
                <w:szCs w:val="21"/>
              </w:rPr>
            </w:pPr>
            <w:r>
              <w:rPr>
                <w:rFonts w:hint="eastAsia" w:ascii="Times New Roman" w:hAnsi="宋体"/>
                <w:color w:val="auto"/>
                <w:sz w:val="21"/>
                <w:szCs w:val="21"/>
              </w:rPr>
              <w:t>投标人的商务和技术得分</w:t>
            </w:r>
            <w:r>
              <w:rPr>
                <w:rFonts w:ascii="Times New Roman" w:hAnsi="Times New Roman"/>
                <w:color w:val="auto"/>
                <w:sz w:val="21"/>
                <w:szCs w:val="21"/>
              </w:rPr>
              <w:t>=A+B+D</w:t>
            </w:r>
            <w:r>
              <w:rPr>
                <w:rFonts w:hint="eastAsia" w:ascii="Times New Roman" w:hAnsi="宋体"/>
                <w:color w:val="auto"/>
                <w:sz w:val="21"/>
                <w:szCs w:val="21"/>
              </w:rPr>
              <w:t>。</w:t>
            </w:r>
          </w:p>
          <w:p>
            <w:pPr>
              <w:spacing w:line="307" w:lineRule="auto"/>
              <w:ind w:firstLine="420" w:firstLineChars="200"/>
              <w:rPr>
                <w:rFonts w:ascii="Times New Roman" w:hAnsi="Times New Roman"/>
                <w:color w:val="auto"/>
                <w:sz w:val="21"/>
                <w:szCs w:val="21"/>
              </w:rPr>
            </w:pPr>
            <w:r>
              <w:rPr>
                <w:rFonts w:hint="eastAsia" w:ascii="Times New Roman" w:hAnsi="宋体"/>
                <w:color w:val="auto"/>
                <w:sz w:val="21"/>
                <w:szCs w:val="21"/>
              </w:rPr>
              <w:t>各评分因素（评标价、履约信誉评分项除外）及其各评审因素细分项的得分一般不得低于其权重分值的</w:t>
            </w:r>
            <w:r>
              <w:rPr>
                <w:rFonts w:ascii="Times New Roman" w:hAnsi="Times New Roman"/>
                <w:color w:val="auto"/>
                <w:sz w:val="21"/>
                <w:szCs w:val="21"/>
              </w:rPr>
              <w:t>60%</w:t>
            </w:r>
            <w:r>
              <w:rPr>
                <w:rFonts w:hint="eastAsia" w:ascii="Times New Roman" w:hAnsi="宋体"/>
                <w:color w:val="auto"/>
                <w:sz w:val="21"/>
                <w:szCs w:val="21"/>
              </w:rPr>
              <w:t>，评分低于上述权重分值百分比的，评标委员会成员应当在评标报告中作出说明。</w:t>
            </w:r>
          </w:p>
          <w:p>
            <w:pPr>
              <w:spacing w:line="307" w:lineRule="auto"/>
              <w:ind w:firstLine="420" w:firstLineChars="200"/>
              <w:rPr>
                <w:rFonts w:ascii="Times New Roman" w:hAnsi="Times New Roman"/>
                <w:color w:val="auto"/>
                <w:sz w:val="21"/>
                <w:szCs w:val="21"/>
              </w:rPr>
            </w:pPr>
            <w:r>
              <w:rPr>
                <w:rFonts w:hint="eastAsia" w:ascii="Times New Roman" w:hAnsi="宋体"/>
                <w:color w:val="auto"/>
                <w:sz w:val="21"/>
                <w:szCs w:val="21"/>
              </w:rPr>
              <w:t>计算投标人技术得分时</w:t>
            </w:r>
            <w:r>
              <w:rPr>
                <w:rFonts w:ascii="Times New Roman" w:hAnsi="Times New Roman"/>
                <w:color w:val="auto"/>
                <w:sz w:val="21"/>
                <w:szCs w:val="21"/>
              </w:rPr>
              <w:t>:</w:t>
            </w:r>
            <w:r>
              <w:rPr>
                <w:rFonts w:hint="eastAsia" w:ascii="Times New Roman" w:hAnsi="宋体"/>
                <w:color w:val="auto"/>
                <w:sz w:val="21"/>
                <w:szCs w:val="21"/>
              </w:rPr>
              <w:t>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三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6" w:hRule="atLeast"/>
          <w:jc w:val="center"/>
        </w:trPr>
        <w:tc>
          <w:tcPr>
            <w:tcW w:w="886" w:type="dxa"/>
            <w:noWrap/>
            <w:vAlign w:val="center"/>
          </w:tcPr>
          <w:p>
            <w:pPr>
              <w:spacing w:line="276" w:lineRule="auto"/>
              <w:jc w:val="center"/>
              <w:rPr>
                <w:rFonts w:ascii="Times New Roman" w:hAnsi="Times New Roman"/>
                <w:color w:val="auto"/>
                <w:sz w:val="21"/>
                <w:szCs w:val="21"/>
              </w:rPr>
            </w:pPr>
            <w:r>
              <w:rPr>
                <w:rFonts w:ascii="Times New Roman" w:hAnsi="Times New Roman"/>
                <w:color w:val="auto"/>
                <w:sz w:val="21"/>
                <w:szCs w:val="21"/>
                <w:lang w:val="zh-CN"/>
              </w:rPr>
              <w:t>3.6</w:t>
            </w:r>
          </w:p>
        </w:tc>
        <w:tc>
          <w:tcPr>
            <w:tcW w:w="8154" w:type="dxa"/>
            <w:noWrap/>
            <w:vAlign w:val="center"/>
          </w:tcPr>
          <w:p>
            <w:pPr>
              <w:spacing w:line="307" w:lineRule="auto"/>
              <w:rPr>
                <w:rFonts w:ascii="Times New Roman" w:hAnsi="Times New Roman"/>
                <w:color w:val="auto"/>
                <w:sz w:val="21"/>
                <w:szCs w:val="21"/>
                <w:lang w:val="zh-CN"/>
              </w:rPr>
            </w:pPr>
            <w:r>
              <w:rPr>
                <w:rFonts w:hint="eastAsia" w:ascii="Times New Roman" w:hAnsi="宋体"/>
                <w:color w:val="auto"/>
                <w:sz w:val="21"/>
                <w:szCs w:val="21"/>
              </w:rPr>
              <w:t>评标办法范本原文</w:t>
            </w:r>
            <w:r>
              <w:rPr>
                <w:rFonts w:hint="eastAsia" w:ascii="Times New Roman" w:hAnsi="宋体"/>
                <w:color w:val="auto"/>
                <w:sz w:val="21"/>
                <w:szCs w:val="21"/>
                <w:lang w:val="zh-CN"/>
              </w:rPr>
              <w:t>增加</w:t>
            </w:r>
            <w:r>
              <w:rPr>
                <w:rFonts w:ascii="Times New Roman" w:hAnsi="Times New Roman"/>
                <w:color w:val="auto"/>
                <w:sz w:val="21"/>
                <w:szCs w:val="21"/>
                <w:lang w:val="zh-CN"/>
              </w:rPr>
              <w:t>3.6.3</w:t>
            </w:r>
            <w:r>
              <w:rPr>
                <w:rFonts w:hint="eastAsia" w:ascii="Times New Roman" w:hAnsi="宋体"/>
                <w:color w:val="auto"/>
                <w:sz w:val="21"/>
                <w:szCs w:val="21"/>
                <w:lang w:val="zh-CN"/>
              </w:rPr>
              <w:t>款：</w:t>
            </w:r>
          </w:p>
          <w:p>
            <w:pPr>
              <w:widowControl w:val="0"/>
              <w:adjustRightInd w:val="0"/>
              <w:snapToGrid w:val="0"/>
              <w:spacing w:line="307" w:lineRule="auto"/>
              <w:ind w:left="50" w:leftChars="21" w:firstLine="432" w:firstLineChars="206"/>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zh-CN" w:eastAsia="zh-CN" w:bidi="ar-SA"/>
              </w:rPr>
              <w:t>3.6.3</w:t>
            </w:r>
            <w:r>
              <w:rPr>
                <w:rFonts w:hint="eastAsia" w:ascii="Times New Roman" w:hAnsi="宋体" w:eastAsia="宋体" w:cs="Times New Roman"/>
                <w:color w:val="auto"/>
                <w:kern w:val="0"/>
                <w:sz w:val="21"/>
                <w:szCs w:val="21"/>
                <w:lang w:val="zh-CN" w:eastAsia="zh-CN" w:bidi="ar-SA"/>
              </w:rPr>
              <w:t>依法必须进行招标的项目，除第一中标候选人或者中标人以外的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2" w:hRule="atLeast"/>
          <w:jc w:val="center"/>
        </w:trPr>
        <w:tc>
          <w:tcPr>
            <w:tcW w:w="886" w:type="dxa"/>
            <w:noWrap/>
            <w:vAlign w:val="center"/>
          </w:tcPr>
          <w:p>
            <w:pPr>
              <w:spacing w:line="276" w:lineRule="auto"/>
              <w:jc w:val="center"/>
              <w:rPr>
                <w:rFonts w:ascii="Times New Roman" w:hAnsi="Times New Roman"/>
                <w:color w:val="auto"/>
                <w:sz w:val="21"/>
                <w:szCs w:val="21"/>
              </w:rPr>
            </w:pPr>
            <w:r>
              <w:rPr>
                <w:rFonts w:ascii="Times New Roman" w:hAnsi="Times New Roman"/>
                <w:color w:val="auto"/>
                <w:sz w:val="21"/>
                <w:szCs w:val="21"/>
              </w:rPr>
              <w:t>3.9</w:t>
            </w:r>
          </w:p>
        </w:tc>
        <w:tc>
          <w:tcPr>
            <w:tcW w:w="8154" w:type="dxa"/>
            <w:noWrap/>
            <w:vAlign w:val="center"/>
          </w:tcPr>
          <w:p>
            <w:pPr>
              <w:snapToGrid w:val="0"/>
              <w:spacing w:line="307" w:lineRule="auto"/>
              <w:rPr>
                <w:rFonts w:ascii="Times New Roman" w:hAnsi="Times New Roman"/>
                <w:bCs/>
                <w:color w:val="auto"/>
                <w:szCs w:val="21"/>
              </w:rPr>
            </w:pPr>
            <w:r>
              <w:rPr>
                <w:rFonts w:hint="eastAsia" w:ascii="Times New Roman" w:hAnsi="宋体"/>
                <w:color w:val="auto"/>
                <w:sz w:val="21"/>
                <w:szCs w:val="21"/>
              </w:rPr>
              <w:t>评标办法范本原文</w:t>
            </w:r>
            <w:r>
              <w:rPr>
                <w:rFonts w:hint="eastAsia" w:ascii="Times New Roman" w:hAnsi="宋体"/>
                <w:bCs/>
                <w:color w:val="auto"/>
                <w:sz w:val="21"/>
                <w:szCs w:val="21"/>
              </w:rPr>
              <w:t>增加</w:t>
            </w:r>
            <w:r>
              <w:rPr>
                <w:rFonts w:ascii="Times New Roman" w:hAnsi="Times New Roman"/>
                <w:bCs/>
                <w:color w:val="auto"/>
                <w:sz w:val="21"/>
                <w:szCs w:val="21"/>
              </w:rPr>
              <w:t>3.9.3</w:t>
            </w:r>
            <w:r>
              <w:rPr>
                <w:rFonts w:hint="eastAsia" w:ascii="Times New Roman" w:hAnsi="宋体"/>
                <w:color w:val="auto"/>
                <w:sz w:val="21"/>
                <w:szCs w:val="21"/>
                <w:lang w:val="zh-CN"/>
              </w:rPr>
              <w:t>款</w:t>
            </w:r>
            <w:r>
              <w:rPr>
                <w:rFonts w:ascii="Times New Roman" w:hAnsi="Times New Roman"/>
                <w:bCs/>
                <w:color w:val="auto"/>
                <w:sz w:val="21"/>
                <w:szCs w:val="21"/>
              </w:rPr>
              <w:t>-3.9.5</w:t>
            </w:r>
            <w:r>
              <w:rPr>
                <w:rFonts w:hint="eastAsia" w:ascii="Times New Roman" w:hAnsi="宋体"/>
                <w:bCs/>
                <w:color w:val="auto"/>
                <w:sz w:val="21"/>
                <w:szCs w:val="21"/>
              </w:rPr>
              <w:t>款：</w:t>
            </w:r>
          </w:p>
          <w:p>
            <w:pPr>
              <w:snapToGrid w:val="0"/>
              <w:spacing w:line="307" w:lineRule="auto"/>
              <w:ind w:firstLine="432" w:firstLineChars="206"/>
              <w:rPr>
                <w:rFonts w:ascii="Times New Roman" w:hAnsi="Times New Roman"/>
                <w:color w:val="auto"/>
                <w:szCs w:val="21"/>
              </w:rPr>
            </w:pPr>
            <w:r>
              <w:rPr>
                <w:rFonts w:ascii="Times New Roman" w:hAnsi="Times New Roman"/>
                <w:color w:val="auto"/>
                <w:sz w:val="21"/>
                <w:szCs w:val="21"/>
              </w:rPr>
              <w:t>3.9.3</w:t>
            </w:r>
            <w:r>
              <w:rPr>
                <w:rFonts w:hint="eastAsia" w:ascii="Times New Roman" w:hAnsi="宋体"/>
                <w:color w:val="auto"/>
                <w:sz w:val="21"/>
                <w:szCs w:val="21"/>
              </w:rPr>
              <w:t>通过第一信封商务文件和技术文件评审的投标人少于</w:t>
            </w:r>
            <w:r>
              <w:rPr>
                <w:rFonts w:ascii="Times New Roman" w:hAnsi="Times New Roman"/>
                <w:color w:val="auto"/>
                <w:sz w:val="21"/>
                <w:szCs w:val="21"/>
              </w:rPr>
              <w:t>3</w:t>
            </w:r>
            <w:r>
              <w:rPr>
                <w:rFonts w:hint="eastAsia" w:ascii="Times New Roman" w:hAnsi="宋体"/>
                <w:color w:val="auto"/>
                <w:sz w:val="21"/>
                <w:szCs w:val="21"/>
              </w:rPr>
              <w:t>个的，评标委员会可以否决全部投标；未否决全部投标的，评标委员会应当在评标报告中阐明理由，招标人应当按照招标文件规定的程序进行第二信封报价文件开标，但评标委员会在进行报价文件评审时仍有权否决全部投标；评标委员会未在报价文件评审时否决全部投标的，应当在评标报告中阐明理由并推荐中标候选人。</w:t>
            </w:r>
          </w:p>
          <w:p>
            <w:pPr>
              <w:spacing w:line="307" w:lineRule="auto"/>
              <w:ind w:firstLine="424" w:firstLineChars="202"/>
              <w:rPr>
                <w:rFonts w:ascii="Times New Roman" w:hAnsi="Times New Roman"/>
                <w:color w:val="auto"/>
                <w:szCs w:val="21"/>
              </w:rPr>
            </w:pPr>
            <w:r>
              <w:rPr>
                <w:rFonts w:ascii="Times New Roman" w:hAnsi="Times New Roman"/>
                <w:color w:val="auto"/>
                <w:sz w:val="21"/>
                <w:szCs w:val="21"/>
              </w:rPr>
              <w:t>3.9.4</w:t>
            </w:r>
            <w:r>
              <w:rPr>
                <w:rFonts w:hint="eastAsia" w:ascii="Times New Roman" w:hAnsi="宋体"/>
                <w:color w:val="auto"/>
                <w:sz w:val="21"/>
                <w:szCs w:val="21"/>
              </w:rPr>
              <w:t>通过第一信封商务文件和技术文件评审的投标人在</w:t>
            </w:r>
            <w:r>
              <w:rPr>
                <w:rFonts w:ascii="Times New Roman" w:hAnsi="Times New Roman"/>
                <w:color w:val="auto"/>
                <w:sz w:val="21"/>
                <w:szCs w:val="21"/>
              </w:rPr>
              <w:t>3</w:t>
            </w:r>
            <w:r>
              <w:rPr>
                <w:rFonts w:hint="eastAsia" w:ascii="Times New Roman" w:hAnsi="宋体"/>
                <w:color w:val="auto"/>
                <w:sz w:val="21"/>
                <w:szCs w:val="21"/>
              </w:rPr>
              <w:t>个及以上的，招标人应当按照招标文件规定的程序进行第二信封报价文件开标；在对报价文件进行评审后，有效投标不足</w:t>
            </w:r>
            <w:r>
              <w:rPr>
                <w:rFonts w:ascii="Times New Roman" w:hAnsi="Times New Roman"/>
                <w:color w:val="auto"/>
                <w:sz w:val="21"/>
                <w:szCs w:val="21"/>
              </w:rPr>
              <w:t>3</w:t>
            </w:r>
            <w:r>
              <w:rPr>
                <w:rFonts w:hint="eastAsia" w:ascii="Times New Roman" w:hAnsi="宋体"/>
                <w:color w:val="auto"/>
                <w:sz w:val="21"/>
                <w:szCs w:val="21"/>
              </w:rPr>
              <w:t>个的，评标委员会可以否决全部投标。未否决全部投标的，评标委员会应当在评标报告中阐明理由并推荐中标候选人。</w:t>
            </w:r>
          </w:p>
          <w:p>
            <w:pPr>
              <w:widowControl w:val="0"/>
              <w:adjustRightInd w:val="0"/>
              <w:snapToGrid w:val="0"/>
              <w:spacing w:line="307" w:lineRule="auto"/>
              <w:ind w:left="50" w:leftChars="21" w:firstLine="432" w:firstLineChars="206"/>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3.9.5</w:t>
            </w:r>
            <w:r>
              <w:rPr>
                <w:rFonts w:hint="eastAsia" w:ascii="Times New Roman" w:hAnsi="宋体" w:eastAsia="宋体" w:cs="Times New Roman"/>
                <w:color w:val="auto"/>
                <w:kern w:val="0"/>
                <w:sz w:val="21"/>
                <w:szCs w:val="21"/>
                <w:lang w:val="en-US" w:eastAsia="zh-CN" w:bidi="ar-SA"/>
              </w:rPr>
              <w:t>如果发生无法确定推荐中标候选人的其它意外情况，评标委员会可建议招标人重新招标。</w:t>
            </w:r>
          </w:p>
        </w:tc>
      </w:tr>
    </w:tbl>
    <w:p>
      <w:pPr>
        <w:rPr>
          <w:rFonts w:ascii="Times New Roman" w:hAnsi="Times New Roman"/>
          <w:b/>
          <w:color w:val="auto"/>
          <w:sz w:val="21"/>
          <w:szCs w:val="21"/>
        </w:rPr>
      </w:pPr>
      <w:r>
        <w:rPr>
          <w:rFonts w:ascii="Times New Roman" w:hAnsi="Times New Roman"/>
          <w:color w:val="auto"/>
        </w:rPr>
        <w:br w:type="page"/>
      </w:r>
      <w:r>
        <w:rPr>
          <w:rFonts w:ascii="Times New Roman" w:hAnsi="Times New Roman"/>
          <w:b/>
          <w:color w:val="auto"/>
          <w:sz w:val="21"/>
          <w:szCs w:val="21"/>
        </w:rPr>
        <w:t>1</w:t>
      </w:r>
      <w:r>
        <w:rPr>
          <w:rFonts w:hint="eastAsia" w:ascii="Times New Roman" w:hAnsi="宋体"/>
          <w:b/>
          <w:color w:val="auto"/>
          <w:sz w:val="21"/>
          <w:szCs w:val="21"/>
        </w:rPr>
        <w:t>、评标办法</w:t>
      </w:r>
    </w:p>
    <w:p>
      <w:pPr>
        <w:autoSpaceDE w:val="0"/>
        <w:autoSpaceDN w:val="0"/>
        <w:spacing w:line="360" w:lineRule="auto"/>
        <w:ind w:firstLine="420" w:firstLineChars="200"/>
        <w:rPr>
          <w:rFonts w:ascii="Times New Roman" w:hAnsi="Times New Roman"/>
          <w:color w:val="auto"/>
          <w:sz w:val="21"/>
          <w:szCs w:val="21"/>
        </w:rPr>
      </w:pPr>
      <w:r>
        <w:rPr>
          <w:rFonts w:hint="eastAsia" w:ascii="Times New Roman" w:hAnsi="宋体"/>
          <w:color w:val="auto"/>
          <w:sz w:val="21"/>
          <w:szCs w:val="21"/>
        </w:rPr>
        <w:t>本次评标采用综合评估法。评标委员会对满足招标文件实质性要求的投标文件，按照本章第</w:t>
      </w:r>
      <w:r>
        <w:rPr>
          <w:rFonts w:ascii="Times New Roman" w:hAnsi="Times New Roman"/>
          <w:color w:val="auto"/>
          <w:sz w:val="21"/>
          <w:szCs w:val="21"/>
        </w:rPr>
        <w:t xml:space="preserve"> 2.2 </w:t>
      </w:r>
      <w:r>
        <w:rPr>
          <w:rFonts w:hint="eastAsia" w:ascii="Times New Roman" w:hAnsi="宋体"/>
          <w:color w:val="auto"/>
          <w:sz w:val="21"/>
          <w:szCs w:val="21"/>
        </w:rPr>
        <w:t>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pPr>
        <w:spacing w:line="400" w:lineRule="exact"/>
        <w:rPr>
          <w:rFonts w:ascii="Times New Roman" w:hAnsi="Times New Roman"/>
          <w:b/>
          <w:color w:val="auto"/>
          <w:sz w:val="21"/>
          <w:szCs w:val="21"/>
        </w:rPr>
      </w:pPr>
      <w:r>
        <w:rPr>
          <w:rFonts w:ascii="Times New Roman" w:hAnsi="Times New Roman"/>
          <w:b/>
          <w:color w:val="auto"/>
          <w:sz w:val="21"/>
          <w:szCs w:val="21"/>
        </w:rPr>
        <w:t>2</w:t>
      </w:r>
      <w:r>
        <w:rPr>
          <w:rFonts w:hint="eastAsia" w:ascii="Times New Roman" w:hAnsi="宋体"/>
          <w:b/>
          <w:color w:val="auto"/>
          <w:sz w:val="21"/>
          <w:szCs w:val="21"/>
        </w:rPr>
        <w:t>、评审标准</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2.1 </w:t>
      </w:r>
      <w:r>
        <w:rPr>
          <w:rFonts w:hint="eastAsia" w:ascii="Times New Roman" w:hAnsi="宋体"/>
          <w:b/>
          <w:color w:val="auto"/>
          <w:sz w:val="21"/>
          <w:szCs w:val="21"/>
        </w:rPr>
        <w:t>初步评审标准</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2.1.1  </w:t>
      </w:r>
      <w:r>
        <w:rPr>
          <w:rFonts w:hint="eastAsia" w:ascii="Times New Roman" w:hAnsi="宋体"/>
          <w:color w:val="auto"/>
          <w:sz w:val="21"/>
          <w:szCs w:val="21"/>
        </w:rPr>
        <w:t>形式评审标准：见评标办法前附表。</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2.1.2  </w:t>
      </w:r>
      <w:r>
        <w:rPr>
          <w:rFonts w:hint="eastAsia" w:ascii="Times New Roman" w:hAnsi="宋体"/>
          <w:color w:val="auto"/>
          <w:sz w:val="21"/>
          <w:szCs w:val="21"/>
        </w:rPr>
        <w:t>资格评审标准：见评标办法前附表（适用于未进行资格预审的）。</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2.1.3 </w:t>
      </w:r>
      <w:r>
        <w:rPr>
          <w:rFonts w:hint="eastAsia" w:ascii="Times New Roman" w:hAnsi="宋体"/>
          <w:color w:val="auto"/>
          <w:sz w:val="21"/>
          <w:szCs w:val="21"/>
        </w:rPr>
        <w:t>响应性评审标准：见评标办法前附表。</w:t>
      </w:r>
    </w:p>
    <w:p>
      <w:pPr>
        <w:spacing w:line="400" w:lineRule="exact"/>
        <w:rPr>
          <w:rFonts w:ascii="Times New Roman" w:hAnsi="Times New Roman"/>
          <w:b/>
          <w:color w:val="auto"/>
          <w:sz w:val="21"/>
          <w:szCs w:val="21"/>
        </w:rPr>
      </w:pPr>
      <w:r>
        <w:rPr>
          <w:rFonts w:ascii="Times New Roman" w:hAnsi="Times New Roman"/>
          <w:b/>
          <w:color w:val="auto"/>
          <w:sz w:val="21"/>
          <w:szCs w:val="21"/>
        </w:rPr>
        <w:t>2.2</w:t>
      </w:r>
      <w:r>
        <w:rPr>
          <w:rFonts w:hint="eastAsia" w:ascii="Times New Roman" w:hAnsi="宋体"/>
          <w:b/>
          <w:color w:val="auto"/>
          <w:sz w:val="21"/>
          <w:szCs w:val="21"/>
        </w:rPr>
        <w:t>分值构成与评分标准</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 2.2.1 </w:t>
      </w:r>
      <w:r>
        <w:rPr>
          <w:rFonts w:hint="eastAsia" w:ascii="Times New Roman" w:hAnsi="宋体"/>
          <w:b/>
          <w:color w:val="auto"/>
          <w:sz w:val="21"/>
          <w:szCs w:val="21"/>
        </w:rPr>
        <w:t>分值构成</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）技术建议书：见评标办法前附表。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）主要人员</w:t>
      </w:r>
      <w:r>
        <w:rPr>
          <w:rFonts w:ascii="Times New Roman" w:hAnsi="Times New Roman"/>
          <w:color w:val="auto"/>
          <w:sz w:val="21"/>
          <w:szCs w:val="21"/>
        </w:rPr>
        <w:t xml:space="preserve">: </w:t>
      </w:r>
      <w:r>
        <w:rPr>
          <w:rFonts w:hint="eastAsia" w:ascii="Times New Roman" w:hAnsi="宋体"/>
          <w:color w:val="auto"/>
          <w:sz w:val="21"/>
          <w:szCs w:val="21"/>
        </w:rPr>
        <w:t>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）评标价：见评标办法前附表。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4</w:t>
      </w:r>
      <w:r>
        <w:rPr>
          <w:rFonts w:hint="eastAsia" w:ascii="Times New Roman" w:hAnsi="宋体"/>
          <w:color w:val="auto"/>
          <w:sz w:val="21"/>
          <w:szCs w:val="21"/>
        </w:rPr>
        <w:t>）其他评分因素：见评标办法前附表。</w:t>
      </w:r>
    </w:p>
    <w:p>
      <w:pPr>
        <w:spacing w:line="400" w:lineRule="exact"/>
        <w:rPr>
          <w:rFonts w:ascii="Times New Roman" w:hAnsi="Times New Roman"/>
          <w:b/>
          <w:color w:val="auto"/>
          <w:sz w:val="21"/>
          <w:szCs w:val="21"/>
        </w:rPr>
      </w:pPr>
      <w:r>
        <w:rPr>
          <w:rFonts w:ascii="Times New Roman" w:hAnsi="Times New Roman"/>
          <w:b/>
          <w:color w:val="auto"/>
          <w:sz w:val="21"/>
          <w:szCs w:val="21"/>
        </w:rPr>
        <w:t>2.2.2</w:t>
      </w:r>
      <w:r>
        <w:rPr>
          <w:rFonts w:hint="eastAsia" w:ascii="Times New Roman" w:hAnsi="宋体"/>
          <w:b/>
          <w:color w:val="auto"/>
          <w:sz w:val="21"/>
          <w:szCs w:val="21"/>
        </w:rPr>
        <w:t>评标基准价计算</w:t>
      </w:r>
    </w:p>
    <w:p>
      <w:pPr>
        <w:spacing w:line="400" w:lineRule="exact"/>
        <w:rPr>
          <w:rFonts w:ascii="Times New Roman" w:hAnsi="Times New Roman"/>
          <w:color w:val="auto"/>
          <w:sz w:val="21"/>
          <w:szCs w:val="21"/>
        </w:rPr>
      </w:pPr>
      <w:r>
        <w:rPr>
          <w:rFonts w:hint="eastAsia" w:ascii="Times New Roman" w:hAnsi="宋体"/>
          <w:color w:val="auto"/>
          <w:sz w:val="21"/>
          <w:szCs w:val="21"/>
        </w:rPr>
        <w:t>评标基准价计算方法：见评标办法前附表。</w:t>
      </w:r>
    </w:p>
    <w:p>
      <w:pPr>
        <w:spacing w:line="400" w:lineRule="exact"/>
        <w:rPr>
          <w:rFonts w:ascii="Times New Roman" w:hAnsi="Times New Roman"/>
          <w:b/>
          <w:color w:val="auto"/>
          <w:sz w:val="21"/>
          <w:szCs w:val="21"/>
        </w:rPr>
      </w:pPr>
      <w:r>
        <w:rPr>
          <w:rFonts w:ascii="Times New Roman" w:hAnsi="Times New Roman"/>
          <w:b/>
          <w:color w:val="auto"/>
          <w:sz w:val="21"/>
          <w:szCs w:val="21"/>
        </w:rPr>
        <w:t>2.2.3</w:t>
      </w:r>
      <w:r>
        <w:rPr>
          <w:rFonts w:hint="eastAsia" w:ascii="Times New Roman" w:hAnsi="宋体"/>
          <w:b/>
          <w:color w:val="auto"/>
          <w:sz w:val="21"/>
          <w:szCs w:val="21"/>
        </w:rPr>
        <w:t>评标价的偏差率计算</w:t>
      </w:r>
    </w:p>
    <w:p>
      <w:pPr>
        <w:spacing w:line="400" w:lineRule="exact"/>
        <w:rPr>
          <w:rFonts w:ascii="Times New Roman" w:hAnsi="Times New Roman"/>
          <w:color w:val="auto"/>
          <w:sz w:val="21"/>
          <w:szCs w:val="21"/>
        </w:rPr>
      </w:pPr>
      <w:r>
        <w:rPr>
          <w:rFonts w:hint="eastAsia" w:ascii="Times New Roman" w:hAnsi="宋体"/>
          <w:color w:val="auto"/>
          <w:sz w:val="21"/>
          <w:szCs w:val="21"/>
        </w:rPr>
        <w:t>评标价的偏差率计算公式：见评标办法前附表。</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2.2.4 </w:t>
      </w:r>
      <w:r>
        <w:rPr>
          <w:rFonts w:hint="eastAsia" w:ascii="Times New Roman" w:hAnsi="宋体"/>
          <w:b/>
          <w:color w:val="auto"/>
          <w:sz w:val="21"/>
          <w:szCs w:val="21"/>
        </w:rPr>
        <w:t>评分标准：</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）技术建议书评分标准：见评标办法前附表。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）主要人员评分标准：见评标办法前附表。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）评标价评分标准：见评标办法前附表。</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4</w:t>
      </w:r>
      <w:r>
        <w:rPr>
          <w:rFonts w:hint="eastAsia" w:ascii="Times New Roman" w:hAnsi="宋体"/>
          <w:color w:val="auto"/>
          <w:sz w:val="21"/>
          <w:szCs w:val="21"/>
        </w:rPr>
        <w:t>）其他因素评分标准：见评标办法前附表。</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3  </w:t>
      </w:r>
      <w:r>
        <w:rPr>
          <w:rFonts w:hint="eastAsia" w:ascii="Times New Roman" w:hAnsi="宋体"/>
          <w:b/>
          <w:color w:val="auto"/>
          <w:sz w:val="21"/>
          <w:szCs w:val="21"/>
        </w:rPr>
        <w:t>评标程序</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3.1 </w:t>
      </w:r>
      <w:r>
        <w:rPr>
          <w:rFonts w:hint="eastAsia" w:ascii="Times New Roman" w:hAnsi="宋体"/>
          <w:b/>
          <w:color w:val="auto"/>
          <w:sz w:val="21"/>
          <w:szCs w:val="21"/>
        </w:rPr>
        <w:t>第一个信封初步评审</w:t>
      </w:r>
    </w:p>
    <w:p>
      <w:pPr>
        <w:spacing w:line="400" w:lineRule="exact"/>
        <w:ind w:firstLine="420" w:firstLineChars="200"/>
        <w:rPr>
          <w:rFonts w:ascii="Times New Roman" w:hAnsi="Times New Roman"/>
          <w:color w:val="auto"/>
          <w:sz w:val="21"/>
          <w:szCs w:val="21"/>
        </w:rPr>
      </w:pPr>
      <w:r>
        <w:rPr>
          <w:rFonts w:ascii="Times New Roman" w:hAnsi="Times New Roman"/>
          <w:color w:val="auto"/>
          <w:sz w:val="21"/>
          <w:szCs w:val="21"/>
        </w:rPr>
        <w:t xml:space="preserve">3.1.1 </w:t>
      </w:r>
      <w:r>
        <w:rPr>
          <w:rFonts w:hint="eastAsia" w:ascii="Times New Roman" w:hAnsi="宋体"/>
          <w:color w:val="auto"/>
          <w:sz w:val="21"/>
          <w:szCs w:val="21"/>
        </w:rPr>
        <w:t>评标委员会可以要求投标人提交第二章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3.5.1</w:t>
      </w:r>
      <w:r>
        <w:rPr>
          <w:rFonts w:hint="eastAsia" w:ascii="Times New Roman" w:hAnsi="宋体"/>
          <w:color w:val="auto"/>
          <w:sz w:val="21"/>
          <w:szCs w:val="21"/>
        </w:rPr>
        <w:t>项至</w:t>
      </w:r>
      <w:r>
        <w:rPr>
          <w:rFonts w:ascii="Times New Roman" w:hAnsi="Times New Roman"/>
          <w:color w:val="auto"/>
          <w:sz w:val="21"/>
          <w:szCs w:val="21"/>
        </w:rPr>
        <w:t>3.5.5</w:t>
      </w:r>
      <w:r>
        <w:rPr>
          <w:rFonts w:hint="eastAsia" w:ascii="Times New Roman" w:hAnsi="宋体"/>
          <w:color w:val="auto"/>
          <w:sz w:val="21"/>
          <w:szCs w:val="21"/>
        </w:rPr>
        <w:t>项规定的有关证明和证件的原件，以便核验。评标委员会依据本章第</w:t>
      </w:r>
      <w:r>
        <w:rPr>
          <w:rFonts w:ascii="Times New Roman" w:hAnsi="Times New Roman"/>
          <w:color w:val="auto"/>
          <w:sz w:val="21"/>
          <w:szCs w:val="21"/>
        </w:rPr>
        <w:t>2.1</w:t>
      </w:r>
      <w:r>
        <w:rPr>
          <w:rFonts w:hint="eastAsia" w:ascii="Times New Roman" w:hAnsi="宋体"/>
          <w:color w:val="auto"/>
          <w:sz w:val="21"/>
          <w:szCs w:val="21"/>
        </w:rPr>
        <w:t>款规定的标准对投标文件第一个信封（商务及技术文件）进行初步评审。有一项不符合评审标准的，评标委员会应否决其投标。（适用于未进行资格预审的）</w:t>
      </w:r>
    </w:p>
    <w:p>
      <w:pPr>
        <w:spacing w:line="400" w:lineRule="exact"/>
        <w:rPr>
          <w:rFonts w:ascii="Times New Roman" w:hAnsi="Times New Roman"/>
          <w:b/>
          <w:color w:val="auto"/>
          <w:sz w:val="21"/>
          <w:szCs w:val="21"/>
        </w:rPr>
      </w:pPr>
      <w:r>
        <w:rPr>
          <w:rFonts w:ascii="Times New Roman" w:hAnsi="Times New Roman"/>
          <w:b/>
          <w:color w:val="auto"/>
          <w:sz w:val="21"/>
          <w:szCs w:val="21"/>
        </w:rPr>
        <w:t>3.2</w:t>
      </w:r>
      <w:r>
        <w:rPr>
          <w:rFonts w:hint="eastAsia" w:ascii="Times New Roman" w:hAnsi="宋体"/>
          <w:b/>
          <w:color w:val="auto"/>
          <w:sz w:val="21"/>
          <w:szCs w:val="21"/>
        </w:rPr>
        <w:t>第一个信封详细评审</w:t>
      </w:r>
    </w:p>
    <w:p>
      <w:pPr>
        <w:spacing w:line="400" w:lineRule="exact"/>
        <w:ind w:firstLine="420" w:firstLineChars="200"/>
        <w:rPr>
          <w:rFonts w:ascii="Times New Roman" w:hAnsi="Times New Roman"/>
          <w:color w:val="auto"/>
          <w:sz w:val="21"/>
          <w:szCs w:val="21"/>
        </w:rPr>
      </w:pPr>
      <w:r>
        <w:rPr>
          <w:rFonts w:ascii="Times New Roman" w:hAnsi="Times New Roman"/>
          <w:color w:val="auto"/>
          <w:sz w:val="21"/>
          <w:szCs w:val="21"/>
        </w:rPr>
        <w:t>3.2.1</w:t>
      </w:r>
      <w:r>
        <w:rPr>
          <w:rFonts w:hint="eastAsia" w:ascii="Times New Roman" w:hAnsi="宋体"/>
          <w:color w:val="auto"/>
          <w:sz w:val="21"/>
          <w:szCs w:val="21"/>
        </w:rPr>
        <w:t>评标委员会按本章第</w:t>
      </w:r>
      <w:r>
        <w:rPr>
          <w:rFonts w:ascii="Times New Roman" w:hAnsi="Times New Roman"/>
          <w:color w:val="auto"/>
          <w:sz w:val="21"/>
          <w:szCs w:val="21"/>
        </w:rPr>
        <w:t>2.2</w:t>
      </w:r>
      <w:r>
        <w:rPr>
          <w:rFonts w:hint="eastAsia" w:ascii="Times New Roman" w:hAnsi="宋体"/>
          <w:color w:val="auto"/>
          <w:sz w:val="21"/>
          <w:szCs w:val="21"/>
        </w:rPr>
        <w:t>款规定的量化因素和分值进行打分，并计算出各投标人的商务和技术得分。</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1</w:t>
      </w:r>
      <w:r>
        <w:rPr>
          <w:rFonts w:hint="eastAsia" w:ascii="Times New Roman" w:hAnsi="宋体"/>
          <w:color w:val="auto"/>
          <w:sz w:val="21"/>
          <w:szCs w:val="21"/>
        </w:rPr>
        <w:t>）按本章第</w:t>
      </w:r>
      <w:r>
        <w:rPr>
          <w:rFonts w:ascii="Times New Roman" w:hAnsi="Times New Roman"/>
          <w:color w:val="auto"/>
          <w:sz w:val="21"/>
          <w:szCs w:val="21"/>
        </w:rPr>
        <w:t>2.2.4</w:t>
      </w:r>
      <w:r>
        <w:rPr>
          <w:rFonts w:hint="eastAsia" w:ascii="Times New Roman" w:hAnsi="宋体"/>
          <w:color w:val="auto"/>
          <w:sz w:val="21"/>
          <w:szCs w:val="21"/>
        </w:rPr>
        <w:t>项（</w:t>
      </w:r>
      <w:r>
        <w:rPr>
          <w:rFonts w:ascii="Times New Roman" w:hAnsi="Times New Roman"/>
          <w:color w:val="auto"/>
          <w:sz w:val="21"/>
          <w:szCs w:val="21"/>
        </w:rPr>
        <w:t>1</w:t>
      </w:r>
      <w:r>
        <w:rPr>
          <w:rFonts w:hint="eastAsia" w:ascii="Times New Roman" w:hAnsi="宋体"/>
          <w:color w:val="auto"/>
          <w:sz w:val="21"/>
          <w:szCs w:val="21"/>
        </w:rPr>
        <w:t>）目规定的评审因素和分值对技术建议书部分计算出得分</w:t>
      </w:r>
      <w:r>
        <w:rPr>
          <w:rFonts w:ascii="Times New Roman" w:hAnsi="Times New Roman"/>
          <w:color w:val="auto"/>
          <w:sz w:val="21"/>
          <w:szCs w:val="21"/>
        </w:rPr>
        <w:t>A</w:t>
      </w:r>
      <w:r>
        <w:rPr>
          <w:rFonts w:hint="eastAsia" w:ascii="Times New Roman" w:hAnsi="宋体"/>
          <w:color w:val="auto"/>
          <w:sz w:val="21"/>
          <w:szCs w:val="21"/>
        </w:rPr>
        <w:t>；</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2</w:t>
      </w:r>
      <w:r>
        <w:rPr>
          <w:rFonts w:hint="eastAsia" w:ascii="Times New Roman" w:hAnsi="宋体"/>
          <w:color w:val="auto"/>
          <w:sz w:val="21"/>
          <w:szCs w:val="21"/>
        </w:rPr>
        <w:t>）按本章第</w:t>
      </w:r>
      <w:r>
        <w:rPr>
          <w:rFonts w:ascii="Times New Roman" w:hAnsi="Times New Roman"/>
          <w:color w:val="auto"/>
          <w:sz w:val="21"/>
          <w:szCs w:val="21"/>
        </w:rPr>
        <w:t>2.2.4</w:t>
      </w:r>
      <w:r>
        <w:rPr>
          <w:rFonts w:hint="eastAsia" w:ascii="Times New Roman" w:hAnsi="宋体"/>
          <w:color w:val="auto"/>
          <w:sz w:val="21"/>
          <w:szCs w:val="21"/>
        </w:rPr>
        <w:t>项（</w:t>
      </w:r>
      <w:r>
        <w:rPr>
          <w:rFonts w:ascii="Times New Roman" w:hAnsi="Times New Roman"/>
          <w:color w:val="auto"/>
          <w:sz w:val="21"/>
          <w:szCs w:val="21"/>
        </w:rPr>
        <w:t>2</w:t>
      </w:r>
      <w:r>
        <w:rPr>
          <w:rFonts w:hint="eastAsia" w:ascii="Times New Roman" w:hAnsi="宋体"/>
          <w:color w:val="auto"/>
          <w:sz w:val="21"/>
          <w:szCs w:val="21"/>
        </w:rPr>
        <w:t>）目规定的评审因素和分值对主要人员部分计算出得分</w:t>
      </w:r>
      <w:r>
        <w:rPr>
          <w:rFonts w:ascii="Times New Roman" w:hAnsi="Times New Roman"/>
          <w:color w:val="auto"/>
          <w:sz w:val="21"/>
          <w:szCs w:val="21"/>
        </w:rPr>
        <w:t>B</w:t>
      </w:r>
      <w:r>
        <w:rPr>
          <w:rFonts w:hint="eastAsia" w:ascii="Times New Roman" w:hAnsi="宋体"/>
          <w:color w:val="auto"/>
          <w:sz w:val="21"/>
          <w:szCs w:val="21"/>
        </w:rPr>
        <w:t>；</w:t>
      </w:r>
    </w:p>
    <w:p>
      <w:pPr>
        <w:spacing w:line="400" w:lineRule="exact"/>
        <w:rPr>
          <w:rFonts w:ascii="Times New Roman" w:hAnsi="Times New Roman"/>
          <w:color w:val="auto"/>
          <w:sz w:val="21"/>
          <w:szCs w:val="21"/>
        </w:rPr>
      </w:pPr>
      <w:r>
        <w:rPr>
          <w:rFonts w:hint="eastAsia" w:ascii="Times New Roman" w:hAnsi="宋体"/>
          <w:color w:val="auto"/>
          <w:sz w:val="21"/>
          <w:szCs w:val="21"/>
        </w:rPr>
        <w:t>（</w:t>
      </w:r>
      <w:r>
        <w:rPr>
          <w:rFonts w:ascii="Times New Roman" w:hAnsi="Times New Roman"/>
          <w:color w:val="auto"/>
          <w:sz w:val="21"/>
          <w:szCs w:val="21"/>
        </w:rPr>
        <w:t>3</w:t>
      </w:r>
      <w:r>
        <w:rPr>
          <w:rFonts w:hint="eastAsia" w:ascii="Times New Roman" w:hAnsi="宋体"/>
          <w:color w:val="auto"/>
          <w:sz w:val="21"/>
          <w:szCs w:val="21"/>
        </w:rPr>
        <w:t>）按本章第</w:t>
      </w:r>
      <w:r>
        <w:rPr>
          <w:rFonts w:ascii="Times New Roman" w:hAnsi="Times New Roman"/>
          <w:color w:val="auto"/>
          <w:sz w:val="21"/>
          <w:szCs w:val="21"/>
        </w:rPr>
        <w:t>2.2.4</w:t>
      </w:r>
      <w:r>
        <w:rPr>
          <w:rFonts w:hint="eastAsia" w:ascii="Times New Roman" w:hAnsi="宋体"/>
          <w:color w:val="auto"/>
          <w:sz w:val="21"/>
          <w:szCs w:val="21"/>
        </w:rPr>
        <w:t>项（</w:t>
      </w:r>
      <w:r>
        <w:rPr>
          <w:rFonts w:ascii="Times New Roman" w:hAnsi="Times New Roman"/>
          <w:color w:val="auto"/>
          <w:sz w:val="21"/>
          <w:szCs w:val="21"/>
        </w:rPr>
        <w:t>4</w:t>
      </w:r>
      <w:r>
        <w:rPr>
          <w:rFonts w:hint="eastAsia" w:ascii="Times New Roman" w:hAnsi="宋体"/>
          <w:color w:val="auto"/>
          <w:sz w:val="21"/>
          <w:szCs w:val="21"/>
        </w:rPr>
        <w:t>）目规定的评审因素和分值对其他部分计算出得分</w:t>
      </w:r>
      <w:r>
        <w:rPr>
          <w:rFonts w:ascii="Times New Roman" w:hAnsi="Times New Roman"/>
          <w:color w:val="auto"/>
          <w:sz w:val="21"/>
          <w:szCs w:val="21"/>
        </w:rPr>
        <w:t>D</w:t>
      </w:r>
      <w:r>
        <w:rPr>
          <w:rFonts w:hint="eastAsia" w:ascii="Times New Roman" w:hAnsi="宋体"/>
          <w:color w:val="auto"/>
          <w:sz w:val="21"/>
          <w:szCs w:val="21"/>
        </w:rPr>
        <w:t>；</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3.2.2 </w:t>
      </w:r>
      <w:r>
        <w:rPr>
          <w:rFonts w:hint="eastAsia" w:ascii="Times New Roman" w:hAnsi="宋体"/>
          <w:color w:val="auto"/>
          <w:sz w:val="21"/>
          <w:szCs w:val="21"/>
        </w:rPr>
        <w:t>投标人的商务和技术得分分值计算保留小数后两位，小数点后第三位</w:t>
      </w:r>
      <w:r>
        <w:rPr>
          <w:rFonts w:ascii="Times New Roman" w:hAnsi="Times New Roman"/>
          <w:color w:val="auto"/>
          <w:sz w:val="21"/>
          <w:szCs w:val="21"/>
        </w:rPr>
        <w:t>“</w:t>
      </w:r>
      <w:r>
        <w:rPr>
          <w:rFonts w:hint="eastAsia" w:ascii="Times New Roman" w:hAnsi="宋体"/>
          <w:color w:val="auto"/>
          <w:sz w:val="21"/>
          <w:szCs w:val="21"/>
        </w:rPr>
        <w:t>四五舍入</w:t>
      </w:r>
      <w:r>
        <w:rPr>
          <w:rFonts w:ascii="Times New Roman" w:hAnsi="Times New Roman"/>
          <w:color w:val="auto"/>
          <w:sz w:val="21"/>
          <w:szCs w:val="21"/>
        </w:rPr>
        <w:t>”</w:t>
      </w:r>
      <w:r>
        <w:rPr>
          <w:rFonts w:hint="eastAsia" w:ascii="Times New Roman" w:hAnsi="宋体"/>
          <w:color w:val="auto"/>
          <w:sz w:val="21"/>
          <w:szCs w:val="21"/>
        </w:rPr>
        <w:t>。</w:t>
      </w:r>
    </w:p>
    <w:p>
      <w:pPr>
        <w:autoSpaceDE w:val="0"/>
        <w:autoSpaceDN w:val="0"/>
        <w:spacing w:line="400" w:lineRule="exact"/>
        <w:rPr>
          <w:rFonts w:ascii="Times New Roman" w:hAnsi="Times New Roman"/>
          <w:color w:val="auto"/>
          <w:sz w:val="21"/>
          <w:szCs w:val="21"/>
        </w:rPr>
      </w:pPr>
      <w:r>
        <w:rPr>
          <w:rFonts w:ascii="Times New Roman" w:hAnsi="Times New Roman"/>
          <w:color w:val="auto"/>
          <w:sz w:val="21"/>
          <w:szCs w:val="21"/>
        </w:rPr>
        <w:t xml:space="preserve">3.2.3 </w:t>
      </w:r>
      <w:r>
        <w:rPr>
          <w:rFonts w:hint="eastAsia" w:ascii="Times New Roman" w:hAnsi="宋体"/>
          <w:color w:val="auto"/>
          <w:sz w:val="21"/>
          <w:szCs w:val="21"/>
        </w:rPr>
        <w:t>投标人的商务和技术得分</w:t>
      </w:r>
      <w:r>
        <w:rPr>
          <w:rFonts w:ascii="Times New Roman" w:hAnsi="Times New Roman"/>
          <w:color w:val="auto"/>
          <w:sz w:val="21"/>
          <w:szCs w:val="21"/>
        </w:rPr>
        <w:t>=A+B+D</w:t>
      </w:r>
      <w:r>
        <w:rPr>
          <w:rFonts w:hint="eastAsia" w:ascii="Times New Roman" w:hAnsi="宋体"/>
          <w:color w:val="auto"/>
          <w:sz w:val="21"/>
          <w:szCs w:val="21"/>
        </w:rPr>
        <w:t>。</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3.3 </w:t>
      </w:r>
      <w:r>
        <w:rPr>
          <w:rFonts w:hint="eastAsia" w:ascii="Times New Roman" w:hAnsi="宋体"/>
          <w:b/>
          <w:color w:val="auto"/>
          <w:sz w:val="21"/>
          <w:szCs w:val="21"/>
        </w:rPr>
        <w:t>第二个信封开标</w:t>
      </w:r>
    </w:p>
    <w:p>
      <w:pPr>
        <w:spacing w:line="400" w:lineRule="exact"/>
        <w:ind w:firstLine="420" w:firstLineChars="200"/>
        <w:rPr>
          <w:rFonts w:ascii="Times New Roman" w:hAnsi="Times New Roman"/>
          <w:color w:val="auto"/>
          <w:sz w:val="21"/>
          <w:szCs w:val="21"/>
        </w:rPr>
      </w:pPr>
      <w:r>
        <w:rPr>
          <w:rFonts w:hint="eastAsia" w:ascii="Times New Roman" w:hAnsi="宋体"/>
          <w:color w:val="auto"/>
          <w:sz w:val="21"/>
          <w:szCs w:val="21"/>
        </w:rPr>
        <w:t>第一个信封（商务及技术文件）评审结束后，招标人将按照第二章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5.1</w:t>
      </w:r>
      <w:r>
        <w:rPr>
          <w:rFonts w:hint="eastAsia" w:ascii="Times New Roman" w:hAnsi="宋体"/>
          <w:color w:val="auto"/>
          <w:sz w:val="21"/>
          <w:szCs w:val="21"/>
        </w:rPr>
        <w:t>款规定的时间和地点对通过投标文件第一个信封（商务及技术文件）评审的投标文件第二个信封（报价文件）进行开标。</w:t>
      </w:r>
    </w:p>
    <w:p>
      <w:pPr>
        <w:spacing w:line="400" w:lineRule="exact"/>
        <w:rPr>
          <w:rFonts w:ascii="Times New Roman" w:hAnsi="Times New Roman"/>
          <w:b/>
          <w:color w:val="auto"/>
          <w:sz w:val="21"/>
          <w:szCs w:val="21"/>
        </w:rPr>
      </w:pPr>
      <w:r>
        <w:rPr>
          <w:rFonts w:ascii="Times New Roman" w:hAnsi="Times New Roman"/>
          <w:b/>
          <w:color w:val="auto"/>
          <w:sz w:val="21"/>
          <w:szCs w:val="21"/>
        </w:rPr>
        <w:t xml:space="preserve">3.4 </w:t>
      </w:r>
      <w:r>
        <w:rPr>
          <w:rFonts w:hint="eastAsia" w:ascii="Times New Roman" w:hAnsi="宋体"/>
          <w:b/>
          <w:color w:val="auto"/>
          <w:sz w:val="21"/>
          <w:szCs w:val="21"/>
        </w:rPr>
        <w:t>第二个信封初步评审</w:t>
      </w:r>
    </w:p>
    <w:p>
      <w:pPr>
        <w:autoSpaceDE w:val="0"/>
        <w:autoSpaceDN w:val="0"/>
        <w:spacing w:line="360" w:lineRule="auto"/>
        <w:rPr>
          <w:rFonts w:ascii="Times New Roman" w:hAnsi="Times New Roman"/>
          <w:color w:val="auto"/>
          <w:sz w:val="21"/>
          <w:szCs w:val="21"/>
        </w:rPr>
      </w:pPr>
      <w:r>
        <w:rPr>
          <w:rFonts w:ascii="Times New Roman" w:hAnsi="Times New Roman"/>
          <w:color w:val="auto"/>
          <w:sz w:val="21"/>
          <w:szCs w:val="21"/>
        </w:rPr>
        <w:t xml:space="preserve">    3.4.1 </w:t>
      </w:r>
      <w:r>
        <w:rPr>
          <w:rFonts w:hint="eastAsia" w:ascii="Times New Roman" w:hAnsi="宋体"/>
          <w:color w:val="auto"/>
          <w:sz w:val="21"/>
          <w:szCs w:val="21"/>
        </w:rPr>
        <w:t>评标委员会依据本章第</w:t>
      </w:r>
      <w:r>
        <w:rPr>
          <w:rFonts w:ascii="Times New Roman" w:hAnsi="Times New Roman"/>
          <w:color w:val="auto"/>
          <w:sz w:val="21"/>
          <w:szCs w:val="21"/>
        </w:rPr>
        <w:t xml:space="preserve"> 2.1.1 </w:t>
      </w:r>
      <w:r>
        <w:rPr>
          <w:rFonts w:hint="eastAsia" w:ascii="Times New Roman" w:hAnsi="宋体"/>
          <w:color w:val="auto"/>
          <w:sz w:val="21"/>
          <w:szCs w:val="21"/>
        </w:rPr>
        <w:t>项、第</w:t>
      </w:r>
      <w:r>
        <w:rPr>
          <w:rFonts w:ascii="Times New Roman" w:hAnsi="Times New Roman"/>
          <w:color w:val="auto"/>
          <w:sz w:val="21"/>
          <w:szCs w:val="21"/>
        </w:rPr>
        <w:t xml:space="preserve"> 2.1.3 </w:t>
      </w:r>
      <w:r>
        <w:rPr>
          <w:rFonts w:hint="eastAsia" w:ascii="Times New Roman" w:hAnsi="宋体"/>
          <w:color w:val="auto"/>
          <w:sz w:val="21"/>
          <w:szCs w:val="21"/>
        </w:rPr>
        <w:t>项规定的评审标准对投标文件第二个信封（报价文件）进行初步评审。有一项不符合评审标准的，评标委员会应否决其投标。</w:t>
      </w:r>
    </w:p>
    <w:p>
      <w:pPr>
        <w:autoSpaceDE w:val="0"/>
        <w:autoSpaceDN w:val="0"/>
        <w:spacing w:line="360" w:lineRule="auto"/>
        <w:rPr>
          <w:rFonts w:ascii="Times New Roman" w:hAnsi="Times New Roman"/>
          <w:color w:val="auto"/>
          <w:sz w:val="21"/>
          <w:szCs w:val="21"/>
        </w:rPr>
      </w:pPr>
      <w:r>
        <w:rPr>
          <w:rFonts w:ascii="Times New Roman" w:hAnsi="Times New Roman"/>
          <w:color w:val="auto"/>
          <w:sz w:val="21"/>
          <w:szCs w:val="21"/>
        </w:rPr>
        <w:t xml:space="preserve">    3.4.2 </w:t>
      </w:r>
      <w:r>
        <w:rPr>
          <w:rFonts w:hint="eastAsia" w:ascii="Times New Roman" w:hAnsi="宋体"/>
          <w:color w:val="auto"/>
          <w:sz w:val="21"/>
          <w:szCs w:val="21"/>
        </w:rPr>
        <w:t>投标报价有算术错误的，评标委员会按以下原则对投标报价进行修正，修正的价格无需投标人在评标过程中书面确认，具有约束力。投标人不接受修正价格的，评标委员会应否决其投标。</w:t>
      </w:r>
    </w:p>
    <w:p>
      <w:pPr>
        <w:widowControl w:val="0"/>
        <w:adjustRightInd w:val="0"/>
        <w:spacing w:before="28" w:line="400" w:lineRule="exact"/>
        <w:ind w:left="624"/>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宋体" w:cs="Times New Roman"/>
          <w:color w:val="auto"/>
          <w:kern w:val="0"/>
          <w:sz w:val="21"/>
          <w:szCs w:val="21"/>
          <w:lang w:val="en-US" w:eastAsia="zh-CN" w:bidi="ar-SA"/>
        </w:rPr>
        <w:t>1</w:t>
      </w:r>
      <w:r>
        <w:rPr>
          <w:rFonts w:hint="eastAsia" w:ascii="Times New Roman" w:hAnsi="Times New Roman" w:eastAsia="宋体" w:cs="Times New Roman"/>
          <w:color w:val="auto"/>
          <w:kern w:val="0"/>
          <w:sz w:val="21"/>
          <w:szCs w:val="21"/>
          <w:lang w:val="en-US" w:eastAsia="zh-CN" w:bidi="ar-SA"/>
        </w:rPr>
        <w:t>）投标文件中的大写金额与小写金额不一致的，以大写金额为准；</w:t>
      </w:r>
    </w:p>
    <w:p>
      <w:pPr>
        <w:widowControl w:val="0"/>
        <w:adjustRightInd w:val="0"/>
        <w:spacing w:before="65" w:line="400" w:lineRule="exact"/>
        <w:ind w:left="144" w:right="141" w:firstLine="479"/>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宋体" w:cs="Times New Roman"/>
          <w:color w:val="auto"/>
          <w:kern w:val="0"/>
          <w:sz w:val="21"/>
          <w:szCs w:val="21"/>
          <w:lang w:val="en-US" w:eastAsia="zh-CN" w:bidi="ar-SA"/>
        </w:rPr>
        <w:t>2</w:t>
      </w:r>
      <w:r>
        <w:rPr>
          <w:rFonts w:hint="eastAsia" w:ascii="Times New Roman" w:hAnsi="Times New Roman" w:eastAsia="宋体" w:cs="Times New Roman"/>
          <w:color w:val="auto"/>
          <w:kern w:val="0"/>
          <w:sz w:val="21"/>
          <w:szCs w:val="21"/>
          <w:lang w:val="en-US" w:eastAsia="zh-CN" w:bidi="ar-SA"/>
        </w:rPr>
        <w:t>）总价金额与依据单价计算出的结果不一致的，以单价金额为准修正总价，但单价金额小数点有明显错误的除外；</w:t>
      </w:r>
    </w:p>
    <w:p>
      <w:pPr>
        <w:widowControl w:val="0"/>
        <w:adjustRightInd w:val="0"/>
        <w:spacing w:before="12" w:line="400" w:lineRule="exact"/>
        <w:ind w:left="144" w:right="146" w:firstLine="479"/>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宋体" w:cs="Times New Roman"/>
          <w:color w:val="auto"/>
          <w:kern w:val="0"/>
          <w:sz w:val="21"/>
          <w:szCs w:val="21"/>
          <w:lang w:val="en-US" w:eastAsia="zh-CN" w:bidi="ar-SA"/>
        </w:rPr>
        <w:t>3</w:t>
      </w:r>
      <w:r>
        <w:rPr>
          <w:rFonts w:hint="eastAsia" w:ascii="Times New Roman" w:hAnsi="Times New Roman" w:eastAsia="宋体" w:cs="Times New Roman"/>
          <w:color w:val="auto"/>
          <w:kern w:val="0"/>
          <w:sz w:val="21"/>
          <w:szCs w:val="21"/>
          <w:lang w:val="en-US" w:eastAsia="zh-CN" w:bidi="ar-SA"/>
        </w:rPr>
        <w:t>）当单价与数量相乘不等于合价时，以单价计算为准，如果单价有明显的小数点位置差错，应以标出的合价为准，同时对单价予以修正；</w:t>
      </w:r>
    </w:p>
    <w:p>
      <w:pPr>
        <w:widowControl w:val="0"/>
        <w:adjustRightInd w:val="0"/>
        <w:spacing w:before="38" w:line="400" w:lineRule="exact"/>
        <w:ind w:left="144" w:right="146" w:firstLine="479"/>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宋体" w:cs="Times New Roman"/>
          <w:color w:val="auto"/>
          <w:kern w:val="0"/>
          <w:sz w:val="21"/>
          <w:szCs w:val="21"/>
          <w:lang w:val="en-US" w:eastAsia="zh-CN" w:bidi="ar-SA"/>
        </w:rPr>
        <w:t>4</w:t>
      </w:r>
      <w:r>
        <w:rPr>
          <w:rFonts w:hint="eastAsia" w:ascii="Times New Roman" w:hAnsi="Times New Roman" w:eastAsia="宋体" w:cs="Times New Roman"/>
          <w:color w:val="auto"/>
          <w:kern w:val="0"/>
          <w:sz w:val="21"/>
          <w:szCs w:val="21"/>
          <w:lang w:val="en-US" w:eastAsia="zh-CN" w:bidi="ar-SA"/>
        </w:rPr>
        <w:t>）当各子目的合价累计不等于总价时，应以各子目合价累计数为准，修正总价。</w:t>
      </w:r>
    </w:p>
    <w:p>
      <w:pPr>
        <w:autoSpaceDE w:val="0"/>
        <w:autoSpaceDN w:val="0"/>
        <w:spacing w:line="360" w:lineRule="auto"/>
        <w:rPr>
          <w:rFonts w:ascii="Times New Roman" w:hAnsi="Times New Roman"/>
          <w:color w:val="auto"/>
          <w:sz w:val="21"/>
          <w:szCs w:val="21"/>
        </w:rPr>
      </w:pPr>
      <w:r>
        <w:rPr>
          <w:rFonts w:ascii="Times New Roman" w:hAnsi="Times New Roman"/>
          <w:color w:val="auto"/>
          <w:sz w:val="21"/>
          <w:szCs w:val="21"/>
        </w:rPr>
        <w:t xml:space="preserve">     3.4.3 </w:t>
      </w:r>
      <w:r>
        <w:rPr>
          <w:rFonts w:hint="eastAsia" w:ascii="Times New Roman" w:hAnsi="宋体"/>
          <w:color w:val="auto"/>
          <w:sz w:val="21"/>
          <w:szCs w:val="21"/>
        </w:rPr>
        <w:t>修正后的最终投标报价若超过最高投标限价（如有），评标委员会应否决其投标。</w:t>
      </w:r>
    </w:p>
    <w:p>
      <w:pPr>
        <w:autoSpaceDE w:val="0"/>
        <w:autoSpaceDN w:val="0"/>
        <w:spacing w:line="360" w:lineRule="auto"/>
        <w:rPr>
          <w:rFonts w:ascii="Times New Roman" w:hAnsi="Times New Roman"/>
          <w:color w:val="auto"/>
          <w:sz w:val="21"/>
          <w:szCs w:val="21"/>
        </w:rPr>
      </w:pPr>
      <w:r>
        <w:rPr>
          <w:rFonts w:ascii="Times New Roman" w:hAnsi="Times New Roman"/>
          <w:color w:val="auto"/>
          <w:sz w:val="21"/>
          <w:szCs w:val="21"/>
        </w:rPr>
        <w:t xml:space="preserve">     3.4.4 </w:t>
      </w:r>
      <w:r>
        <w:rPr>
          <w:rFonts w:hint="eastAsia" w:ascii="Times New Roman" w:hAnsi="宋体"/>
          <w:color w:val="auto"/>
          <w:sz w:val="21"/>
          <w:szCs w:val="21"/>
        </w:rPr>
        <w:t>修正后的最终投标报价仅作为签订合同的一个依据，不参与评标价得分的计算。</w:t>
      </w:r>
    </w:p>
    <w:p>
      <w:pPr>
        <w:spacing w:line="400" w:lineRule="exact"/>
        <w:rPr>
          <w:rFonts w:ascii="Times New Roman" w:hAnsi="Times New Roman"/>
          <w:b/>
          <w:color w:val="auto"/>
          <w:sz w:val="21"/>
          <w:szCs w:val="21"/>
        </w:rPr>
      </w:pPr>
      <w:r>
        <w:rPr>
          <w:rFonts w:ascii="Times New Roman" w:hAnsi="Times New Roman"/>
          <w:b/>
          <w:color w:val="auto"/>
          <w:sz w:val="21"/>
          <w:szCs w:val="21"/>
        </w:rPr>
        <w:t>3.5</w:t>
      </w:r>
      <w:r>
        <w:rPr>
          <w:rFonts w:hint="eastAsia" w:ascii="Times New Roman" w:hAnsi="宋体"/>
          <w:b/>
          <w:color w:val="auto"/>
          <w:sz w:val="21"/>
          <w:szCs w:val="21"/>
        </w:rPr>
        <w:t>第二个信封详细评审</w:t>
      </w:r>
    </w:p>
    <w:p>
      <w:pPr>
        <w:widowControl w:val="0"/>
        <w:adjustRightInd w:val="0"/>
        <w:spacing w:before="209" w:line="400" w:lineRule="exact"/>
        <w:ind w:left="144" w:firstLine="480"/>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3.5.1</w:t>
      </w:r>
      <w:r>
        <w:rPr>
          <w:rFonts w:hint="eastAsia" w:ascii="Times New Roman" w:hAnsi="Times New Roman" w:eastAsia="宋体" w:cs="Times New Roman"/>
          <w:color w:val="auto"/>
          <w:spacing w:val="-6"/>
          <w:kern w:val="0"/>
          <w:sz w:val="21"/>
          <w:szCs w:val="21"/>
          <w:lang w:val="en-US" w:eastAsia="zh-CN" w:bidi="ar-SA"/>
        </w:rPr>
        <w:t>评标委员会按本章第</w:t>
      </w:r>
      <w:r>
        <w:rPr>
          <w:rFonts w:ascii="Times New Roman" w:hAnsi="Times New Roman" w:eastAsia="Times New Roman" w:cs="Times New Roman"/>
          <w:color w:val="auto"/>
          <w:spacing w:val="-3"/>
          <w:kern w:val="0"/>
          <w:sz w:val="21"/>
          <w:szCs w:val="21"/>
          <w:lang w:val="en-US" w:eastAsia="zh-CN" w:bidi="ar-SA"/>
        </w:rPr>
        <w:t>2.2.4</w:t>
      </w:r>
      <w:r>
        <w:rPr>
          <w:rFonts w:hint="eastAsia" w:ascii="Times New Roman" w:hAnsi="Times New Roman" w:eastAsia="宋体" w:cs="Times New Roman"/>
          <w:color w:val="auto"/>
          <w:spacing w:val="-3"/>
          <w:kern w:val="0"/>
          <w:sz w:val="21"/>
          <w:szCs w:val="21"/>
          <w:lang w:val="en-US" w:eastAsia="zh-CN" w:bidi="ar-SA"/>
        </w:rPr>
        <w:t>（</w:t>
      </w:r>
      <w:r>
        <w:rPr>
          <w:rFonts w:ascii="Times New Roman" w:hAnsi="Times New Roman" w:eastAsia="Times New Roman" w:cs="Times New Roman"/>
          <w:color w:val="auto"/>
          <w:spacing w:val="-3"/>
          <w:kern w:val="0"/>
          <w:sz w:val="21"/>
          <w:szCs w:val="21"/>
          <w:lang w:val="en-US" w:eastAsia="zh-CN" w:bidi="ar-SA"/>
        </w:rPr>
        <w:t>3</w:t>
      </w:r>
      <w:r>
        <w:rPr>
          <w:rFonts w:hint="eastAsia" w:ascii="Times New Roman" w:hAnsi="Times New Roman" w:eastAsia="宋体" w:cs="Times New Roman"/>
          <w:color w:val="auto"/>
          <w:spacing w:val="-3"/>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目规定的评审因素和分值对评标价计算出得分</w:t>
      </w:r>
      <w:r>
        <w:rPr>
          <w:rFonts w:ascii="Times New Roman" w:hAnsi="Times New Roman" w:eastAsia="Times New Roman" w:cs="Times New Roman"/>
          <w:color w:val="auto"/>
          <w:kern w:val="0"/>
          <w:sz w:val="21"/>
          <w:szCs w:val="21"/>
          <w:lang w:val="en-US" w:eastAsia="zh-CN" w:bidi="ar-SA"/>
        </w:rPr>
        <w:t>C</w:t>
      </w:r>
      <w:r>
        <w:rPr>
          <w:rFonts w:hint="eastAsia" w:ascii="Times New Roman" w:hAnsi="宋体" w:eastAsia="宋体" w:cs="Times New Roman"/>
          <w:color w:val="auto"/>
          <w:kern w:val="0"/>
          <w:sz w:val="21"/>
          <w:szCs w:val="21"/>
          <w:lang w:val="en-US" w:eastAsia="zh-CN" w:bidi="ar-SA"/>
        </w:rPr>
        <w:t>。</w:t>
      </w:r>
      <w:r>
        <w:rPr>
          <w:rFonts w:hint="eastAsia" w:ascii="Times New Roman" w:hAnsi="Times New Roman" w:eastAsia="宋体" w:cs="Times New Roman"/>
          <w:color w:val="auto"/>
          <w:kern w:val="0"/>
          <w:sz w:val="21"/>
          <w:szCs w:val="21"/>
          <w:lang w:val="en-US" w:eastAsia="zh-CN" w:bidi="ar-SA"/>
        </w:rPr>
        <w:t>评标价得分分值计算保留小数点后两位，小数点后第三位撍纳嵛迦霐。</w:t>
      </w:r>
    </w:p>
    <w:p>
      <w:pPr>
        <w:widowControl w:val="0"/>
        <w:tabs>
          <w:tab w:val="left" w:pos="1225"/>
        </w:tabs>
        <w:autoSpaceDE w:val="0"/>
        <w:autoSpaceDN w:val="0"/>
        <w:adjustRightInd/>
        <w:spacing w:before="65" w:line="400" w:lineRule="exact"/>
        <w:ind w:left="624" w:firstLine="0"/>
        <w:textAlignment w:val="auto"/>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3.5.2</w:t>
      </w:r>
      <w:r>
        <w:rPr>
          <w:rFonts w:hint="eastAsia" w:ascii="Times New Roman" w:hAnsi="宋体" w:eastAsia="宋体" w:cs="Times New Roman"/>
          <w:color w:val="auto"/>
          <w:spacing w:val="-1"/>
          <w:kern w:val="0"/>
          <w:sz w:val="21"/>
          <w:szCs w:val="21"/>
          <w:lang w:val="en-US" w:eastAsia="zh-CN" w:bidi="ar-SA"/>
        </w:rPr>
        <w:t>投标人综合得分</w:t>
      </w:r>
      <w:r>
        <w:rPr>
          <w:rFonts w:ascii="Times New Roman" w:hAnsi="Times New Roman" w:eastAsia="宋体"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投标人的商务和技术得分</w:t>
      </w:r>
      <w:r>
        <w:rPr>
          <w:rFonts w:ascii="Times New Roman" w:hAnsi="Times New Roman" w:eastAsia="宋体" w:cs="Times New Roman"/>
          <w:color w:val="auto"/>
          <w:kern w:val="0"/>
          <w:sz w:val="21"/>
          <w:szCs w:val="21"/>
          <w:lang w:val="en-US" w:eastAsia="zh-CN" w:bidi="ar-SA"/>
        </w:rPr>
        <w:t>+C</w:t>
      </w:r>
      <w:r>
        <w:rPr>
          <w:rFonts w:hint="eastAsia" w:ascii="Times New Roman" w:hAnsi="宋体" w:eastAsia="宋体" w:cs="Times New Roman"/>
          <w:color w:val="auto"/>
          <w:kern w:val="0"/>
          <w:sz w:val="21"/>
          <w:szCs w:val="21"/>
          <w:lang w:val="en-US" w:eastAsia="zh-CN" w:bidi="ar-SA"/>
        </w:rPr>
        <w:t>。</w:t>
      </w:r>
    </w:p>
    <w:p>
      <w:pPr>
        <w:widowControl w:val="0"/>
        <w:adjustRightInd w:val="0"/>
        <w:spacing w:before="209" w:line="400" w:lineRule="exact"/>
        <w:ind w:left="144" w:firstLine="480"/>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3.5.3</w:t>
      </w:r>
      <w:r>
        <w:rPr>
          <w:rFonts w:hint="eastAsia" w:ascii="Times New Roman" w:hAnsi="宋体" w:eastAsia="宋体" w:cs="Times New Roman"/>
          <w:color w:val="auto"/>
          <w:kern w:val="0"/>
          <w:sz w:val="21"/>
          <w:szCs w:val="21"/>
          <w:lang w:val="en-US" w:eastAsia="zh-CN" w:bidi="ar-SA"/>
        </w:rPr>
        <w:t>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spacing w:line="400" w:lineRule="exact"/>
        <w:rPr>
          <w:rFonts w:ascii="Times New Roman" w:hAnsi="Times New Roman"/>
          <w:b/>
          <w:color w:val="auto"/>
          <w:sz w:val="21"/>
          <w:szCs w:val="21"/>
        </w:rPr>
      </w:pPr>
      <w:r>
        <w:rPr>
          <w:rFonts w:ascii="Times New Roman" w:hAnsi="Times New Roman"/>
          <w:b/>
          <w:color w:val="auto"/>
          <w:sz w:val="21"/>
          <w:szCs w:val="21"/>
        </w:rPr>
        <w:t>3.6</w:t>
      </w:r>
      <w:r>
        <w:rPr>
          <w:rFonts w:hint="eastAsia" w:ascii="Times New Roman" w:hAnsi="宋体"/>
          <w:b/>
          <w:color w:val="auto"/>
          <w:sz w:val="21"/>
          <w:szCs w:val="21"/>
        </w:rPr>
        <w:t>投标文件相关信息的核查</w:t>
      </w:r>
    </w:p>
    <w:p>
      <w:pPr>
        <w:widowControl w:val="0"/>
        <w:adjustRightInd w:val="0"/>
        <w:spacing w:before="209" w:line="400" w:lineRule="exact"/>
        <w:ind w:left="144" w:firstLine="480"/>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3.6.1</w:t>
      </w:r>
      <w:r>
        <w:rPr>
          <w:rFonts w:hint="eastAsia" w:ascii="Times New Roman" w:hAnsi="宋体" w:eastAsia="宋体" w:cs="Times New Roman"/>
          <w:color w:val="auto"/>
          <w:kern w:val="0"/>
          <w:sz w:val="21"/>
          <w:szCs w:val="21"/>
          <w:lang w:val="en-US" w:eastAsia="zh-CN" w:bidi="ar-SA"/>
        </w:rPr>
        <w:t>在评标过程中，评标委员会应查询交通运输主管部门</w:t>
      </w:r>
      <w:r>
        <w:rPr>
          <w:rFonts w:ascii="Times New Roman" w:hAnsi="Times New Roman" w:eastAsia="宋体"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公路建设市场信用信息管理系统</w:t>
      </w:r>
      <w:r>
        <w:rPr>
          <w:rFonts w:ascii="Times New Roman" w:hAnsi="Times New Roman" w:eastAsia="宋体"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，对投标人的资质、业绩、主要人员资历和目前在岗情况、信用等级等信息进行核实。若投标文件载明的信息与交通运输主管部门</w:t>
      </w:r>
      <w:r>
        <w:rPr>
          <w:rFonts w:ascii="Times New Roman" w:hAnsi="Times New Roman" w:eastAsia="宋体"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公路建设市场信用信息管理系统</w:t>
      </w:r>
      <w:r>
        <w:rPr>
          <w:rFonts w:ascii="Times New Roman" w:hAnsi="Times New Roman" w:eastAsia="宋体" w:cs="Times New Roman"/>
          <w:color w:val="auto"/>
          <w:kern w:val="0"/>
          <w:sz w:val="21"/>
          <w:szCs w:val="21"/>
          <w:lang w:val="en-US" w:eastAsia="zh-CN" w:bidi="ar-SA"/>
        </w:rPr>
        <w:t>”</w:t>
      </w:r>
      <w:r>
        <w:rPr>
          <w:rFonts w:hint="eastAsia" w:ascii="Times New Roman" w:hAnsi="宋体" w:eastAsia="宋体" w:cs="Times New Roman"/>
          <w:color w:val="auto"/>
          <w:kern w:val="0"/>
          <w:sz w:val="21"/>
          <w:szCs w:val="21"/>
          <w:lang w:val="en-US" w:eastAsia="zh-CN" w:bidi="ar-SA"/>
        </w:rPr>
        <w:t>发布的信息不符，使得投标人的资格条件不符合招标文件规定的，评标委员会应否决其投标。</w:t>
      </w:r>
    </w:p>
    <w:p>
      <w:pPr>
        <w:widowControl w:val="0"/>
        <w:adjustRightInd w:val="0"/>
        <w:spacing w:before="209" w:line="400" w:lineRule="exact"/>
        <w:ind w:left="144" w:firstLine="480"/>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3.6.2</w:t>
      </w:r>
      <w:r>
        <w:rPr>
          <w:rFonts w:hint="eastAsia" w:ascii="Times New Roman" w:hAnsi="宋体" w:eastAsia="宋体" w:cs="Times New Roman"/>
          <w:color w:val="auto"/>
          <w:kern w:val="0"/>
          <w:sz w:val="21"/>
          <w:szCs w:val="21"/>
          <w:lang w:val="en-US" w:eastAsia="zh-CN" w:bidi="ar-SA"/>
        </w:rPr>
        <w:t>评标委员会应对在评标过程中发现的投标人与投标人之间、投标人与招标人之间存在的串通投标的情形进行评审和认定。投标人存在串通投标、弄虚作假、行贿等违法行为的，评标委员会应否决其投标。</w:t>
      </w:r>
    </w:p>
    <w:p>
      <w:pPr>
        <w:widowControl w:val="0"/>
        <w:adjustRightInd w:val="0"/>
        <w:spacing w:before="28" w:line="400" w:lineRule="exact"/>
        <w:ind w:left="624"/>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Times New Roman" w:cs="Times New Roman"/>
          <w:color w:val="auto"/>
          <w:kern w:val="0"/>
          <w:sz w:val="21"/>
          <w:szCs w:val="21"/>
          <w:lang w:val="en-US" w:eastAsia="zh-CN" w:bidi="ar-SA"/>
        </w:rPr>
        <w:t>1</w:t>
      </w:r>
      <w:r>
        <w:rPr>
          <w:rFonts w:hint="eastAsia" w:ascii="Times New Roman" w:hAnsi="Times New Roman" w:eastAsia="宋体" w:cs="Times New Roman"/>
          <w:color w:val="auto"/>
          <w:kern w:val="0"/>
          <w:sz w:val="21"/>
          <w:szCs w:val="21"/>
          <w:lang w:val="en-US" w:eastAsia="zh-CN" w:bidi="ar-SA"/>
        </w:rPr>
        <w:t>）有下列情形之一的，属于投标人相互串通投标：</w:t>
      </w:r>
    </w:p>
    <w:p>
      <w:pPr>
        <w:widowControl w:val="0"/>
        <w:adjustRightInd w:val="0"/>
        <w:spacing w:before="65"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a.</w:t>
      </w:r>
      <w:r>
        <w:rPr>
          <w:rFonts w:hint="eastAsia" w:ascii="Times New Roman" w:hAnsi="Times New Roman" w:eastAsia="宋体" w:cs="Times New Roman"/>
          <w:color w:val="auto"/>
          <w:kern w:val="0"/>
          <w:sz w:val="21"/>
          <w:szCs w:val="21"/>
          <w:lang w:val="en-US" w:eastAsia="zh-CN" w:bidi="ar-SA"/>
        </w:rPr>
        <w:t>投标人之间协商投标报价等投标文件的实质性内容；</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b.</w:t>
      </w:r>
      <w:r>
        <w:rPr>
          <w:rFonts w:hint="eastAsia" w:ascii="Times New Roman" w:hAnsi="Times New Roman" w:eastAsia="宋体" w:cs="Times New Roman"/>
          <w:color w:val="auto"/>
          <w:kern w:val="0"/>
          <w:sz w:val="21"/>
          <w:szCs w:val="21"/>
          <w:lang w:val="en-US" w:eastAsia="zh-CN" w:bidi="ar-SA"/>
        </w:rPr>
        <w:t>投标人之间约定中标人；</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c.</w:t>
      </w:r>
      <w:r>
        <w:rPr>
          <w:rFonts w:hint="eastAsia" w:ascii="Times New Roman" w:hAnsi="Times New Roman" w:eastAsia="宋体" w:cs="Times New Roman"/>
          <w:color w:val="auto"/>
          <w:kern w:val="0"/>
          <w:sz w:val="21"/>
          <w:szCs w:val="21"/>
          <w:lang w:val="en-US" w:eastAsia="zh-CN" w:bidi="ar-SA"/>
        </w:rPr>
        <w:t>投标人之间约定部分投标人放弃投标或中标；</w:t>
      </w:r>
    </w:p>
    <w:p>
      <w:pPr>
        <w:widowControl w:val="0"/>
        <w:adjustRightInd w:val="0"/>
        <w:spacing w:before="65"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d.</w:t>
      </w:r>
      <w:r>
        <w:rPr>
          <w:rFonts w:hint="eastAsia" w:ascii="Times New Roman" w:hAnsi="Times New Roman" w:eastAsia="宋体" w:cs="Times New Roman"/>
          <w:color w:val="auto"/>
          <w:kern w:val="0"/>
          <w:sz w:val="21"/>
          <w:szCs w:val="21"/>
          <w:lang w:val="en-US" w:eastAsia="zh-CN" w:bidi="ar-SA"/>
        </w:rPr>
        <w:t>属于同一集团、协会、商会等组织成员的投标人按照该组织要求协同投标；</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e.</w:t>
      </w:r>
      <w:r>
        <w:rPr>
          <w:rFonts w:hint="eastAsia" w:ascii="Times New Roman" w:hAnsi="Times New Roman" w:eastAsia="宋体" w:cs="Times New Roman"/>
          <w:color w:val="auto"/>
          <w:kern w:val="0"/>
          <w:sz w:val="21"/>
          <w:szCs w:val="21"/>
          <w:lang w:val="en-US" w:eastAsia="zh-CN" w:bidi="ar-SA"/>
        </w:rPr>
        <w:t>投标人之间为谋取中标或排斥特定投标人而采取的其他联合行动。</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Times New Roman" w:cs="Times New Roman"/>
          <w:color w:val="auto"/>
          <w:kern w:val="0"/>
          <w:sz w:val="21"/>
          <w:szCs w:val="21"/>
          <w:lang w:val="en-US" w:eastAsia="zh-CN" w:bidi="ar-SA"/>
        </w:rPr>
        <w:t>2</w:t>
      </w:r>
      <w:r>
        <w:rPr>
          <w:rFonts w:hint="eastAsia" w:ascii="Times New Roman" w:hAnsi="Times New Roman" w:eastAsia="宋体" w:cs="Times New Roman"/>
          <w:color w:val="auto"/>
          <w:kern w:val="0"/>
          <w:sz w:val="21"/>
          <w:szCs w:val="21"/>
          <w:lang w:val="en-US" w:eastAsia="zh-CN" w:bidi="ar-SA"/>
        </w:rPr>
        <w:t>）有下列情形之一的，视为投标人相互串通投标：</w:t>
      </w:r>
    </w:p>
    <w:p>
      <w:pPr>
        <w:widowControl w:val="0"/>
        <w:adjustRightInd w:val="0"/>
        <w:spacing w:before="66"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a.</w:t>
      </w:r>
      <w:r>
        <w:rPr>
          <w:rFonts w:hint="eastAsia" w:ascii="Times New Roman" w:hAnsi="Times New Roman" w:eastAsia="宋体" w:cs="Times New Roman"/>
          <w:color w:val="auto"/>
          <w:kern w:val="0"/>
          <w:sz w:val="21"/>
          <w:szCs w:val="21"/>
          <w:lang w:val="en-US" w:eastAsia="zh-CN" w:bidi="ar-SA"/>
        </w:rPr>
        <w:t>不同投标人的投标文件由同一单位或个人编制；</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b.</w:t>
      </w:r>
      <w:r>
        <w:rPr>
          <w:rFonts w:hint="eastAsia" w:ascii="Times New Roman" w:hAnsi="Times New Roman" w:eastAsia="宋体" w:cs="Times New Roman"/>
          <w:color w:val="auto"/>
          <w:kern w:val="0"/>
          <w:sz w:val="21"/>
          <w:szCs w:val="21"/>
          <w:lang w:val="en-US" w:eastAsia="zh-CN" w:bidi="ar-SA"/>
        </w:rPr>
        <w:t>不同投标人委托同一单位或个人办理投标事宜；</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c.</w:t>
      </w:r>
      <w:r>
        <w:rPr>
          <w:rFonts w:hint="eastAsia" w:ascii="Times New Roman" w:hAnsi="Times New Roman" w:eastAsia="宋体" w:cs="Times New Roman"/>
          <w:color w:val="auto"/>
          <w:kern w:val="0"/>
          <w:sz w:val="21"/>
          <w:szCs w:val="21"/>
          <w:lang w:val="en-US" w:eastAsia="zh-CN" w:bidi="ar-SA"/>
        </w:rPr>
        <w:t>不同投标人的投标文件载明的项目管理成员为同一人；</w:t>
      </w:r>
    </w:p>
    <w:p>
      <w:pPr>
        <w:widowControl w:val="0"/>
        <w:adjustRightInd w:val="0"/>
        <w:spacing w:before="66"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d.</w:t>
      </w:r>
      <w:r>
        <w:rPr>
          <w:rFonts w:hint="eastAsia" w:ascii="Times New Roman" w:hAnsi="Times New Roman" w:eastAsia="宋体" w:cs="Times New Roman"/>
          <w:color w:val="auto"/>
          <w:kern w:val="0"/>
          <w:sz w:val="21"/>
          <w:szCs w:val="21"/>
          <w:lang w:val="en-US" w:eastAsia="zh-CN" w:bidi="ar-SA"/>
        </w:rPr>
        <w:t>不同投标人的投标文件异常一致或投标报价呈规律性差异；</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e.</w:t>
      </w:r>
      <w:r>
        <w:rPr>
          <w:rFonts w:hint="eastAsia" w:ascii="Times New Roman" w:hAnsi="Times New Roman" w:eastAsia="宋体" w:cs="Times New Roman"/>
          <w:color w:val="auto"/>
          <w:kern w:val="0"/>
          <w:sz w:val="21"/>
          <w:szCs w:val="21"/>
          <w:lang w:val="en-US" w:eastAsia="zh-CN" w:bidi="ar-SA"/>
        </w:rPr>
        <w:t>不同投标人的投标文件相互混装；</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f.</w:t>
      </w:r>
      <w:r>
        <w:rPr>
          <w:rFonts w:hint="eastAsia" w:ascii="Times New Roman" w:hAnsi="Times New Roman" w:eastAsia="宋体" w:cs="Times New Roman"/>
          <w:color w:val="auto"/>
          <w:kern w:val="0"/>
          <w:sz w:val="21"/>
          <w:szCs w:val="21"/>
          <w:lang w:val="en-US" w:eastAsia="zh-CN" w:bidi="ar-SA"/>
        </w:rPr>
        <w:t>不同投标人的投标保证金从同一单位或个人的账户转出。</w:t>
      </w:r>
    </w:p>
    <w:p>
      <w:pPr>
        <w:widowControl w:val="0"/>
        <w:adjustRightInd w:val="0"/>
        <w:spacing w:before="66" w:line="400" w:lineRule="exact"/>
        <w:ind w:left="624"/>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Times New Roman" w:cs="Times New Roman"/>
          <w:color w:val="auto"/>
          <w:kern w:val="0"/>
          <w:sz w:val="21"/>
          <w:szCs w:val="21"/>
          <w:lang w:val="en-US" w:eastAsia="zh-CN" w:bidi="ar-SA"/>
        </w:rPr>
        <w:t>3</w:t>
      </w:r>
      <w:r>
        <w:rPr>
          <w:rFonts w:hint="eastAsia" w:ascii="Times New Roman" w:hAnsi="Times New Roman" w:eastAsia="宋体" w:cs="Times New Roman"/>
          <w:color w:val="auto"/>
          <w:kern w:val="0"/>
          <w:sz w:val="21"/>
          <w:szCs w:val="21"/>
          <w:lang w:val="en-US" w:eastAsia="zh-CN" w:bidi="ar-SA"/>
        </w:rPr>
        <w:t>）有下列情形之一的，属于招标人与投标人串通投标：</w:t>
      </w:r>
    </w:p>
    <w:p>
      <w:pPr>
        <w:widowControl w:val="0"/>
        <w:adjustRightInd w:val="0"/>
        <w:spacing w:before="68" w:line="400" w:lineRule="exact"/>
        <w:ind w:left="624"/>
        <w:textAlignment w:val="baseline"/>
        <w:rPr>
          <w:rFonts w:ascii="Times New Roman" w:hAnsi="Times New Roman" w:eastAsia="Times New Roman"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a.</w:t>
      </w:r>
      <w:r>
        <w:rPr>
          <w:rFonts w:hint="eastAsia" w:ascii="Times New Roman" w:hAnsi="Times New Roman" w:eastAsia="宋体" w:cs="Times New Roman"/>
          <w:color w:val="auto"/>
          <w:kern w:val="0"/>
          <w:sz w:val="21"/>
          <w:szCs w:val="21"/>
          <w:lang w:val="en-US" w:eastAsia="zh-CN" w:bidi="ar-SA"/>
        </w:rPr>
        <w:t>招标人在开标前开启投标文件并将有关信息泄露给其他投标人；</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b.</w:t>
      </w:r>
      <w:r>
        <w:rPr>
          <w:rFonts w:hint="eastAsia" w:ascii="Times New Roman" w:hAnsi="Times New Roman" w:eastAsia="宋体" w:cs="Times New Roman"/>
          <w:color w:val="auto"/>
          <w:kern w:val="0"/>
          <w:sz w:val="21"/>
          <w:szCs w:val="21"/>
          <w:lang w:val="en-US" w:eastAsia="zh-CN" w:bidi="ar-SA"/>
        </w:rPr>
        <w:t>招标人直接或间接向投标人泄露标底、评标委员会成员等信息；</w:t>
      </w:r>
    </w:p>
    <w:p>
      <w:pPr>
        <w:widowControl w:val="0"/>
        <w:adjustRightInd w:val="0"/>
        <w:spacing w:before="65"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c.</w:t>
      </w:r>
      <w:r>
        <w:rPr>
          <w:rFonts w:hint="eastAsia" w:ascii="Times New Roman" w:hAnsi="Times New Roman" w:eastAsia="宋体" w:cs="Times New Roman"/>
          <w:color w:val="auto"/>
          <w:kern w:val="0"/>
          <w:sz w:val="21"/>
          <w:szCs w:val="21"/>
          <w:lang w:val="en-US" w:eastAsia="zh-CN" w:bidi="ar-SA"/>
        </w:rPr>
        <w:t>招标人明示或暗示投标人压低或抬高投标报价；</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d.</w:t>
      </w:r>
      <w:r>
        <w:rPr>
          <w:rFonts w:hint="eastAsia" w:ascii="Times New Roman" w:hAnsi="Times New Roman" w:eastAsia="宋体" w:cs="Times New Roman"/>
          <w:color w:val="auto"/>
          <w:kern w:val="0"/>
          <w:sz w:val="21"/>
          <w:szCs w:val="21"/>
          <w:lang w:val="en-US" w:eastAsia="zh-CN" w:bidi="ar-SA"/>
        </w:rPr>
        <w:t>招标人授意投标人撤换、修改投标文件；</w:t>
      </w:r>
    </w:p>
    <w:p>
      <w:pPr>
        <w:widowControl w:val="0"/>
        <w:adjustRightInd w:val="0"/>
        <w:spacing w:before="209"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e.</w:t>
      </w:r>
      <w:r>
        <w:rPr>
          <w:rFonts w:hint="eastAsia" w:ascii="Times New Roman" w:hAnsi="Times New Roman" w:eastAsia="宋体" w:cs="Times New Roman"/>
          <w:color w:val="auto"/>
          <w:kern w:val="0"/>
          <w:sz w:val="21"/>
          <w:szCs w:val="21"/>
          <w:lang w:val="en-US" w:eastAsia="zh-CN" w:bidi="ar-SA"/>
        </w:rPr>
        <w:t>招标人明示或暗示投标人为特定投标人中标提供方便；</w:t>
      </w:r>
    </w:p>
    <w:p>
      <w:pPr>
        <w:widowControl w:val="0"/>
        <w:adjustRightInd w:val="0"/>
        <w:spacing w:before="209"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宋体" w:cs="Times New Roman"/>
          <w:color w:val="auto"/>
          <w:kern w:val="0"/>
          <w:sz w:val="21"/>
          <w:szCs w:val="21"/>
          <w:lang w:val="en-US" w:eastAsia="zh-CN" w:bidi="ar-SA"/>
        </w:rPr>
        <w:t>f.</w:t>
      </w:r>
      <w:r>
        <w:rPr>
          <w:rFonts w:hint="eastAsia" w:ascii="Times New Roman" w:hAnsi="Times New Roman" w:eastAsia="宋体" w:cs="Times New Roman"/>
          <w:color w:val="auto"/>
          <w:kern w:val="0"/>
          <w:sz w:val="21"/>
          <w:szCs w:val="21"/>
          <w:lang w:val="en-US" w:eastAsia="zh-CN" w:bidi="ar-SA"/>
        </w:rPr>
        <w:t>招标人与投标人为谋求特定投标人中标而采取的其他串通行为。</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w:t>
      </w:r>
      <w:r>
        <w:rPr>
          <w:rFonts w:ascii="Times New Roman" w:hAnsi="Times New Roman" w:eastAsia="Times New Roman" w:cs="Times New Roman"/>
          <w:color w:val="auto"/>
          <w:kern w:val="0"/>
          <w:sz w:val="21"/>
          <w:szCs w:val="21"/>
          <w:lang w:val="en-US" w:eastAsia="zh-CN" w:bidi="ar-SA"/>
        </w:rPr>
        <w:t>4</w:t>
      </w:r>
      <w:r>
        <w:rPr>
          <w:rFonts w:hint="eastAsia" w:ascii="Times New Roman" w:hAnsi="Times New Roman" w:eastAsia="宋体" w:cs="Times New Roman"/>
          <w:color w:val="auto"/>
          <w:kern w:val="0"/>
          <w:sz w:val="21"/>
          <w:szCs w:val="21"/>
          <w:lang w:val="en-US" w:eastAsia="zh-CN" w:bidi="ar-SA"/>
        </w:rPr>
        <w:t>）投标人有下列情形之一的，属于弄虚作假的行为：</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a.</w:t>
      </w:r>
      <w:r>
        <w:rPr>
          <w:rFonts w:hint="eastAsia" w:ascii="Times New Roman" w:hAnsi="Times New Roman" w:eastAsia="宋体" w:cs="Times New Roman"/>
          <w:color w:val="auto"/>
          <w:kern w:val="0"/>
          <w:sz w:val="21"/>
          <w:szCs w:val="21"/>
          <w:lang w:val="en-US" w:eastAsia="zh-CN" w:bidi="ar-SA"/>
        </w:rPr>
        <w:t>使用通过受让或租借等方式获取的资格、资质证书投标；</w:t>
      </w:r>
    </w:p>
    <w:p>
      <w:pPr>
        <w:widowControl w:val="0"/>
        <w:adjustRightInd w:val="0"/>
        <w:spacing w:before="65"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b.</w:t>
      </w:r>
      <w:r>
        <w:rPr>
          <w:rFonts w:hint="eastAsia" w:ascii="Times New Roman" w:hAnsi="Times New Roman" w:eastAsia="宋体" w:cs="Times New Roman"/>
          <w:color w:val="auto"/>
          <w:kern w:val="0"/>
          <w:sz w:val="21"/>
          <w:szCs w:val="21"/>
          <w:lang w:val="en-US" w:eastAsia="zh-CN" w:bidi="ar-SA"/>
        </w:rPr>
        <w:t>使用伪造、变造的许可证件；</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c.</w:t>
      </w:r>
      <w:r>
        <w:rPr>
          <w:rFonts w:hint="eastAsia" w:ascii="Times New Roman" w:hAnsi="Times New Roman" w:eastAsia="宋体" w:cs="Times New Roman"/>
          <w:color w:val="auto"/>
          <w:kern w:val="0"/>
          <w:sz w:val="21"/>
          <w:szCs w:val="21"/>
          <w:lang w:val="en-US" w:eastAsia="zh-CN" w:bidi="ar-SA"/>
        </w:rPr>
        <w:t>提供虚假的财务状况或业绩；</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d.</w:t>
      </w:r>
      <w:r>
        <w:rPr>
          <w:rFonts w:hint="eastAsia" w:ascii="Times New Roman" w:hAnsi="Times New Roman" w:eastAsia="宋体" w:cs="Times New Roman"/>
          <w:color w:val="auto"/>
          <w:kern w:val="0"/>
          <w:sz w:val="21"/>
          <w:szCs w:val="21"/>
          <w:lang w:val="en-US" w:eastAsia="zh-CN" w:bidi="ar-SA"/>
        </w:rPr>
        <w:t>提供虚假的项目负责人或主要技术人员简历、劳动关系证明；</w:t>
      </w:r>
    </w:p>
    <w:p>
      <w:pPr>
        <w:widowControl w:val="0"/>
        <w:adjustRightInd w:val="0"/>
        <w:spacing w:before="66"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e.</w:t>
      </w:r>
      <w:r>
        <w:rPr>
          <w:rFonts w:hint="eastAsia" w:ascii="Times New Roman" w:hAnsi="Times New Roman" w:eastAsia="宋体" w:cs="Times New Roman"/>
          <w:color w:val="auto"/>
          <w:kern w:val="0"/>
          <w:sz w:val="21"/>
          <w:szCs w:val="21"/>
          <w:lang w:val="en-US" w:eastAsia="zh-CN" w:bidi="ar-SA"/>
        </w:rPr>
        <w:t>提供虚假的信用状况；</w:t>
      </w:r>
    </w:p>
    <w:p>
      <w:pPr>
        <w:widowControl w:val="0"/>
        <w:adjustRightInd w:val="0"/>
        <w:spacing w:before="68" w:line="400" w:lineRule="exact"/>
        <w:ind w:left="624"/>
        <w:textAlignment w:val="baseline"/>
        <w:rPr>
          <w:rFonts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color w:val="auto"/>
          <w:kern w:val="0"/>
          <w:sz w:val="21"/>
          <w:szCs w:val="21"/>
          <w:lang w:val="en-US" w:eastAsia="zh-CN" w:bidi="ar-SA"/>
        </w:rPr>
        <w:t>f.</w:t>
      </w:r>
      <w:r>
        <w:rPr>
          <w:rFonts w:hint="eastAsia" w:ascii="Times New Roman" w:hAnsi="Times New Roman" w:eastAsia="宋体" w:cs="Times New Roman"/>
          <w:color w:val="auto"/>
          <w:kern w:val="0"/>
          <w:sz w:val="21"/>
          <w:szCs w:val="21"/>
          <w:lang w:val="en-US" w:eastAsia="zh-CN" w:bidi="ar-SA"/>
        </w:rPr>
        <w:t>其他弄虚作假的行为。</w:t>
      </w:r>
    </w:p>
    <w:p>
      <w:pPr>
        <w:spacing w:line="400" w:lineRule="exact"/>
        <w:rPr>
          <w:rFonts w:ascii="Times New Roman" w:hAnsi="Times New Roman"/>
          <w:b/>
          <w:color w:val="auto"/>
          <w:sz w:val="21"/>
          <w:szCs w:val="21"/>
        </w:rPr>
      </w:pPr>
      <w:r>
        <w:rPr>
          <w:rFonts w:ascii="Times New Roman" w:hAnsi="Times New Roman"/>
          <w:b/>
          <w:color w:val="auto"/>
          <w:sz w:val="21"/>
          <w:szCs w:val="21"/>
        </w:rPr>
        <w:t>3.7</w:t>
      </w:r>
      <w:bookmarkStart w:id="1" w:name="_bookmark137"/>
      <w:bookmarkEnd w:id="1"/>
      <w:r>
        <w:rPr>
          <w:rFonts w:hint="eastAsia" w:ascii="Times New Roman" w:hAnsi="宋体"/>
          <w:b/>
          <w:color w:val="auto"/>
          <w:sz w:val="21"/>
          <w:szCs w:val="21"/>
        </w:rPr>
        <w:t>投标文件的澄清和说明</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3.7.1</w:t>
      </w:r>
      <w:r>
        <w:rPr>
          <w:rFonts w:hint="eastAsia" w:ascii="Times New Roman" w:hAnsi="宋体"/>
          <w:color w:val="auto"/>
          <w:sz w:val="21"/>
          <w:szCs w:val="21"/>
        </w:rPr>
        <w:t>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3.7.2</w:t>
      </w:r>
      <w:r>
        <w:rPr>
          <w:rFonts w:hint="eastAsia" w:ascii="Times New Roman" w:hAnsi="宋体"/>
          <w:color w:val="auto"/>
          <w:sz w:val="21"/>
          <w:szCs w:val="21"/>
        </w:rPr>
        <w:t>澄清和说明不得超出投标文件的范围或改变投标文件的实质性内容（算术性错误的修正除外）。投标人的书面澄清、说明属于投标文件的组成部分。</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3.7.3</w:t>
      </w:r>
      <w:r>
        <w:rPr>
          <w:rFonts w:hint="eastAsia" w:ascii="Times New Roman" w:hAnsi="宋体"/>
          <w:color w:val="auto"/>
          <w:sz w:val="21"/>
          <w:szCs w:val="21"/>
        </w:rPr>
        <w:t>评标委员会不得暗示或诱导投标人作出澄清、说明，对投标人提交的澄清、说明有疑问的，可以要求投标人进一步澄清或说明，直至满足评标委员会的要求。</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3.7.4</w:t>
      </w:r>
      <w:r>
        <w:rPr>
          <w:rFonts w:hint="eastAsia" w:ascii="Times New Roman" w:hAnsi="宋体"/>
          <w:color w:val="auto"/>
          <w:sz w:val="21"/>
          <w:szCs w:val="21"/>
        </w:rPr>
        <w:t>凡超出招标文件规定的或给发包人带来未曾要求的利益的变化、偏差或其他因素在评标时不予考虑。</w:t>
      </w:r>
    </w:p>
    <w:p>
      <w:pPr>
        <w:spacing w:line="400" w:lineRule="exact"/>
        <w:rPr>
          <w:rFonts w:ascii="Times New Roman" w:hAnsi="Times New Roman"/>
          <w:b/>
          <w:color w:val="auto"/>
          <w:sz w:val="21"/>
          <w:szCs w:val="21"/>
        </w:rPr>
      </w:pPr>
      <w:r>
        <w:rPr>
          <w:rFonts w:ascii="Times New Roman" w:hAnsi="Times New Roman"/>
          <w:b/>
          <w:color w:val="auto"/>
          <w:sz w:val="21"/>
          <w:szCs w:val="21"/>
        </w:rPr>
        <w:t>3.8</w:t>
      </w:r>
      <w:r>
        <w:rPr>
          <w:rFonts w:hint="eastAsia" w:ascii="Times New Roman" w:hAnsi="宋体"/>
          <w:b/>
          <w:color w:val="auto"/>
          <w:sz w:val="21"/>
          <w:szCs w:val="21"/>
        </w:rPr>
        <w:t>不得否决投标的情形</w:t>
      </w:r>
    </w:p>
    <w:p>
      <w:pPr>
        <w:spacing w:line="400" w:lineRule="exact"/>
        <w:ind w:firstLine="420" w:firstLineChars="200"/>
        <w:rPr>
          <w:rFonts w:ascii="Times New Roman" w:hAnsi="Times New Roman"/>
          <w:color w:val="auto"/>
          <w:sz w:val="21"/>
          <w:szCs w:val="21"/>
        </w:rPr>
      </w:pPr>
      <w:r>
        <w:rPr>
          <w:rFonts w:hint="eastAsia" w:ascii="Times New Roman" w:hAnsi="宋体"/>
          <w:color w:val="auto"/>
          <w:sz w:val="21"/>
          <w:szCs w:val="21"/>
        </w:rPr>
        <w:t>投标文件存在第二章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1.12.3</w:t>
      </w:r>
      <w:r>
        <w:rPr>
          <w:rFonts w:hint="eastAsia" w:ascii="Times New Roman" w:hAnsi="宋体"/>
          <w:color w:val="auto"/>
          <w:sz w:val="21"/>
          <w:szCs w:val="21"/>
        </w:rPr>
        <w:t>项所列情形的，均视为细微偏差，评标委员会不得否决投标人的投标，应按照第二章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第</w:t>
      </w:r>
      <w:r>
        <w:rPr>
          <w:rFonts w:ascii="Times New Roman" w:hAnsi="Times New Roman"/>
          <w:color w:val="auto"/>
          <w:sz w:val="21"/>
          <w:szCs w:val="21"/>
        </w:rPr>
        <w:t>1.12.4</w:t>
      </w:r>
      <w:r>
        <w:rPr>
          <w:rFonts w:hint="eastAsia" w:ascii="Times New Roman" w:hAnsi="宋体"/>
          <w:color w:val="auto"/>
          <w:sz w:val="21"/>
          <w:szCs w:val="21"/>
        </w:rPr>
        <w:t>项规定的原则处理。</w:t>
      </w:r>
    </w:p>
    <w:p>
      <w:pPr>
        <w:spacing w:line="400" w:lineRule="exact"/>
        <w:rPr>
          <w:rFonts w:ascii="Times New Roman" w:hAnsi="Times New Roman"/>
          <w:b/>
          <w:color w:val="auto"/>
          <w:sz w:val="21"/>
          <w:szCs w:val="21"/>
        </w:rPr>
      </w:pPr>
      <w:r>
        <w:rPr>
          <w:rFonts w:ascii="Times New Roman" w:hAnsi="Times New Roman"/>
          <w:b/>
          <w:color w:val="auto"/>
          <w:sz w:val="21"/>
          <w:szCs w:val="21"/>
        </w:rPr>
        <w:t>3.9</w:t>
      </w:r>
      <w:r>
        <w:rPr>
          <w:rFonts w:hint="eastAsia" w:ascii="Times New Roman" w:hAnsi="宋体"/>
          <w:b/>
          <w:color w:val="auto"/>
          <w:sz w:val="21"/>
          <w:szCs w:val="21"/>
        </w:rPr>
        <w:t>评标结果</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3.9.1</w:t>
      </w:r>
      <w:r>
        <w:rPr>
          <w:rFonts w:hint="eastAsia" w:ascii="Times New Roman" w:hAnsi="宋体"/>
          <w:color w:val="auto"/>
          <w:sz w:val="21"/>
          <w:szCs w:val="21"/>
        </w:rPr>
        <w:t>除第二章</w:t>
      </w:r>
      <w:r>
        <w:rPr>
          <w:rFonts w:ascii="Times New Roman" w:hAnsi="Times New Roman"/>
          <w:color w:val="auto"/>
          <w:sz w:val="21"/>
          <w:szCs w:val="21"/>
        </w:rPr>
        <w:t>“</w:t>
      </w:r>
      <w:r>
        <w:rPr>
          <w:rFonts w:hint="eastAsia" w:ascii="Times New Roman" w:hAnsi="宋体"/>
          <w:color w:val="auto"/>
          <w:sz w:val="21"/>
          <w:szCs w:val="21"/>
        </w:rPr>
        <w:t>投标人须知</w:t>
      </w:r>
      <w:r>
        <w:rPr>
          <w:rFonts w:ascii="Times New Roman" w:hAnsi="Times New Roman"/>
          <w:color w:val="auto"/>
          <w:sz w:val="21"/>
          <w:szCs w:val="21"/>
        </w:rPr>
        <w:t>”</w:t>
      </w:r>
      <w:r>
        <w:rPr>
          <w:rFonts w:hint="eastAsia" w:ascii="Times New Roman" w:hAnsi="宋体"/>
          <w:color w:val="auto"/>
          <w:sz w:val="21"/>
          <w:szCs w:val="21"/>
        </w:rPr>
        <w:t>前附表授权直接确定中标人外，评标委员会按照得分由高到低的顺序推荐中标候选人，并标明排序。</w:t>
      </w:r>
    </w:p>
    <w:p>
      <w:pPr>
        <w:spacing w:line="400" w:lineRule="exact"/>
        <w:rPr>
          <w:rFonts w:ascii="Times New Roman" w:hAnsi="Times New Roman"/>
          <w:color w:val="auto"/>
          <w:sz w:val="21"/>
          <w:szCs w:val="21"/>
        </w:rPr>
      </w:pPr>
      <w:r>
        <w:rPr>
          <w:rFonts w:ascii="Times New Roman" w:hAnsi="Times New Roman"/>
          <w:color w:val="auto"/>
          <w:sz w:val="21"/>
          <w:szCs w:val="21"/>
        </w:rPr>
        <w:t xml:space="preserve">    3.9.2</w:t>
      </w:r>
      <w:r>
        <w:rPr>
          <w:rFonts w:hint="eastAsia" w:ascii="Times New Roman" w:hAnsi="宋体"/>
          <w:color w:val="auto"/>
          <w:sz w:val="21"/>
          <w:szCs w:val="21"/>
        </w:rPr>
        <w:t>评标委员会完成评标后，应向招标人提交书面评标报告。</w:t>
      </w:r>
    </w:p>
    <w:p>
      <w:pPr>
        <w:spacing w:line="360" w:lineRule="auto"/>
        <w:jc w:val="center"/>
        <w:rPr>
          <w:rFonts w:ascii="Times New Roman" w:hAnsi="Times New Roman" w:eastAsia="黑体"/>
          <w:color w:val="auto"/>
          <w:sz w:val="32"/>
          <w:szCs w:val="32"/>
        </w:r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jMzFiNTU2Yzk5OTFkYjRlZDliYzQ1ZDZjZmE1ZGYifQ=="/>
  </w:docVars>
  <w:rsids>
    <w:rsidRoot w:val="11A5292A"/>
    <w:rsid w:val="11A5292A"/>
    <w:rsid w:val="7DF95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Calibri" w:hAnsi="Calibri" w:eastAsia="宋体" w:cs="Times New Roman"/>
      <w:kern w:val="0"/>
      <w:sz w:val="24"/>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3"/>
    <w:qFormat/>
    <w:uiPriority w:val="99"/>
    <w:pPr>
      <w:ind w:left="420" w:leftChars="200"/>
    </w:pPr>
  </w:style>
  <w:style w:type="paragraph" w:styleId="3">
    <w:name w:val="Body Text"/>
    <w:basedOn w:val="1"/>
    <w:qFormat/>
    <w:uiPriority w:val="99"/>
    <w:rPr>
      <w:rFonts w:ascii="Times New Roman" w:hAnsi="Times New Roman"/>
      <w:sz w:val="20"/>
      <w:szCs w:val="24"/>
    </w:rPr>
  </w:style>
  <w:style w:type="paragraph" w:styleId="4">
    <w:name w:val="Plain Text"/>
    <w:basedOn w:val="1"/>
    <w:qFormat/>
    <w:uiPriority w:val="99"/>
    <w:rPr>
      <w:rFonts w:ascii="宋体" w:hAnsi="Courier New"/>
      <w:sz w:val="20"/>
    </w:rPr>
  </w:style>
  <w:style w:type="paragraph" w:customStyle="1" w:styleId="7">
    <w:name w:val="首行缩进"/>
    <w:basedOn w:val="1"/>
    <w:qFormat/>
    <w:uiPriority w:val="99"/>
    <w:pPr>
      <w:ind w:firstLine="480" w:firstLineChars="200"/>
    </w:pPr>
    <w:rPr>
      <w:lang w:val="zh-CN"/>
    </w:rPr>
  </w:style>
  <w:style w:type="paragraph" w:customStyle="1" w:styleId="8">
    <w:name w:val="列出段落5"/>
    <w:basedOn w:val="1"/>
    <w:qFormat/>
    <w:uiPriority w:val="99"/>
    <w:pPr>
      <w:autoSpaceDE w:val="0"/>
      <w:autoSpaceDN w:val="0"/>
      <w:adjustRightInd/>
      <w:spacing w:line="240" w:lineRule="auto"/>
      <w:ind w:left="144" w:firstLine="480"/>
      <w:textAlignment w:val="auto"/>
    </w:pPr>
    <w:rPr>
      <w:rFonts w:ascii="宋体" w:hAnsi="宋体" w:cs="宋体"/>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8141</Words>
  <Characters>8655</Characters>
  <Lines>0</Lines>
  <Paragraphs>0</Paragraphs>
  <TotalTime>0</TotalTime>
  <ScaleCrop>false</ScaleCrop>
  <LinksUpToDate>false</LinksUpToDate>
  <CharactersWithSpaces>8810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2023-04-18T06:26:00Z</dcterms:created>
  <dc:creator>啊呀</dc:creator>
  <cp:lastModifiedBy>asus</cp:lastModifiedBy>
  <dcterms:modified xsi:type="dcterms:W3CDTF">2023-04-20T08:18:19Z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B039F2B9208540ADB4A75C03B26FB440_11</vt:lpwstr>
  </property>
</Properties>
</file>