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240" w:lineRule="atLeast"/>
        <w:jc w:val="center"/>
        <w:rPr>
          <w:rFonts w:hint="eastAsia" w:ascii="宋体" w:hAnsi="宋体" w:eastAsia="宋体"/>
          <w:sz w:val="40"/>
          <w:szCs w:val="40"/>
          <w:highlight w:val="none"/>
        </w:rPr>
      </w:pPr>
      <w:bookmarkStart w:id="0" w:name="_Toc106614722"/>
      <w:r>
        <w:rPr>
          <w:rFonts w:hint="eastAsia" w:ascii="宋体" w:hAnsi="宋体" w:eastAsia="宋体"/>
          <w:sz w:val="40"/>
          <w:szCs w:val="40"/>
          <w:highlight w:val="none"/>
        </w:rPr>
        <w:t>第三章评标办法（双信封的技术评分最低标价法）</w:t>
      </w:r>
      <w:bookmarkEnd w:id="0"/>
    </w:p>
    <w:p>
      <w:pPr>
        <w:ind w:firstLine="280" w:firstLineChars="100"/>
        <w:jc w:val="center"/>
        <w:rPr>
          <w:rFonts w:hint="eastAsia" w:ascii="宋体" w:hAnsi="宋体"/>
          <w:bCs/>
          <w:sz w:val="28"/>
          <w:szCs w:val="28"/>
          <w:highlight w:val="none"/>
        </w:rPr>
      </w:pPr>
      <w:r>
        <w:rPr>
          <w:rFonts w:hint="eastAsia" w:ascii="宋体" w:hAnsi="宋体"/>
          <w:bCs/>
          <w:sz w:val="28"/>
          <w:szCs w:val="28"/>
          <w:highlight w:val="none"/>
        </w:rPr>
        <w:t>评标办法前附表</w:t>
      </w:r>
    </w:p>
    <w:p>
      <w:pPr>
        <w:pStyle w:val="2"/>
        <w:rPr>
          <w:rFonts w:hint="eastAsia"/>
        </w:rPr>
      </w:pPr>
    </w:p>
    <w:tbl>
      <w:tblPr>
        <w:tblStyle w:val="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94"/>
        <w:gridCol w:w="473"/>
        <w:gridCol w:w="219"/>
        <w:gridCol w:w="210"/>
        <w:gridCol w:w="256"/>
        <w:gridCol w:w="524"/>
        <w:gridCol w:w="960"/>
        <w:gridCol w:w="1035"/>
        <w:gridCol w:w="481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65" w:hRule="atLeast"/>
          <w:jc w:val="center"/>
        </w:trPr>
        <w:tc>
          <w:tcPr>
            <w:tcW w:w="1952"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jc w:val="center"/>
              <w:rPr>
                <w:rFonts w:hint="eastAsia" w:ascii="宋体" w:hAnsi="宋体" w:eastAsia="宋体" w:cs="宋体"/>
                <w:szCs w:val="21"/>
                <w:highlight w:val="none"/>
              </w:rPr>
            </w:pPr>
            <w:r>
              <w:rPr>
                <w:rFonts w:hint="eastAsia" w:ascii="宋体" w:hAnsi="宋体" w:eastAsia="宋体" w:cs="宋体"/>
                <w:szCs w:val="21"/>
                <w:highlight w:val="none"/>
              </w:rPr>
              <w:t>条款号</w:t>
            </w:r>
          </w:p>
        </w:tc>
        <w:tc>
          <w:tcPr>
            <w:tcW w:w="733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spacing w:before="0" w:beforeLines="20" w:line="276" w:lineRule="auto"/>
              <w:jc w:val="center"/>
              <w:textAlignment w:val="baseline"/>
              <w:rPr>
                <w:rFonts w:hint="eastAsia" w:ascii="宋体" w:hAnsi="宋体" w:eastAsia="宋体" w:cs="宋体"/>
                <w:szCs w:val="21"/>
                <w:highlight w:val="none"/>
              </w:rPr>
            </w:pPr>
            <w:r>
              <w:rPr>
                <w:rFonts w:hint="eastAsia" w:ascii="宋体" w:hAnsi="宋体" w:eastAsia="宋体" w:cs="宋体"/>
                <w:szCs w:val="21"/>
                <w:highlight w:val="none"/>
              </w:rPr>
              <w:t>评审因素与评审标准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2" w:hRule="atLeast"/>
          <w:jc w:val="center"/>
        </w:trPr>
        <w:tc>
          <w:tcPr>
            <w:tcW w:w="794" w:type="dxa"/>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1</w:t>
            </w:r>
          </w:p>
        </w:tc>
        <w:tc>
          <w:tcPr>
            <w:tcW w:w="115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评标方法</w:t>
            </w:r>
          </w:p>
        </w:tc>
        <w:tc>
          <w:tcPr>
            <w:tcW w:w="733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spacing w:before="0" w:beforeLines="50" w:line="276" w:lineRule="auto"/>
              <w:ind w:firstLine="420" w:firstLineChars="200"/>
              <w:textAlignment w:val="baseline"/>
              <w:rPr>
                <w:rFonts w:hint="eastAsia" w:ascii="宋体" w:hAnsi="宋体" w:eastAsia="宋体" w:cs="宋体"/>
                <w:szCs w:val="21"/>
                <w:highlight w:val="none"/>
              </w:rPr>
            </w:pPr>
            <w:r>
              <w:rPr>
                <w:rFonts w:hint="eastAsia" w:ascii="宋体" w:hAnsi="宋体" w:eastAsia="宋体" w:cs="宋体"/>
                <w:szCs w:val="21"/>
                <w:highlight w:val="none"/>
              </w:rPr>
              <w:t>评标价相等时，评标委员会依次按照以下优先顺序推荐中标候选人或确定中标人：</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被广东省交通运输厅最新年度评为较高信用等级的投标人优先；【采用如下的优先顺序：承诺使用的AA级投标人、不承诺使用的AA级投标人、承诺使用的A级投标人、不承诺使用的A级投标人、B级投标人、未参评且被确定为B级投标人】</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（2）以投标人企业最新年度净资产较高的优先；</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（3）评标委员会视投标人情况综合比较，投票确定其名次。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94" w:type="dxa"/>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2.1.1</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2.1.3</w:t>
            </w:r>
          </w:p>
        </w:tc>
        <w:tc>
          <w:tcPr>
            <w:tcW w:w="115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形式评审与响应性评审标准</w:t>
            </w:r>
          </w:p>
        </w:tc>
        <w:tc>
          <w:tcPr>
            <w:tcW w:w="7334"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ind w:firstLine="422" w:firstLineChars="200"/>
              <w:rPr>
                <w:rFonts w:hint="eastAsia" w:ascii="宋体" w:hAnsi="宋体" w:eastAsia="宋体" w:cs="宋体"/>
                <w:b/>
                <w:szCs w:val="21"/>
                <w:highlight w:val="none"/>
              </w:rPr>
            </w:pPr>
          </w:p>
          <w:p>
            <w:pPr>
              <w:widowControl/>
              <w:spacing w:line="276" w:lineRule="auto"/>
              <w:rPr>
                <w:rFonts w:hint="eastAsia" w:ascii="宋体" w:hAnsi="宋体" w:eastAsia="宋体" w:cs="宋体"/>
                <w:b/>
                <w:szCs w:val="21"/>
                <w:highlight w:val="none"/>
              </w:rPr>
            </w:pPr>
            <w:r>
              <w:rPr>
                <w:rFonts w:hint="eastAsia" w:ascii="宋体" w:hAnsi="宋体" w:eastAsia="宋体" w:cs="宋体"/>
                <w:b/>
                <w:szCs w:val="21"/>
                <w:highlight w:val="none"/>
              </w:rPr>
              <w:t>第一个信封（商务及技术文件）评审标准：</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（1）投标文件按照招标文件规定的格式、内容填写，字迹清晰可辨：</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a.投标函按招标文件规定填报了项目名称、标段号、补遗书编号（如有)、工期、工程质量要求及安全目标；</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b.投标函附录的所有数据均符合招标文件规定；</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highlight w:val="none"/>
              </w:rPr>
              <w:t>c.</w:t>
            </w:r>
            <w:r>
              <w:rPr>
                <w:rFonts w:hint="eastAsia" w:ascii="宋体" w:hAnsi="宋体" w:eastAsia="宋体" w:cs="宋体"/>
                <w:szCs w:val="21"/>
                <w:highlight w:val="none"/>
              </w:rPr>
              <w:t>投标文件组成齐全完整，内容均按规定填写。</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（2）投标文件上法定代表人或其委托代理人的签字、投标人的单位章盖章齐全，符合招标文件规定。</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（3）投标人按照招标文件的规定提供了投标保证金：</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a.投标保证金金额符合招标文件规定的金额，且投标保证金有效期不少于投标有效期；</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b.若投标保证金采用银行保函、保险或担保机构出具的保险单或担保函形式提交，满足招标文件要求，且在递交投标文件截止时间之前向招标人提交了银行保函或保险单或担保函原件。</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highlight w:val="none"/>
              </w:rPr>
              <w:t>c.投标文件组成齐全完整。</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（4）投标人法定代表人授权委托代理人签署投标文件的，需提交授权委托书，且授权人和被授权人均在授权委托书上签名，未使用印章、签名章或其他电子制版签名代替。</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（5）投标人法定代表人亲自签署投标文件的，提供了法定代表人身份证明，且法定代表人在法定代表人身份证明上签名，未使用印章、签名章或其他电子制版签名代替。</w:t>
            </w:r>
          </w:p>
          <w:p>
            <w:pPr>
              <w:widowControl/>
              <w:spacing w:line="276" w:lineRule="auto"/>
              <w:ind w:firstLine="420" w:firstLineChars="200"/>
              <w:rPr>
                <w:rFonts w:hint="eastAsia" w:ascii="宋体" w:hAnsi="宋体" w:eastAsia="宋体" w:cs="宋体"/>
                <w:szCs w:val="21"/>
              </w:rPr>
            </w:pPr>
            <w:r>
              <w:rPr>
                <w:rFonts w:hint="eastAsia" w:ascii="宋体" w:hAnsi="宋体" w:eastAsia="宋体" w:cs="宋体"/>
                <w:szCs w:val="21"/>
              </w:rPr>
              <w:t>（6）投标人以联合体形式投标时，联合体满足招标文件的要求：</w:t>
            </w:r>
          </w:p>
          <w:p>
            <w:pPr>
              <w:widowControl/>
              <w:spacing w:line="276" w:lineRule="auto"/>
              <w:ind w:firstLine="420" w:firstLineChars="200"/>
              <w:rPr>
                <w:rFonts w:hint="eastAsia" w:ascii="宋体" w:hAnsi="宋体" w:eastAsia="宋体" w:cs="宋体"/>
                <w:szCs w:val="21"/>
              </w:rPr>
            </w:pPr>
            <w:r>
              <w:rPr>
                <w:rFonts w:hint="eastAsia" w:ascii="宋体" w:hAnsi="宋体" w:eastAsia="宋体" w:cs="宋体"/>
                <w:szCs w:val="21"/>
              </w:rPr>
              <w:t>a.未进行资格预审的，投标人按照招标文件提供的格式签订了联合体协议书，明确各方承担连带责任，并明确了联合体牵头人；</w:t>
            </w:r>
          </w:p>
          <w:p>
            <w:pPr>
              <w:widowControl/>
              <w:spacing w:line="276" w:lineRule="auto"/>
              <w:ind w:firstLine="420" w:firstLineChars="200"/>
              <w:rPr>
                <w:rFonts w:hint="eastAsia" w:ascii="宋体" w:hAnsi="宋体" w:eastAsia="宋体" w:cs="宋体"/>
                <w:szCs w:val="21"/>
              </w:rPr>
            </w:pPr>
            <w:r>
              <w:rPr>
                <w:rFonts w:hint="eastAsia" w:ascii="宋体" w:hAnsi="宋体" w:eastAsia="宋体" w:cs="宋体"/>
                <w:szCs w:val="21"/>
              </w:rPr>
              <w:t>b.已进行资格预审的，投标人提供了资格预审申请文件中所附的联合体协议书复印件，且通过资格预审后的联合体无成员增减或更换的情况。</w:t>
            </w:r>
          </w:p>
          <w:p>
            <w:pPr>
              <w:widowControl/>
              <w:spacing w:line="276" w:lineRule="auto"/>
              <w:ind w:firstLine="420" w:firstLineChars="200"/>
              <w:rPr>
                <w:rFonts w:hint="eastAsia" w:ascii="宋体" w:hAnsi="宋体" w:eastAsia="宋体" w:cs="宋体"/>
                <w:szCs w:val="21"/>
              </w:rPr>
            </w:pPr>
            <w:r>
              <w:rPr>
                <w:rFonts w:hint="eastAsia" w:ascii="宋体" w:hAnsi="宋体" w:eastAsia="宋体" w:cs="宋体"/>
                <w:szCs w:val="21"/>
              </w:rPr>
              <w:t>（7）投标人如有分包计划，符合招标文件第二章“投标人须知”第1.11款规定，且按招标文件第九章“投标文件格式”的要求填写了“拟分包项目情况表”。</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8</w:t>
            </w:r>
            <w:r>
              <w:rPr>
                <w:rFonts w:hint="eastAsia" w:ascii="宋体" w:hAnsi="宋体" w:eastAsia="宋体" w:cs="宋体"/>
                <w:szCs w:val="21"/>
                <w:highlight w:val="none"/>
              </w:rPr>
              <w:t>）同一投标人未提交两个以上不同的投标文件，但招标文件要求提交备选投标的除外。</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9</w:t>
            </w:r>
            <w:r>
              <w:rPr>
                <w:rFonts w:hint="eastAsia" w:ascii="宋体" w:hAnsi="宋体" w:eastAsia="宋体" w:cs="宋体"/>
                <w:szCs w:val="21"/>
                <w:highlight w:val="none"/>
              </w:rPr>
              <w:t>）投标文件中未出现有关投标报价的内容。</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10</w:t>
            </w:r>
            <w:r>
              <w:rPr>
                <w:rFonts w:hint="eastAsia" w:ascii="宋体" w:hAnsi="宋体" w:eastAsia="宋体" w:cs="宋体"/>
                <w:szCs w:val="21"/>
                <w:highlight w:val="none"/>
              </w:rPr>
              <w:t>）投标文件载明的招标项目完成期限未超过招标文件规定的时限。</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11</w:t>
            </w:r>
            <w:r>
              <w:rPr>
                <w:rFonts w:hint="eastAsia" w:ascii="宋体" w:hAnsi="宋体" w:eastAsia="宋体" w:cs="宋体"/>
                <w:szCs w:val="21"/>
                <w:highlight w:val="none"/>
              </w:rPr>
              <w:t>）投标文件对招标文件的实质性要求和条件作出响应。</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12</w:t>
            </w:r>
            <w:r>
              <w:rPr>
                <w:rFonts w:hint="eastAsia" w:ascii="宋体" w:hAnsi="宋体" w:eastAsia="宋体" w:cs="宋体"/>
                <w:szCs w:val="21"/>
                <w:highlight w:val="none"/>
              </w:rPr>
              <w:t>）权利义务符合招标文件规定：</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a.投标人应接受招标文件规定的风险划分原则，未提出新的风险划分办法；</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b.投标人未增加发包人的责任范围，或减少投标人义务；</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highlight w:val="none"/>
              </w:rPr>
              <w:t>c.</w:t>
            </w:r>
            <w:r>
              <w:rPr>
                <w:rFonts w:hint="eastAsia" w:ascii="宋体" w:hAnsi="宋体" w:eastAsia="宋体" w:cs="宋体"/>
                <w:szCs w:val="21"/>
                <w:highlight w:val="none"/>
              </w:rPr>
              <w:t>投标人未提出不同的工程验收、计量、支付办法；</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d.投标人对合同纠纷、事故处理办法未提出异议；</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e.投标人在投标活动中无欺诈行为；</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f.投标人未对合同条款有重要保留。</w:t>
            </w:r>
          </w:p>
          <w:p>
            <w:pPr>
              <w:widowControl/>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）投标文件正、副本份数符合招标文件第二章“投标人须知第3.7.4项规定。</w:t>
            </w:r>
          </w:p>
          <w:p>
            <w:pPr>
              <w:widowControl/>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eastAsia="宋体" w:cs="宋体"/>
                <w:szCs w:val="21"/>
                <w:highlight w:val="none"/>
                <w:lang w:val="en-US" w:eastAsia="zh-CN"/>
              </w:rPr>
              <w:t>4</w:t>
            </w:r>
            <w:r>
              <w:rPr>
                <w:rFonts w:hint="eastAsia" w:ascii="宋体" w:hAnsi="宋体" w:eastAsia="宋体" w:cs="宋体"/>
                <w:szCs w:val="21"/>
                <w:highlight w:val="none"/>
              </w:rPr>
              <w:t>）投标人至投标文件递交截止日，没有被国家住建部或交通运输部或广东省交通运输厅通报批评且取消投标资格或信用等级被广东省交通运输厅降低为D级等情况之一的。</w:t>
            </w:r>
          </w:p>
          <w:p>
            <w:pPr>
              <w:widowControl/>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）投标文件未附有招标人不能接受的条件。</w:t>
            </w:r>
          </w:p>
          <w:p>
            <w:pPr>
              <w:pStyle w:val="2"/>
              <w:rPr>
                <w:rFonts w:hint="eastAsia" w:ascii="宋体" w:hAnsi="宋体" w:eastAsia="宋体" w:cs="宋体"/>
              </w:rPr>
            </w:pPr>
          </w:p>
          <w:p>
            <w:pPr>
              <w:widowControl/>
              <w:ind w:firstLine="420" w:firstLineChars="200"/>
              <w:rPr>
                <w:rFonts w:hint="eastAsia" w:ascii="宋体" w:hAnsi="宋体" w:eastAsia="宋体" w:cs="宋体"/>
                <w:b/>
                <w:szCs w:val="21"/>
                <w:highlight w:val="none"/>
              </w:rPr>
            </w:pPr>
            <w:r>
              <w:rPr>
                <w:rFonts w:hint="eastAsia" w:ascii="宋体" w:hAnsi="宋体" w:eastAsia="宋体" w:cs="宋体"/>
                <w:szCs w:val="21"/>
                <w:highlight w:val="none"/>
              </w:rPr>
              <w:t xml:space="preserve"> </w:t>
            </w:r>
            <w:r>
              <w:rPr>
                <w:rFonts w:hint="eastAsia" w:ascii="宋体" w:hAnsi="宋体" w:eastAsia="宋体" w:cs="宋体"/>
                <w:b/>
                <w:szCs w:val="21"/>
                <w:highlight w:val="none"/>
              </w:rPr>
              <w:t>第二个信封（报价文件）评审标准：</w:t>
            </w:r>
          </w:p>
          <w:p>
            <w:pPr>
              <w:widowControl/>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(1)投标文件按照招标文件规定的格式、内容填写，字迹清晰可辩：</w:t>
            </w:r>
          </w:p>
          <w:p>
            <w:pPr>
              <w:widowControl/>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a.投标函按招标文件规定填报了项目名称、标段号、补遗书编号（如有)、投标总报价（包括大写金额和小写金额)；</w:t>
            </w:r>
          </w:p>
          <w:p>
            <w:pPr>
              <w:widowControl/>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b.已标价工程量清单说明文字与招标文件规定一致，未进行实质性修改和删减；</w:t>
            </w:r>
          </w:p>
          <w:p>
            <w:pPr>
              <w:widowControl/>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c.投标文件组成齐全完整，内容均按规定填写。</w:t>
            </w:r>
          </w:p>
          <w:p>
            <w:pPr>
              <w:widowControl/>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（2）投标文件上法定代表人或其委托代理人的签字、投标人的单位章盖章齐全，符合招标文件规定。</w:t>
            </w:r>
          </w:p>
          <w:p>
            <w:pPr>
              <w:widowControl/>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（3）投标报价或调价函中的报价未超过招标文件设定的最高投标限价（如有)。</w:t>
            </w:r>
          </w:p>
          <w:p>
            <w:pPr>
              <w:widowControl/>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（4）投标报价或调价函中报价的大写金额能够确定具体数值。</w:t>
            </w:r>
          </w:p>
          <w:p>
            <w:pPr>
              <w:widowControl/>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（5）同一投标人未提交两个以上不同的投标报价，但招标文件要求提交备选投标的除外。</w:t>
            </w:r>
          </w:p>
          <w:p>
            <w:pPr>
              <w:widowControl/>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（6）投标人若提交调价函，调价函符合招标文件第二章“投标人须知”第3.2.6项要求。</w:t>
            </w:r>
          </w:p>
          <w:p>
            <w:pPr>
              <w:widowControl/>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（7）投标人若填写工程量固化清单，填写完毕的工程量固化清单未对工程量固化清单电子文件中的数据、格式和运算定义进行修改；工程量固化清单中的投标报价和投标函大写金额报价一致。</w:t>
            </w:r>
          </w:p>
          <w:p>
            <w:pPr>
              <w:widowControl/>
              <w:spacing w:line="276"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（8）投标文件正、副本份数符合招标文件第二章“投标人须知”第3.7.4项规定。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723" w:hRule="atLeast"/>
          <w:jc w:val="center"/>
        </w:trPr>
        <w:tc>
          <w:tcPr>
            <w:tcW w:w="794" w:type="dxa"/>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2.1.2</w:t>
            </w:r>
          </w:p>
        </w:tc>
        <w:tc>
          <w:tcPr>
            <w:tcW w:w="115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资格评审标准</w:t>
            </w:r>
          </w:p>
        </w:tc>
        <w:tc>
          <w:tcPr>
            <w:tcW w:w="733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spacing w:before="0" w:beforeLines="50"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（1）投标人具备有效的营业执照、组织机构代码证（如有）、资质证书、安全生产许可证和基本账户开户许可证；</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（2）投标人的资质等级符合招标文件规定；</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（3）投标人的财务状况符合招标文件规定；</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（4）投标人的类似项目业绩符合招标文件规定；</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（5）投标人的信誉符合招标文件规定；</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（6）投标人的项目经理和项目总工资格（均含备选，如有）、在岗情况符合招标文件规定；</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（7）投标人的其他要求符合招标文件规定；</w:t>
            </w:r>
          </w:p>
          <w:p>
            <w:pPr>
              <w:keepNext w:val="0"/>
              <w:keepLines w:val="0"/>
              <w:pageBreakBefore w:val="0"/>
              <w:widowControl/>
              <w:kinsoku/>
              <w:wordWrap/>
              <w:overflowPunct/>
              <w:topLinePunct w:val="0"/>
              <w:autoSpaceDE/>
              <w:autoSpaceDN/>
              <w:bidi w:val="0"/>
              <w:adjustRightInd w:val="0"/>
              <w:snapToGrid/>
              <w:spacing w:line="276" w:lineRule="auto"/>
              <w:ind w:left="21" w:leftChars="10"/>
              <w:textAlignment w:val="baseline"/>
              <w:rPr>
                <w:rFonts w:hint="eastAsia" w:ascii="宋体" w:hAnsi="宋体" w:eastAsia="宋体" w:cs="宋体"/>
                <w:szCs w:val="21"/>
                <w:highlight w:val="none"/>
              </w:rPr>
            </w:pPr>
            <w:r>
              <w:rPr>
                <w:rFonts w:hint="eastAsia" w:ascii="宋体" w:hAnsi="宋体" w:eastAsia="宋体" w:cs="宋体"/>
                <w:szCs w:val="21"/>
                <w:highlight w:val="none"/>
              </w:rPr>
              <w:t>（8）投标人不存在第二章“投标人须知”第1.4.3项或第1.4.4项规定的任何一种情形；</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（9）投标人符合第二章“投标人须知”第1.4.5项规定；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32" w:hRule="atLeast"/>
          <w:jc w:val="center"/>
        </w:trPr>
        <w:tc>
          <w:tcPr>
            <w:tcW w:w="794" w:type="dxa"/>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w:t>
            </w:r>
          </w:p>
        </w:tc>
        <w:tc>
          <w:tcPr>
            <w:tcW w:w="115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第一个信封评分分值构成(总分100分）</w:t>
            </w:r>
          </w:p>
        </w:tc>
        <w:tc>
          <w:tcPr>
            <w:tcW w:w="7334"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施工组织设计（A）：</w:t>
            </w:r>
            <w:r>
              <w:rPr>
                <w:rFonts w:hint="eastAsia" w:ascii="宋体" w:hAnsi="宋体" w:eastAsia="宋体" w:cs="宋体"/>
                <w:color w:val="auto"/>
                <w:szCs w:val="21"/>
                <w:highlight w:val="none"/>
                <w:u w:val="single"/>
                <w:lang w:val="en-US" w:eastAsia="zh-CN"/>
              </w:rPr>
              <w:t>40</w:t>
            </w:r>
            <w:r>
              <w:rPr>
                <w:rFonts w:hint="eastAsia" w:ascii="宋体" w:hAnsi="宋体" w:eastAsia="宋体" w:cs="宋体"/>
                <w:color w:val="auto"/>
                <w:szCs w:val="21"/>
                <w:highlight w:val="none"/>
              </w:rPr>
              <w:t>分</w:t>
            </w:r>
          </w:p>
          <w:p>
            <w:pPr>
              <w:widowControl/>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主要人员（</w:t>
            </w:r>
            <w:r>
              <w:rPr>
                <w:rFonts w:hint="eastAsia" w:ascii="宋体" w:hAnsi="宋体" w:eastAsia="宋体" w:cs="宋体"/>
                <w:color w:val="auto"/>
                <w:szCs w:val="21"/>
                <w:highlight w:val="none"/>
                <w:lang w:val="en-US" w:eastAsia="zh-CN"/>
              </w:rPr>
              <w:t>B</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30</w:t>
            </w:r>
            <w:r>
              <w:rPr>
                <w:rFonts w:hint="eastAsia" w:ascii="宋体" w:hAnsi="宋体" w:eastAsia="宋体" w:cs="宋体"/>
                <w:color w:val="auto"/>
                <w:szCs w:val="21"/>
                <w:highlight w:val="none"/>
              </w:rPr>
              <w:t>分</w:t>
            </w:r>
          </w:p>
          <w:p>
            <w:pPr>
              <w:widowControl/>
              <w:spacing w:line="276" w:lineRule="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其他因素（</w:t>
            </w:r>
            <w:r>
              <w:rPr>
                <w:rFonts w:hint="eastAsia" w:ascii="宋体" w:hAnsi="宋体" w:eastAsia="宋体" w:cs="宋体"/>
                <w:color w:val="auto"/>
                <w:szCs w:val="21"/>
                <w:highlight w:val="none"/>
                <w:lang w:val="en-US" w:eastAsia="zh-CN"/>
              </w:rPr>
              <w:t>C</w:t>
            </w:r>
            <w:r>
              <w:rPr>
                <w:rFonts w:hint="eastAsia" w:ascii="宋体" w:hAnsi="宋体" w:eastAsia="宋体" w:cs="宋体"/>
                <w:color w:val="auto"/>
                <w:szCs w:val="21"/>
                <w:highlight w:val="none"/>
              </w:rPr>
              <w:t>）</w:t>
            </w:r>
          </w:p>
          <w:p>
            <w:pPr>
              <w:widowControl/>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技术能力：</w:t>
            </w:r>
            <w:r>
              <w:rPr>
                <w:rFonts w:hint="eastAsia" w:ascii="宋体" w:hAnsi="宋体" w:eastAsia="宋体" w:cs="宋体"/>
                <w:color w:val="auto"/>
                <w:szCs w:val="21"/>
                <w:highlight w:val="none"/>
                <w:u w:val="single"/>
                <w:lang w:val="en-US" w:eastAsia="zh-CN"/>
              </w:rPr>
              <w:t>15</w:t>
            </w:r>
            <w:r>
              <w:rPr>
                <w:rFonts w:hint="eastAsia" w:ascii="宋体" w:hAnsi="宋体" w:eastAsia="宋体" w:cs="宋体"/>
                <w:color w:val="auto"/>
                <w:szCs w:val="21"/>
                <w:highlight w:val="none"/>
              </w:rPr>
              <w:t>分</w:t>
            </w:r>
          </w:p>
          <w:p>
            <w:pPr>
              <w:widowControl/>
              <w:spacing w:line="276"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履约信誉：</w:t>
            </w:r>
            <w:r>
              <w:rPr>
                <w:rFonts w:hint="eastAsia" w:ascii="宋体" w:hAnsi="宋体" w:eastAsia="宋体" w:cs="宋体"/>
                <w:color w:val="auto"/>
                <w:szCs w:val="21"/>
                <w:highlight w:val="none"/>
                <w:u w:val="single"/>
                <w:lang w:val="en-US" w:eastAsia="zh-CN"/>
              </w:rPr>
              <w:t>15</w:t>
            </w:r>
            <w:r>
              <w:rPr>
                <w:rFonts w:hint="eastAsia" w:ascii="宋体" w:hAnsi="宋体" w:eastAsia="宋体" w:cs="宋体"/>
                <w:color w:val="auto"/>
                <w:szCs w:val="21"/>
                <w:highlight w:val="none"/>
              </w:rPr>
              <w:t xml:space="preserve">分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10" w:hRule="atLeast"/>
          <w:jc w:val="center"/>
        </w:trPr>
        <w:tc>
          <w:tcPr>
            <w:tcW w:w="794" w:type="dxa"/>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2.2.3</w:t>
            </w:r>
          </w:p>
        </w:tc>
        <w:tc>
          <w:tcPr>
            <w:tcW w:w="115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第二个信封详细评审标准</w:t>
            </w:r>
          </w:p>
        </w:tc>
        <w:tc>
          <w:tcPr>
            <w:tcW w:w="733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spacing w:before="0" w:beforeLines="50" w:line="276" w:lineRule="auto"/>
              <w:textAlignment w:val="baseline"/>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评标价的评审：</w:t>
            </w:r>
          </w:p>
          <w:p>
            <w:pPr>
              <w:widowControl/>
              <w:spacing w:line="276" w:lineRule="auto"/>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(1)评标价计算公式：</w:t>
            </w:r>
          </w:p>
          <w:p>
            <w:pPr>
              <w:widowControl/>
              <w:spacing w:line="276" w:lineRule="auto"/>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评标价=投标函文件报价</w:t>
            </w:r>
          </w:p>
          <w:p>
            <w:pPr>
              <w:widowControl/>
              <w:spacing w:line="276" w:lineRule="auto"/>
              <w:ind w:firstLine="422" w:firstLineChars="200"/>
              <w:rPr>
                <w:rFonts w:hint="eastAsia" w:ascii="宋体" w:hAnsi="宋体" w:eastAsia="宋体" w:cs="宋体"/>
                <w:b w:val="0"/>
                <w:bCs w:val="0"/>
                <w:szCs w:val="21"/>
                <w:highlight w:val="none"/>
              </w:rPr>
            </w:pPr>
            <w:r>
              <w:rPr>
                <w:rFonts w:hint="eastAsia" w:ascii="宋体" w:hAnsi="宋体" w:eastAsia="宋体" w:cs="宋体"/>
                <w:b/>
                <w:bCs/>
                <w:szCs w:val="21"/>
                <w:highlight w:val="none"/>
              </w:rPr>
              <w:t>若投标人的评标价小于最高投标限价 85%</w:t>
            </w:r>
            <w:r>
              <w:rPr>
                <w:rFonts w:hint="eastAsia" w:ascii="宋体" w:hAnsi="宋体" w:eastAsia="宋体" w:cs="宋体"/>
                <w:b/>
                <w:bCs/>
                <w:szCs w:val="21"/>
                <w:highlight w:val="none"/>
                <w:lang w:val="en-US" w:eastAsia="zh-CN"/>
              </w:rPr>
              <w:t xml:space="preserve"> </w:t>
            </w:r>
            <w:r>
              <w:rPr>
                <w:rFonts w:hint="eastAsia" w:ascii="宋体" w:hAnsi="宋体" w:eastAsia="宋体" w:cs="宋体"/>
                <w:b/>
                <w:bCs/>
                <w:szCs w:val="21"/>
                <w:highlight w:val="none"/>
              </w:rPr>
              <w:t>的，启动澄清程序，要求投标人作出书面说明并提供相关证明材料。投标人不能合理说明或者不能提供相关证明资料的，评标委员会认定该投标人以低于成本报价竞标，否决其投标。当所有投标人的投标因此种情况被否决；或当因此种情况被否决部分投标人后，有效投标人不足三家，评标委员会认为竞争不足的情况出现时，评标委员会可以否决全部投标。未否决全部投标的，评标委员会应当在评标报告中阐明理由并推荐中标候选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92" w:hRule="atLeast"/>
          <w:jc w:val="center"/>
        </w:trPr>
        <w:tc>
          <w:tcPr>
            <w:tcW w:w="794" w:type="dxa"/>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3.2.4</w:t>
            </w:r>
          </w:p>
        </w:tc>
        <w:tc>
          <w:tcPr>
            <w:tcW w:w="115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通过第一个信封详细评审的投标人数量</w:t>
            </w:r>
          </w:p>
        </w:tc>
        <w:tc>
          <w:tcPr>
            <w:tcW w:w="7334"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b w:val="0"/>
                <w:bCs w:val="0"/>
                <w:szCs w:val="21"/>
                <w:highlight w:val="none"/>
                <w:lang w:eastAsia="zh-CN"/>
              </w:rPr>
            </w:pPr>
            <w:r>
              <w:rPr>
                <w:rFonts w:hint="eastAsia" w:ascii="宋体" w:hAnsi="宋体" w:eastAsia="宋体" w:cs="宋体"/>
                <w:b w:val="0"/>
                <w:bCs w:val="0"/>
                <w:szCs w:val="21"/>
                <w:highlight w:val="none"/>
              </w:rPr>
              <w:t>按照投标人的商务和技术得分由高到低排序，选择</w:t>
            </w:r>
            <w:r>
              <w:rPr>
                <w:rFonts w:hint="eastAsia" w:ascii="宋体" w:hAnsi="宋体" w:eastAsia="宋体" w:cs="宋体"/>
                <w:b w:val="0"/>
                <w:bCs w:val="0"/>
                <w:spacing w:val="1"/>
                <w:highlight w:val="none"/>
                <w:u w:val="single"/>
              </w:rPr>
              <w:t xml:space="preserve">前 </w:t>
            </w:r>
            <w:r>
              <w:rPr>
                <w:rFonts w:hint="eastAsia" w:ascii="宋体" w:hAnsi="宋体" w:eastAsia="宋体" w:cs="宋体"/>
                <w:b w:val="0"/>
                <w:bCs w:val="0"/>
                <w:highlight w:val="none"/>
                <w:u w:val="single"/>
              </w:rPr>
              <w:t>5</w:t>
            </w:r>
            <w:r>
              <w:rPr>
                <w:rFonts w:hint="eastAsia" w:ascii="宋体" w:hAnsi="宋体" w:eastAsia="宋体" w:cs="宋体"/>
                <w:b w:val="0"/>
                <w:bCs w:val="0"/>
                <w:spacing w:val="5"/>
                <w:highlight w:val="none"/>
                <w:u w:val="single"/>
              </w:rPr>
              <w:t xml:space="preserve"> 名</w:t>
            </w:r>
            <w:r>
              <w:rPr>
                <w:rFonts w:hint="eastAsia" w:ascii="宋体" w:hAnsi="宋体" w:eastAsia="宋体" w:cs="宋体"/>
                <w:b w:val="0"/>
                <w:bCs w:val="0"/>
                <w:highlight w:val="none"/>
                <w:u w:val="single"/>
              </w:rPr>
              <w:t>（</w:t>
            </w:r>
            <w:r>
              <w:rPr>
                <w:rFonts w:hint="eastAsia" w:ascii="宋体" w:hAnsi="宋体" w:eastAsia="宋体" w:cs="宋体"/>
                <w:b w:val="0"/>
                <w:bCs w:val="0"/>
                <w:spacing w:val="-14"/>
                <w:highlight w:val="none"/>
                <w:u w:val="single"/>
              </w:rPr>
              <w:t xml:space="preserve">不少于 </w:t>
            </w:r>
            <w:r>
              <w:rPr>
                <w:rFonts w:hint="eastAsia" w:ascii="宋体" w:hAnsi="宋体" w:eastAsia="宋体" w:cs="宋体"/>
                <w:b w:val="0"/>
                <w:bCs w:val="0"/>
                <w:highlight w:val="none"/>
                <w:u w:val="single"/>
              </w:rPr>
              <w:t>3</w:t>
            </w:r>
            <w:r>
              <w:rPr>
                <w:rFonts w:hint="eastAsia" w:ascii="宋体" w:hAnsi="宋体" w:eastAsia="宋体" w:cs="宋体"/>
                <w:b w:val="0"/>
                <w:bCs w:val="0"/>
                <w:spacing w:val="-19"/>
                <w:highlight w:val="none"/>
                <w:u w:val="single"/>
              </w:rPr>
              <w:t xml:space="preserve"> 名但不足 </w:t>
            </w:r>
            <w:r>
              <w:rPr>
                <w:rFonts w:hint="eastAsia" w:ascii="宋体" w:hAnsi="宋体" w:eastAsia="宋体" w:cs="宋体"/>
                <w:b w:val="0"/>
                <w:bCs w:val="0"/>
                <w:highlight w:val="none"/>
                <w:u w:val="single"/>
              </w:rPr>
              <w:t>5</w:t>
            </w:r>
            <w:r>
              <w:rPr>
                <w:rFonts w:hint="eastAsia" w:ascii="宋体" w:hAnsi="宋体" w:eastAsia="宋体" w:cs="宋体"/>
                <w:b w:val="0"/>
                <w:bCs w:val="0"/>
                <w:spacing w:val="-8"/>
                <w:highlight w:val="none"/>
                <w:u w:val="single"/>
              </w:rPr>
              <w:t xml:space="preserve"> 名时，按全部实际数量</w:t>
            </w:r>
            <w:r>
              <w:rPr>
                <w:rFonts w:hint="eastAsia" w:ascii="宋体" w:hAnsi="宋体" w:eastAsia="宋体" w:cs="宋体"/>
                <w:b w:val="0"/>
                <w:bCs w:val="0"/>
                <w:highlight w:val="none"/>
                <w:u w:val="single"/>
              </w:rPr>
              <w:t>）</w:t>
            </w:r>
            <w:r>
              <w:rPr>
                <w:rFonts w:hint="eastAsia" w:ascii="宋体" w:hAnsi="宋体" w:eastAsia="宋体" w:cs="宋体"/>
                <w:b w:val="0"/>
                <w:bCs w:val="0"/>
                <w:szCs w:val="21"/>
                <w:highlight w:val="none"/>
              </w:rPr>
              <w:t>通过详细评审</w:t>
            </w:r>
            <w:r>
              <w:rPr>
                <w:rFonts w:hint="eastAsia" w:ascii="宋体" w:hAnsi="宋体" w:eastAsia="宋体" w:cs="宋体"/>
                <w:b w:val="0"/>
                <w:bCs w:val="0"/>
                <w:szCs w:val="21"/>
                <w:highlight w:val="none"/>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4471" w:type="dxa"/>
            <w:gridSpan w:val="8"/>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Cs w:val="21"/>
                <w:highlight w:val="none"/>
              </w:rPr>
            </w:pPr>
            <w:r>
              <w:rPr>
                <w:rFonts w:hint="eastAsia" w:ascii="宋体" w:hAnsi="宋体" w:eastAsia="宋体" w:cs="宋体"/>
                <w:szCs w:val="21"/>
                <w:highlight w:val="none"/>
              </w:rPr>
              <w:t>评分因素与权重分值</w:t>
            </w:r>
          </w:p>
        </w:tc>
        <w:tc>
          <w:tcPr>
            <w:tcW w:w="4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54" w:hRule="atLeast"/>
          <w:jc w:val="center"/>
        </w:trPr>
        <w:tc>
          <w:tcPr>
            <w:tcW w:w="79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Cs w:val="21"/>
                <w:highlight w:val="none"/>
              </w:rPr>
            </w:pPr>
            <w:r>
              <w:rPr>
                <w:rFonts w:hint="eastAsia" w:ascii="宋体" w:hAnsi="宋体" w:eastAsia="宋体" w:cs="宋体"/>
                <w:szCs w:val="21"/>
                <w:highlight w:val="none"/>
              </w:rPr>
              <w:t>条款</w:t>
            </w:r>
          </w:p>
          <w:p>
            <w:pPr>
              <w:widowControl/>
              <w:jc w:val="center"/>
              <w:rPr>
                <w:rFonts w:hint="eastAsia" w:ascii="宋体" w:hAnsi="宋体" w:eastAsia="宋体" w:cs="宋体"/>
                <w:szCs w:val="21"/>
                <w:highlight w:val="none"/>
              </w:rPr>
            </w:pPr>
            <w:r>
              <w:rPr>
                <w:rFonts w:hint="eastAsia" w:ascii="宋体" w:hAnsi="宋体" w:eastAsia="宋体" w:cs="宋体"/>
                <w:szCs w:val="21"/>
                <w:highlight w:val="none"/>
              </w:rPr>
              <w:t>号</w:t>
            </w:r>
          </w:p>
        </w:tc>
        <w:tc>
          <w:tcPr>
            <w:tcW w:w="69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Cs w:val="21"/>
                <w:highlight w:val="none"/>
              </w:rPr>
            </w:pPr>
            <w:r>
              <w:rPr>
                <w:rFonts w:hint="eastAsia" w:ascii="宋体" w:hAnsi="宋体" w:eastAsia="宋体" w:cs="宋体"/>
                <w:szCs w:val="21"/>
                <w:highlight w:val="none"/>
              </w:rPr>
              <w:t>评分因素</w:t>
            </w:r>
          </w:p>
        </w:tc>
        <w:tc>
          <w:tcPr>
            <w:tcW w:w="990"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Cs w:val="21"/>
                <w:highlight w:val="none"/>
              </w:rPr>
            </w:pPr>
            <w:r>
              <w:rPr>
                <w:rFonts w:hint="eastAsia" w:ascii="宋体" w:hAnsi="宋体" w:eastAsia="宋体" w:cs="宋体"/>
                <w:szCs w:val="21"/>
                <w:highlight w:val="none"/>
              </w:rPr>
              <w:t>评分</w:t>
            </w:r>
          </w:p>
          <w:p>
            <w:pPr>
              <w:widowControl/>
              <w:jc w:val="center"/>
              <w:rPr>
                <w:rFonts w:hint="eastAsia" w:ascii="宋体" w:hAnsi="宋体" w:eastAsia="宋体" w:cs="宋体"/>
                <w:szCs w:val="21"/>
                <w:highlight w:val="none"/>
              </w:rPr>
            </w:pPr>
            <w:r>
              <w:rPr>
                <w:rFonts w:hint="eastAsia" w:ascii="宋体" w:hAnsi="宋体" w:eastAsia="宋体" w:cs="宋体"/>
                <w:szCs w:val="21"/>
                <w:highlight w:val="none"/>
              </w:rPr>
              <w:t>因素</w:t>
            </w:r>
          </w:p>
          <w:p>
            <w:pPr>
              <w:widowControl/>
              <w:jc w:val="center"/>
              <w:rPr>
                <w:rFonts w:hint="eastAsia" w:ascii="宋体" w:hAnsi="宋体" w:eastAsia="宋体" w:cs="宋体"/>
                <w:szCs w:val="21"/>
                <w:highlight w:val="none"/>
              </w:rPr>
            </w:pPr>
            <w:r>
              <w:rPr>
                <w:rFonts w:hint="eastAsia" w:ascii="宋体" w:hAnsi="宋体" w:eastAsia="宋体" w:cs="宋体"/>
                <w:szCs w:val="21"/>
                <w:highlight w:val="none"/>
              </w:rPr>
              <w:t>权重</w:t>
            </w:r>
          </w:p>
          <w:p>
            <w:pPr>
              <w:widowControl/>
              <w:jc w:val="center"/>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w:t>
            </w:r>
            <w:r>
              <w:rPr>
                <w:rFonts w:hint="eastAsia" w:ascii="宋体" w:hAnsi="宋体" w:eastAsia="宋体" w:cs="宋体"/>
                <w:szCs w:val="21"/>
                <w:highlight w:val="none"/>
                <w:lang w:eastAsia="zh-CN"/>
              </w:rPr>
              <w:t>）</w:t>
            </w:r>
          </w:p>
        </w:tc>
        <w:tc>
          <w:tcPr>
            <w:tcW w:w="9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Cs w:val="21"/>
                <w:highlight w:val="none"/>
              </w:rPr>
            </w:pPr>
            <w:r>
              <w:rPr>
                <w:rFonts w:hint="eastAsia" w:ascii="宋体" w:hAnsi="宋体" w:eastAsia="宋体" w:cs="宋体"/>
                <w:szCs w:val="21"/>
                <w:highlight w:val="none"/>
              </w:rPr>
              <w:t>各评分</w:t>
            </w:r>
          </w:p>
          <w:p>
            <w:pPr>
              <w:widowControl/>
              <w:jc w:val="center"/>
              <w:rPr>
                <w:rFonts w:hint="eastAsia" w:ascii="宋体" w:hAnsi="宋体" w:eastAsia="宋体" w:cs="宋体"/>
                <w:szCs w:val="21"/>
                <w:highlight w:val="none"/>
              </w:rPr>
            </w:pPr>
            <w:r>
              <w:rPr>
                <w:rFonts w:hint="eastAsia" w:ascii="宋体" w:hAnsi="宋体" w:eastAsia="宋体" w:cs="宋体"/>
                <w:szCs w:val="21"/>
                <w:highlight w:val="none"/>
              </w:rPr>
              <w:t>因素细</w:t>
            </w:r>
          </w:p>
          <w:p>
            <w:pPr>
              <w:widowControl/>
              <w:jc w:val="center"/>
              <w:rPr>
                <w:rFonts w:hint="eastAsia" w:ascii="宋体" w:hAnsi="宋体" w:eastAsia="宋体" w:cs="宋体"/>
                <w:szCs w:val="21"/>
                <w:highlight w:val="none"/>
              </w:rPr>
            </w:pPr>
            <w:r>
              <w:rPr>
                <w:rFonts w:hint="eastAsia" w:ascii="宋体" w:hAnsi="宋体" w:eastAsia="宋体" w:cs="宋体"/>
                <w:szCs w:val="21"/>
                <w:highlight w:val="none"/>
              </w:rPr>
              <w:t>分项</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Cs w:val="21"/>
                <w:highlight w:val="none"/>
              </w:rPr>
            </w:pPr>
            <w:r>
              <w:rPr>
                <w:rFonts w:hint="eastAsia" w:ascii="宋体" w:hAnsi="宋体" w:eastAsia="宋体" w:cs="宋体"/>
                <w:szCs w:val="21"/>
                <w:highlight w:val="none"/>
              </w:rPr>
              <w:t>分值</w:t>
            </w:r>
          </w:p>
        </w:tc>
        <w:tc>
          <w:tcPr>
            <w:tcW w:w="4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Cs w:val="21"/>
                <w:highlight w:val="none"/>
              </w:rPr>
            </w:pPr>
            <w:r>
              <w:rPr>
                <w:rFonts w:hint="eastAsia" w:ascii="宋体" w:hAnsi="宋体" w:eastAsia="宋体" w:cs="宋体"/>
                <w:szCs w:val="21"/>
                <w:highlight w:val="none"/>
              </w:rPr>
              <w:t>评分标准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45" w:hRule="atLeast"/>
          <w:jc w:val="center"/>
        </w:trPr>
        <w:tc>
          <w:tcPr>
            <w:tcW w:w="79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w:t>
            </w:r>
          </w:p>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692"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施工组织设计</w:t>
            </w:r>
          </w:p>
        </w:tc>
        <w:tc>
          <w:tcPr>
            <w:tcW w:w="990" w:type="dxa"/>
            <w:gridSpan w:val="3"/>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15</w:t>
            </w:r>
            <w:r>
              <w:rPr>
                <w:rFonts w:hint="eastAsia" w:ascii="宋体" w:hAnsi="宋体" w:eastAsia="宋体" w:cs="宋体"/>
                <w:color w:val="auto"/>
                <w:szCs w:val="21"/>
                <w:highlight w:val="none"/>
              </w:rPr>
              <w:t>.00</w:t>
            </w:r>
          </w:p>
        </w:tc>
        <w:tc>
          <w:tcPr>
            <w:tcW w:w="9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工期保</w:t>
            </w:r>
          </w:p>
          <w:p>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证体系</w:t>
            </w:r>
          </w:p>
          <w:p>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及保证</w:t>
            </w:r>
          </w:p>
          <w:p>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措施</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15</w:t>
            </w:r>
            <w:r>
              <w:rPr>
                <w:rFonts w:hint="eastAsia" w:ascii="宋体" w:hAnsi="宋体" w:eastAsia="宋体" w:cs="宋体"/>
                <w:color w:val="auto"/>
                <w:szCs w:val="21"/>
                <w:highlight w:val="none"/>
              </w:rPr>
              <w:t>.00分</w:t>
            </w:r>
          </w:p>
        </w:tc>
        <w:tc>
          <w:tcPr>
            <w:tcW w:w="4815"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rPr>
              <w:t>（1）进度控制措施得当，对本项目的工期重要性理解特别透彻，对地形地貌特征、重点工序、天气、关键设备故障、与其他承包人衔接、社会环境等问题有切实可行的应对或应急方案，计划科学合理，可操作性高，得12.1~15分(满分分值的80%~100%)；</w:t>
            </w:r>
          </w:p>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rPr>
              <w:t>（2）工期保证体系及保证措施基本可行，内容较为充实、全面的，得9.1~12分(满分分值</w:t>
            </w:r>
            <w:r>
              <w:rPr>
                <w:rFonts w:hint="eastAsia" w:ascii="宋体" w:hAnsi="宋体" w:eastAsia="宋体" w:cs="宋体"/>
                <w:color w:val="auto"/>
                <w:szCs w:val="21"/>
                <w:highlight w:val="none"/>
                <w:lang w:val="en-US" w:eastAsia="zh-CN"/>
              </w:rPr>
              <w:t>60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80</w:t>
            </w:r>
            <w:r>
              <w:rPr>
                <w:rFonts w:hint="eastAsia" w:ascii="宋体" w:hAnsi="宋体" w:eastAsia="宋体" w:cs="宋体"/>
                <w:color w:val="auto"/>
                <w:szCs w:val="21"/>
                <w:highlight w:val="none"/>
              </w:rPr>
              <w:t>%)；</w:t>
            </w:r>
          </w:p>
          <w:p>
            <w:pPr>
              <w:widowControl/>
              <w:ind w:right="-143" w:rightChars="-68"/>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（3）一般但不被评定为不响应的,起评分</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分(满</w:t>
            </w:r>
          </w:p>
          <w:p>
            <w:pPr>
              <w:widowControl/>
              <w:ind w:right="-143" w:rightChars="-68"/>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分分值的</w:t>
            </w:r>
            <w:r>
              <w:rPr>
                <w:rFonts w:hint="eastAsia" w:ascii="宋体" w:hAnsi="宋体" w:eastAsia="宋体" w:cs="宋体"/>
                <w:color w:val="auto"/>
                <w:szCs w:val="21"/>
                <w:highlight w:val="none"/>
                <w:lang w:val="en-US" w:eastAsia="zh-CN"/>
              </w:rPr>
              <w:t>60</w:t>
            </w:r>
            <w:r>
              <w:rPr>
                <w:rFonts w:hint="eastAsia" w:ascii="宋体" w:hAnsi="宋体" w:eastAsia="宋体" w:cs="宋体"/>
                <w:color w:val="auto"/>
                <w:szCs w:val="21"/>
                <w:highlight w:val="none"/>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4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FF0000"/>
                <w:szCs w:val="21"/>
                <w:highlight w:val="none"/>
              </w:rPr>
            </w:pPr>
          </w:p>
        </w:tc>
        <w:tc>
          <w:tcPr>
            <w:tcW w:w="692"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FF0000"/>
                <w:szCs w:val="21"/>
                <w:highlight w:val="none"/>
              </w:rPr>
            </w:pPr>
          </w:p>
        </w:tc>
        <w:tc>
          <w:tcPr>
            <w:tcW w:w="990" w:type="dxa"/>
            <w:gridSpan w:val="3"/>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15</w:t>
            </w:r>
            <w:r>
              <w:rPr>
                <w:rFonts w:hint="eastAsia" w:ascii="宋体" w:hAnsi="宋体" w:eastAsia="宋体" w:cs="宋体"/>
                <w:color w:val="auto"/>
                <w:szCs w:val="21"/>
                <w:highlight w:val="none"/>
              </w:rPr>
              <w:t>.00</w:t>
            </w:r>
          </w:p>
        </w:tc>
        <w:tc>
          <w:tcPr>
            <w:tcW w:w="9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质量、安全保证体系及保证措施</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15</w:t>
            </w:r>
            <w:r>
              <w:rPr>
                <w:rFonts w:hint="eastAsia" w:ascii="宋体" w:hAnsi="宋体" w:eastAsia="宋体" w:cs="宋体"/>
                <w:color w:val="auto"/>
                <w:szCs w:val="21"/>
                <w:highlight w:val="none"/>
              </w:rPr>
              <w:t>.00分</w:t>
            </w:r>
          </w:p>
        </w:tc>
        <w:tc>
          <w:tcPr>
            <w:tcW w:w="4815"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rPr>
              <w:t>（1）对本项目质量及安全控制有透彻的认识，对施工过程中可能发生的各种质量和安全问题有深刻的认识和合理的预见，并有相应的应对措施，应对措施应科学、充分，能有效处理各种突发问题的，得12.1~15分(满分分值的80%~100%)；</w:t>
            </w:r>
          </w:p>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本项目质量及安全控制有一定的认识，基本能合理的预见施工过程中可能发生的各种质量和安全问题，并有相应的应对措施，应对措施较为科学、充分，基本能有效处理各种质量和安全问题的，得9.1~12分(满分分值</w:t>
            </w:r>
            <w:r>
              <w:rPr>
                <w:rFonts w:hint="eastAsia" w:ascii="宋体" w:hAnsi="宋体" w:eastAsia="宋体" w:cs="宋体"/>
                <w:color w:val="auto"/>
                <w:szCs w:val="21"/>
                <w:highlight w:val="none"/>
                <w:lang w:val="en-US" w:eastAsia="zh-CN"/>
              </w:rPr>
              <w:t>60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80</w:t>
            </w:r>
            <w:r>
              <w:rPr>
                <w:rFonts w:hint="eastAsia" w:ascii="宋体" w:hAnsi="宋体" w:eastAsia="宋体" w:cs="宋体"/>
                <w:color w:val="auto"/>
                <w:szCs w:val="21"/>
                <w:highlight w:val="none"/>
              </w:rPr>
              <w:t>%)；</w:t>
            </w:r>
          </w:p>
          <w:p>
            <w:pPr>
              <w:widowControl/>
              <w:ind w:right="-143" w:rightChars="-68"/>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（3）一般但不被评定为不响应的,起评分</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分(满</w:t>
            </w:r>
          </w:p>
          <w:p>
            <w:pPr>
              <w:widowControl/>
              <w:ind w:right="-143" w:rightChars="-68"/>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分分值的</w:t>
            </w:r>
            <w:r>
              <w:rPr>
                <w:rFonts w:hint="eastAsia" w:ascii="宋体" w:hAnsi="宋体" w:eastAsia="宋体" w:cs="宋体"/>
                <w:color w:val="auto"/>
                <w:szCs w:val="21"/>
                <w:highlight w:val="none"/>
                <w:lang w:val="en-US" w:eastAsia="zh-CN"/>
              </w:rPr>
              <w:t>60</w:t>
            </w:r>
            <w:r>
              <w:rPr>
                <w:rFonts w:hint="eastAsia" w:ascii="宋体" w:hAnsi="宋体" w:eastAsia="宋体" w:cs="宋体"/>
                <w:color w:val="auto"/>
                <w:szCs w:val="21"/>
                <w:highlight w:val="none"/>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28"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FF0000"/>
                <w:szCs w:val="21"/>
                <w:highlight w:val="none"/>
              </w:rPr>
            </w:pPr>
          </w:p>
        </w:tc>
        <w:tc>
          <w:tcPr>
            <w:tcW w:w="692"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FF0000"/>
                <w:szCs w:val="21"/>
                <w:highlight w:val="none"/>
              </w:rPr>
            </w:pPr>
          </w:p>
        </w:tc>
        <w:tc>
          <w:tcPr>
            <w:tcW w:w="990" w:type="dxa"/>
            <w:gridSpan w:val="3"/>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.00</w:t>
            </w:r>
          </w:p>
        </w:tc>
        <w:tc>
          <w:tcPr>
            <w:tcW w:w="9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环境保护、文明施工保证体系及措施</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.00分</w:t>
            </w:r>
          </w:p>
        </w:tc>
        <w:tc>
          <w:tcPr>
            <w:tcW w:w="4815"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rPr>
              <w:t>（1）对本项目的环保及文明施工等工作有独到的见解，能制定科学的措施，施工做到符合环保的要求，对文明施工有相应的措施，能创造良好的施工环境的，得</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.1~1</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分(满分分值的80%~100%)；</w:t>
            </w:r>
          </w:p>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（2）对工程环保及文明施工等工作制定有相关的措施，基本能满足本项目环保及文明施工的要求的，得</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分(满分分值</w:t>
            </w:r>
            <w:r>
              <w:rPr>
                <w:rFonts w:hint="eastAsia" w:ascii="宋体" w:hAnsi="宋体" w:eastAsia="宋体" w:cs="宋体"/>
                <w:color w:val="auto"/>
                <w:szCs w:val="21"/>
                <w:highlight w:val="none"/>
                <w:lang w:val="en-US" w:eastAsia="zh-CN"/>
              </w:rPr>
              <w:t>60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80</w:t>
            </w:r>
            <w:r>
              <w:rPr>
                <w:rFonts w:hint="eastAsia" w:ascii="宋体" w:hAnsi="宋体" w:eastAsia="宋体" w:cs="宋体"/>
                <w:color w:val="auto"/>
                <w:szCs w:val="21"/>
                <w:highlight w:val="none"/>
              </w:rPr>
              <w:t>%)；</w:t>
            </w:r>
          </w:p>
          <w:p>
            <w:pPr>
              <w:widowControl/>
              <w:ind w:right="-143" w:rightChars="-68"/>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（3）一般但不被评定为不响应的,起评分</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分(满</w:t>
            </w:r>
          </w:p>
          <w:p>
            <w:pPr>
              <w:widowControl/>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分分值的</w:t>
            </w:r>
            <w:r>
              <w:rPr>
                <w:rFonts w:hint="eastAsia" w:ascii="宋体" w:hAnsi="宋体" w:eastAsia="宋体" w:cs="宋体"/>
                <w:color w:val="auto"/>
                <w:szCs w:val="21"/>
                <w:highlight w:val="none"/>
                <w:lang w:val="en-US" w:eastAsia="zh-CN"/>
              </w:rPr>
              <w:t>60</w:t>
            </w:r>
            <w:r>
              <w:rPr>
                <w:rFonts w:hint="eastAsia" w:ascii="宋体" w:hAnsi="宋体" w:eastAsia="宋体" w:cs="宋体"/>
                <w:color w:val="auto"/>
                <w:szCs w:val="21"/>
                <w:highlight w:val="none"/>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43" w:hRule="atLeast"/>
          <w:jc w:val="center"/>
        </w:trPr>
        <w:tc>
          <w:tcPr>
            <w:tcW w:w="794" w:type="dxa"/>
            <w:vMerge w:val="restart"/>
            <w:tcBorders>
              <w:top w:val="single" w:color="auto" w:sz="4" w:space="0"/>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w:t>
            </w:r>
          </w:p>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692" w:type="dxa"/>
            <w:gridSpan w:val="2"/>
            <w:vMerge w:val="restart"/>
            <w:tcBorders>
              <w:top w:val="single" w:color="auto" w:sz="4" w:space="0"/>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主要人员</w:t>
            </w:r>
          </w:p>
        </w:tc>
        <w:tc>
          <w:tcPr>
            <w:tcW w:w="990" w:type="dxa"/>
            <w:gridSpan w:val="3"/>
            <w:vMerge w:val="restart"/>
            <w:tcBorders>
              <w:top w:val="single" w:color="auto" w:sz="4" w:space="0"/>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.00</w:t>
            </w:r>
          </w:p>
        </w:tc>
        <w:tc>
          <w:tcPr>
            <w:tcW w:w="960"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项目经理任职资格与业绩</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6.00 分</w:t>
            </w:r>
          </w:p>
        </w:tc>
        <w:tc>
          <w:tcPr>
            <w:tcW w:w="4815" w:type="dxa"/>
            <w:tcBorders>
              <w:top w:val="single" w:color="auto" w:sz="4" w:space="0"/>
              <w:left w:val="single" w:color="auto" w:sz="4" w:space="0"/>
              <w:bottom w:val="single" w:color="auto" w:sz="4" w:space="0"/>
              <w:right w:val="single" w:color="auto" w:sz="4" w:space="0"/>
            </w:tcBorders>
            <w:noWrap w:val="0"/>
            <w:vAlign w:val="center"/>
          </w:tcPr>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（1）项目经理在满足资格审查条件的最低要求时，得3分；</w:t>
            </w:r>
          </w:p>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（2）项目经理具有路桥相关专业高级工程师资格</w:t>
            </w:r>
          </w:p>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的，加3分，最多加3分。</w:t>
            </w:r>
          </w:p>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本项最高得6分。</w:t>
            </w:r>
          </w:p>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备注：须提供</w:t>
            </w:r>
          </w:p>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①提供相关证书复印件及投标人所属社保机构出具的该人员的社保缴费证明或其他能够证明该人员参加社保的有效证明材料复印件（社保时段为申请文</w:t>
            </w:r>
          </w:p>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件递交截止日前半年时间内连续不少于三个月）加</w:t>
            </w:r>
          </w:p>
          <w:p>
            <w:pPr>
              <w:widowControl/>
              <w:ind w:right="-143" w:rightChars="-68"/>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盖单位公章。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208" w:hRule="atLeast"/>
          <w:jc w:val="center"/>
        </w:trPr>
        <w:tc>
          <w:tcPr>
            <w:tcW w:w="794" w:type="dxa"/>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692" w:type="dxa"/>
            <w:gridSpan w:val="2"/>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990" w:type="dxa"/>
            <w:gridSpan w:val="3"/>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项目总工任职资格与业绩</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6.00 分</w:t>
            </w:r>
          </w:p>
        </w:tc>
        <w:tc>
          <w:tcPr>
            <w:tcW w:w="4815" w:type="dxa"/>
            <w:tcBorders>
              <w:top w:val="single" w:color="auto" w:sz="4" w:space="0"/>
              <w:left w:val="single" w:color="auto" w:sz="4" w:space="0"/>
              <w:bottom w:val="single" w:color="auto" w:sz="4" w:space="0"/>
              <w:right w:val="single" w:color="auto" w:sz="4" w:space="0"/>
            </w:tcBorders>
            <w:noWrap w:val="0"/>
            <w:vAlign w:val="center"/>
          </w:tcPr>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（1）项目总工在满足资格审查条件的最低要求时，得3分；</w:t>
            </w:r>
          </w:p>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（2）项目总工具有路桥相关专业高级工程师资格</w:t>
            </w:r>
          </w:p>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的，加3分，最多加3分。</w:t>
            </w:r>
          </w:p>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本项最高得6分。</w:t>
            </w:r>
          </w:p>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备注：须提供</w:t>
            </w:r>
          </w:p>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①提供相关证书复印件及投标人所属社保机构出具的该人员的社保缴费证明或其他能够证明该人员参加社保的有效证明材料复印件（社保时段为申请文</w:t>
            </w:r>
          </w:p>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件递交截止日前半年时间内连续不少于三个月）加</w:t>
            </w:r>
          </w:p>
          <w:p>
            <w:pPr>
              <w:widowControl/>
              <w:ind w:right="-143" w:rightChars="-68"/>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盖单位公章。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209" w:hRule="atLeast"/>
          <w:jc w:val="center"/>
        </w:trPr>
        <w:tc>
          <w:tcPr>
            <w:tcW w:w="794" w:type="dxa"/>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692" w:type="dxa"/>
            <w:gridSpan w:val="2"/>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990" w:type="dxa"/>
            <w:gridSpan w:val="3"/>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rPr>
              <w:t>专职安全生产管理人员</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3.00 分</w:t>
            </w:r>
          </w:p>
        </w:tc>
        <w:tc>
          <w:tcPr>
            <w:tcW w:w="4815" w:type="dxa"/>
            <w:tcBorders>
              <w:top w:val="single" w:color="auto" w:sz="4" w:space="0"/>
              <w:left w:val="single" w:color="auto" w:sz="4" w:space="0"/>
              <w:bottom w:val="single" w:color="auto" w:sz="4" w:space="0"/>
              <w:right w:val="single" w:color="auto" w:sz="4" w:space="0"/>
            </w:tcBorders>
            <w:noWrap w:val="0"/>
            <w:vAlign w:val="center"/>
          </w:tcPr>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具有交通运输部门颁发的有效安全生产“三类人员”C类证书，得3分；本项最高得3分。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16" w:hRule="atLeast"/>
          <w:jc w:val="center"/>
        </w:trPr>
        <w:tc>
          <w:tcPr>
            <w:tcW w:w="794" w:type="dxa"/>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692" w:type="dxa"/>
            <w:gridSpan w:val="2"/>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990" w:type="dxa"/>
            <w:gridSpan w:val="3"/>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rPr>
              <w:t>财务负责人</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3.00 分</w:t>
            </w:r>
          </w:p>
        </w:tc>
        <w:tc>
          <w:tcPr>
            <w:tcW w:w="4815" w:type="dxa"/>
            <w:tcBorders>
              <w:top w:val="single" w:color="auto" w:sz="4" w:space="0"/>
              <w:left w:val="single" w:color="auto" w:sz="4" w:space="0"/>
              <w:bottom w:val="single" w:color="auto" w:sz="4" w:space="0"/>
              <w:right w:val="single" w:color="auto" w:sz="4" w:space="0"/>
            </w:tcBorders>
            <w:noWrap w:val="0"/>
            <w:vAlign w:val="center"/>
          </w:tcPr>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具有中级会计师证书，得3分；本项最高得3分。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1054" w:hRule="atLeast"/>
          <w:jc w:val="center"/>
        </w:trPr>
        <w:tc>
          <w:tcPr>
            <w:tcW w:w="794" w:type="dxa"/>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692" w:type="dxa"/>
            <w:gridSpan w:val="2"/>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990" w:type="dxa"/>
            <w:gridSpan w:val="3"/>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widowControl/>
              <w:rPr>
                <w:color w:val="auto"/>
                <w:sz w:val="24"/>
                <w:highlight w:val="yellow"/>
              </w:rPr>
            </w:pPr>
            <w:r>
              <w:rPr>
                <w:rFonts w:hint="eastAsia" w:ascii="宋体" w:hAnsi="宋体" w:eastAsia="宋体" w:cs="宋体"/>
                <w:color w:val="auto"/>
                <w:szCs w:val="21"/>
                <w:highlight w:val="none"/>
              </w:rPr>
              <w:t>计划工程师</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3.00 分</w:t>
            </w:r>
          </w:p>
        </w:tc>
        <w:tc>
          <w:tcPr>
            <w:tcW w:w="4815" w:type="dxa"/>
            <w:tcBorders>
              <w:top w:val="single" w:color="auto" w:sz="4" w:space="0"/>
              <w:left w:val="single" w:color="auto" w:sz="4" w:space="0"/>
              <w:bottom w:val="single" w:color="auto" w:sz="4" w:space="0"/>
              <w:right w:val="single" w:color="auto" w:sz="4" w:space="0"/>
            </w:tcBorders>
            <w:noWrap w:val="0"/>
            <w:vAlign w:val="center"/>
          </w:tcPr>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具有住房与城乡建设部颁发的注册造价工程师证书或交通运输部（原交通部）颁发的甲级造价人员证</w:t>
            </w:r>
          </w:p>
          <w:p>
            <w:pPr>
              <w:widowControl/>
              <w:ind w:right="-143" w:rightChars="-68"/>
              <w:rPr>
                <w:rFonts w:hint="eastAsia" w:ascii="Times New Roman" w:hAnsi="Times New Roman" w:eastAsia="宋体" w:cs="Times New Roman"/>
                <w:color w:val="auto"/>
                <w:highlight w:val="yellow"/>
              </w:rPr>
            </w:pPr>
            <w:r>
              <w:rPr>
                <w:rFonts w:hint="eastAsia" w:ascii="宋体" w:hAnsi="宋体" w:eastAsia="宋体" w:cs="宋体"/>
                <w:color w:val="auto"/>
                <w:szCs w:val="21"/>
                <w:highlight w:val="none"/>
                <w:lang w:val="en-US" w:eastAsia="zh-CN"/>
              </w:rPr>
              <w:t>书，得3分；本项最高得3分。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2" w:hRule="atLeast"/>
          <w:jc w:val="center"/>
        </w:trPr>
        <w:tc>
          <w:tcPr>
            <w:tcW w:w="794" w:type="dxa"/>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692" w:type="dxa"/>
            <w:gridSpan w:val="2"/>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990" w:type="dxa"/>
            <w:gridSpan w:val="3"/>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r>
              <w:rPr>
                <w:rFonts w:hint="eastAsia" w:ascii="宋体" w:hAnsi="宋体" w:eastAsia="宋体" w:cs="宋体"/>
                <w:color w:val="auto"/>
                <w:szCs w:val="21"/>
                <w:highlight w:val="none"/>
              </w:rPr>
              <w:t>道路工程师</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3.00 分</w:t>
            </w:r>
          </w:p>
        </w:tc>
        <w:tc>
          <w:tcPr>
            <w:tcW w:w="4815" w:type="dxa"/>
            <w:tcBorders>
              <w:top w:val="single" w:color="auto" w:sz="4" w:space="0"/>
              <w:left w:val="single" w:color="auto" w:sz="4" w:space="0"/>
              <w:bottom w:val="single" w:color="auto" w:sz="4" w:space="0"/>
              <w:right w:val="single" w:color="auto" w:sz="4" w:space="0"/>
            </w:tcBorders>
            <w:noWrap w:val="0"/>
            <w:vAlign w:val="center"/>
          </w:tcPr>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具有路桥相关专业高级工程师，得3分；本项最高</w:t>
            </w:r>
          </w:p>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得3分。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5" w:hRule="atLeast"/>
          <w:jc w:val="center"/>
        </w:trPr>
        <w:tc>
          <w:tcPr>
            <w:tcW w:w="794" w:type="dxa"/>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692" w:type="dxa"/>
            <w:gridSpan w:val="2"/>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990" w:type="dxa"/>
            <w:gridSpan w:val="3"/>
            <w:vMerge w:val="continue"/>
            <w:tcBorders>
              <w:left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widowControl/>
              <w:rPr>
                <w:color w:val="auto"/>
                <w:sz w:val="24"/>
                <w:highlight w:val="yellow"/>
              </w:rPr>
            </w:pPr>
            <w:r>
              <w:rPr>
                <w:rFonts w:hint="eastAsia" w:ascii="宋体" w:hAnsi="宋体" w:eastAsia="宋体" w:cs="宋体"/>
                <w:color w:val="auto"/>
                <w:szCs w:val="21"/>
                <w:highlight w:val="none"/>
              </w:rPr>
              <w:t>质检工程师</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3.00 分</w:t>
            </w:r>
          </w:p>
        </w:tc>
        <w:tc>
          <w:tcPr>
            <w:tcW w:w="4815" w:type="dxa"/>
            <w:tcBorders>
              <w:top w:val="single" w:color="auto" w:sz="4" w:space="0"/>
              <w:left w:val="single" w:color="auto" w:sz="4" w:space="0"/>
              <w:bottom w:val="single" w:color="auto" w:sz="4" w:space="0"/>
              <w:right w:val="single" w:color="auto" w:sz="4" w:space="0"/>
            </w:tcBorders>
            <w:noWrap w:val="0"/>
            <w:vAlign w:val="center"/>
          </w:tcPr>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具有路桥相关专业高级工程师，得3分；本项最高</w:t>
            </w:r>
          </w:p>
          <w:p>
            <w:pPr>
              <w:widowControl/>
              <w:ind w:right="-143" w:rightChars="-68"/>
              <w:rPr>
                <w:rFonts w:hint="eastAsia" w:ascii="Times New Roman" w:hAnsi="Times New Roman" w:eastAsia="宋体" w:cs="Times New Roman"/>
                <w:color w:val="auto"/>
                <w:highlight w:val="yellow"/>
              </w:rPr>
            </w:pPr>
            <w:r>
              <w:rPr>
                <w:rFonts w:hint="eastAsia" w:ascii="宋体" w:hAnsi="宋体" w:eastAsia="宋体" w:cs="宋体"/>
                <w:color w:val="auto"/>
                <w:szCs w:val="21"/>
                <w:highlight w:val="none"/>
                <w:lang w:val="en-US" w:eastAsia="zh-CN"/>
              </w:rPr>
              <w:t>得3分。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24" w:hRule="atLeast"/>
          <w:jc w:val="center"/>
        </w:trPr>
        <w:tc>
          <w:tcPr>
            <w:tcW w:w="794" w:type="dxa"/>
            <w:vMerge w:val="continue"/>
            <w:tcBorders>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692" w:type="dxa"/>
            <w:gridSpan w:val="2"/>
            <w:vMerge w:val="continue"/>
            <w:tcBorders>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990" w:type="dxa"/>
            <w:gridSpan w:val="3"/>
            <w:vMerge w:val="continue"/>
            <w:tcBorders>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widowControl/>
              <w:rPr>
                <w:color w:val="auto"/>
                <w:sz w:val="24"/>
                <w:highlight w:val="yellow"/>
              </w:rPr>
            </w:pPr>
            <w:r>
              <w:rPr>
                <w:rFonts w:hint="eastAsia" w:ascii="宋体" w:hAnsi="宋体" w:eastAsia="宋体" w:cs="宋体"/>
                <w:color w:val="auto"/>
                <w:szCs w:val="21"/>
                <w:highlight w:val="none"/>
              </w:rPr>
              <w:t>试验检测人员</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3.00 分</w:t>
            </w:r>
          </w:p>
        </w:tc>
        <w:tc>
          <w:tcPr>
            <w:tcW w:w="4815" w:type="dxa"/>
            <w:tcBorders>
              <w:top w:val="single" w:color="auto" w:sz="4" w:space="0"/>
              <w:left w:val="single" w:color="auto" w:sz="4" w:space="0"/>
              <w:bottom w:val="single" w:color="auto" w:sz="4" w:space="0"/>
              <w:right w:val="single" w:color="auto" w:sz="4" w:space="0"/>
            </w:tcBorders>
            <w:noWrap w:val="0"/>
            <w:vAlign w:val="center"/>
          </w:tcPr>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具有路桥相关专业中级或以上工程师的，且持有交</w:t>
            </w:r>
          </w:p>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通运输部工程质量监督局（原交通运输部基本建设</w:t>
            </w:r>
          </w:p>
          <w:p>
            <w:pPr>
              <w:widowControl/>
              <w:ind w:right="-143" w:rightChars="-68"/>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质量监督总站）颁发的试验检测工程师资格证书或</w:t>
            </w:r>
          </w:p>
          <w:p>
            <w:pPr>
              <w:widowControl/>
              <w:ind w:right="-143" w:rightChars="-68"/>
              <w:rPr>
                <w:rFonts w:hint="eastAsia" w:ascii="Times New Roman" w:hAnsi="Times New Roman" w:eastAsia="宋体" w:cs="Times New Roman"/>
                <w:color w:val="auto"/>
                <w:highlight w:val="yellow"/>
              </w:rPr>
            </w:pPr>
            <w:r>
              <w:rPr>
                <w:rFonts w:hint="eastAsia" w:ascii="宋体" w:hAnsi="宋体" w:eastAsia="宋体" w:cs="宋体"/>
                <w:color w:val="auto"/>
                <w:szCs w:val="21"/>
                <w:highlight w:val="none"/>
                <w:lang w:val="en-US" w:eastAsia="zh-CN"/>
              </w:rPr>
              <w:t>交通运输部职业资格中心颁发的公路水运试验检测师资格证书，得3分；本项最高得3分。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118" w:hRule="atLeast"/>
          <w:jc w:val="center"/>
        </w:trPr>
        <w:tc>
          <w:tcPr>
            <w:tcW w:w="79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jc w:val="center"/>
              <w:rPr>
                <w:rFonts w:hint="eastAsia" w:ascii="宋体" w:hAnsi="宋体" w:eastAsia="宋体" w:cs="宋体"/>
                <w:szCs w:val="21"/>
                <w:highlight w:val="none"/>
              </w:rPr>
            </w:pPr>
            <w:r>
              <w:rPr>
                <w:rFonts w:hint="eastAsia" w:ascii="宋体" w:hAnsi="宋体" w:eastAsia="宋体" w:cs="宋体"/>
                <w:szCs w:val="21"/>
                <w:highlight w:val="none"/>
              </w:rPr>
              <w:t>2.2.2</w:t>
            </w:r>
          </w:p>
          <w:p>
            <w:pPr>
              <w:widowControl/>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47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jc w:val="center"/>
              <w:rPr>
                <w:rFonts w:hint="eastAsia" w:ascii="宋体" w:hAnsi="宋体" w:eastAsia="宋体" w:cs="宋体"/>
                <w:szCs w:val="21"/>
                <w:highlight w:val="none"/>
              </w:rPr>
            </w:pPr>
            <w:r>
              <w:rPr>
                <w:rFonts w:hint="eastAsia" w:ascii="宋体" w:hAnsi="宋体" w:eastAsia="宋体" w:cs="宋体"/>
                <w:szCs w:val="21"/>
                <w:highlight w:val="none"/>
              </w:rPr>
              <w:t>其他因素</w:t>
            </w:r>
          </w:p>
        </w:tc>
        <w:tc>
          <w:tcPr>
            <w:tcW w:w="42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技术能力</w:t>
            </w: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pPr>
              <w:spacing w:line="276" w:lineRule="auto"/>
              <w:ind w:left="-128" w:leftChars="-61" w:right="-149" w:rightChars="-71"/>
              <w:jc w:val="center"/>
              <w:rPr>
                <w:rFonts w:hint="eastAsia" w:ascii="宋体" w:hAnsi="宋体" w:eastAsia="宋体" w:cs="宋体"/>
                <w:szCs w:val="21"/>
                <w:highlight w:val="none"/>
              </w:rPr>
            </w:pPr>
            <w:r>
              <w:rPr>
                <w:rFonts w:hint="eastAsia" w:ascii="宋体" w:hAnsi="宋体" w:eastAsia="宋体" w:cs="宋体"/>
                <w:color w:val="auto"/>
                <w:szCs w:val="21"/>
                <w:highlight w:val="none"/>
                <w:lang w:val="en-US" w:eastAsia="zh-CN"/>
              </w:rPr>
              <w:t>15</w:t>
            </w:r>
            <w:r>
              <w:rPr>
                <w:rFonts w:hint="eastAsia" w:ascii="宋体" w:hAnsi="宋体" w:eastAsia="宋体" w:cs="宋体"/>
                <w:color w:val="auto"/>
                <w:szCs w:val="21"/>
                <w:highlight w:val="none"/>
              </w:rPr>
              <w:t>分</w:t>
            </w:r>
          </w:p>
        </w:tc>
        <w:tc>
          <w:tcPr>
            <w:tcW w:w="681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95" w:beforeLines="30"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（1）投标人获得与项目施工有关的国家级工法、专利 (发明专利或实用新型专利) 、国家级科学技术进步奖、鲁班奖、詹天佑奖、主编或参编过国家标准，每项加</w:t>
            </w:r>
            <w:r>
              <w:rPr>
                <w:rFonts w:hint="eastAsia" w:ascii="宋体" w:hAnsi="宋体" w:eastAsia="宋体" w:cs="宋体"/>
                <w:szCs w:val="21"/>
                <w:highlight w:val="none"/>
                <w:lang w:val="en-US" w:eastAsia="zh-CN"/>
              </w:rPr>
              <w:t xml:space="preserve"> 5 </w:t>
            </w:r>
            <w:r>
              <w:rPr>
                <w:rFonts w:hint="eastAsia" w:ascii="宋体" w:hAnsi="宋体" w:eastAsia="宋体" w:cs="宋体"/>
                <w:szCs w:val="21"/>
                <w:highlight w:val="none"/>
              </w:rPr>
              <w:t>分，最多加</w:t>
            </w:r>
            <w:r>
              <w:rPr>
                <w:rFonts w:hint="eastAsia" w:ascii="宋体" w:hAnsi="宋体" w:eastAsia="宋体" w:cs="宋体"/>
                <w:szCs w:val="21"/>
                <w:highlight w:val="none"/>
                <w:lang w:val="en-US" w:eastAsia="zh-CN"/>
              </w:rPr>
              <w:t xml:space="preserve"> 15</w:t>
            </w:r>
            <w:r>
              <w:rPr>
                <w:rFonts w:hint="eastAsia" w:ascii="宋体" w:hAnsi="宋体" w:eastAsia="宋体" w:cs="宋体"/>
                <w:szCs w:val="21"/>
                <w:highlight w:val="none"/>
              </w:rPr>
              <w:t xml:space="preserve"> 分； </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2</w:t>
            </w:r>
            <w:r>
              <w:rPr>
                <w:rFonts w:hint="eastAsia" w:ascii="宋体" w:hAnsi="宋体" w:eastAsia="宋体" w:cs="宋体"/>
                <w:szCs w:val="21"/>
                <w:highlight w:val="none"/>
              </w:rPr>
              <w:t xml:space="preserve">）投标人获得省级科学技术进步奖，主编或参编过的行业或地方 (指省级) 标准，每项加 </w:t>
            </w:r>
            <w:r>
              <w:rPr>
                <w:rFonts w:hint="eastAsia" w:ascii="宋体" w:hAnsi="宋体" w:eastAsia="宋体" w:cs="宋体"/>
                <w:szCs w:val="21"/>
                <w:highlight w:val="none"/>
                <w:lang w:val="en-US" w:eastAsia="zh-CN"/>
              </w:rPr>
              <w:t>2.5</w:t>
            </w:r>
            <w:r>
              <w:rPr>
                <w:rFonts w:hint="eastAsia" w:ascii="宋体" w:hAnsi="宋体" w:eastAsia="宋体" w:cs="宋体"/>
                <w:szCs w:val="21"/>
                <w:highlight w:val="none"/>
              </w:rPr>
              <w:t xml:space="preserve"> 分，最多加 </w:t>
            </w:r>
            <w:r>
              <w:rPr>
                <w:rFonts w:hint="eastAsia" w:ascii="宋体" w:hAnsi="宋体" w:eastAsia="宋体" w:cs="宋体"/>
                <w:szCs w:val="21"/>
                <w:highlight w:val="none"/>
                <w:lang w:val="en-US" w:eastAsia="zh-CN"/>
              </w:rPr>
              <w:t>15</w:t>
            </w:r>
            <w:r>
              <w:rPr>
                <w:rFonts w:hint="eastAsia" w:ascii="宋体" w:hAnsi="宋体" w:eastAsia="宋体" w:cs="宋体"/>
                <w:szCs w:val="21"/>
                <w:highlight w:val="none"/>
              </w:rPr>
              <w:t xml:space="preserve"> 分；</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 xml:space="preserve">本项累计加分最高 </w:t>
            </w:r>
            <w:r>
              <w:rPr>
                <w:rFonts w:hint="eastAsia" w:ascii="宋体" w:hAnsi="宋体" w:eastAsia="宋体" w:cs="宋体"/>
                <w:szCs w:val="21"/>
                <w:highlight w:val="none"/>
                <w:lang w:val="en-US" w:eastAsia="zh-CN"/>
              </w:rPr>
              <w:t>15</w:t>
            </w:r>
            <w:r>
              <w:rPr>
                <w:rFonts w:hint="eastAsia" w:ascii="宋体" w:hAnsi="宋体" w:eastAsia="宋体" w:cs="宋体"/>
                <w:szCs w:val="21"/>
                <w:highlight w:val="none"/>
              </w:rPr>
              <w:tab/>
            </w:r>
            <w:r>
              <w:rPr>
                <w:rFonts w:hint="eastAsia" w:ascii="宋体" w:hAnsi="宋体" w:eastAsia="宋体" w:cs="宋体"/>
                <w:szCs w:val="21"/>
                <w:highlight w:val="none"/>
              </w:rPr>
              <w:t>分，不重复加分，按较高分只计一次。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6"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szCs w:val="21"/>
                <w:highlight w:val="none"/>
              </w:rPr>
            </w:pPr>
          </w:p>
        </w:tc>
        <w:tc>
          <w:tcPr>
            <w:tcW w:w="47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szCs w:val="21"/>
                <w:highlight w:val="none"/>
              </w:rPr>
            </w:pPr>
          </w:p>
        </w:tc>
        <w:tc>
          <w:tcPr>
            <w:tcW w:w="42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履约信誉</w:t>
            </w: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ind w:left="-128" w:leftChars="-61" w:right="-149" w:rightChars="-71"/>
              <w:jc w:val="center"/>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分</w:t>
            </w:r>
          </w:p>
        </w:tc>
        <w:tc>
          <w:tcPr>
            <w:tcW w:w="681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1.信用等级分值（10分）</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AA、A、B、C级单位的信用等级分得分分别为</w:t>
            </w:r>
            <w:r>
              <w:rPr>
                <w:rFonts w:hint="eastAsia" w:ascii="宋体" w:hAnsi="宋体" w:eastAsia="宋体" w:cs="宋体"/>
                <w:szCs w:val="21"/>
                <w:highlight w:val="none"/>
                <w:u w:val="single"/>
              </w:rPr>
              <w:t>10、9.5、8.9、7.3</w:t>
            </w:r>
            <w:r>
              <w:rPr>
                <w:rFonts w:hint="eastAsia" w:ascii="宋体" w:hAnsi="宋体" w:eastAsia="宋体" w:cs="宋体"/>
                <w:szCs w:val="21"/>
                <w:highlight w:val="none"/>
              </w:rPr>
              <w:t>分。</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注：信用等级的确定原则遵循投标人须知前附表10.2款的规定。</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2.履约情况（5分）</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若没出现下述情形得满分；</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投标文件递交截止日前1年内，因公路施工方原因、履约或招标投标问题等原因被：</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（1）交通运输部通报批评的，扣5分/次；</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（2）广东省交通运输厅通报批评的，扣4分/次；</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（3）汕头市交通主管部门通报批评的，扣1分/次。</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（4）项目所在地政府或交通主管部门通报批评的，扣1分/次。</w:t>
            </w:r>
          </w:p>
          <w:p>
            <w:pPr>
              <w:widowControl/>
              <w:spacing w:line="276" w:lineRule="auto"/>
              <w:rPr>
                <w:rFonts w:hint="eastAsia" w:ascii="宋体" w:hAnsi="宋体" w:eastAsia="宋体" w:cs="宋体"/>
                <w:szCs w:val="21"/>
                <w:highlight w:val="none"/>
              </w:rPr>
            </w:pPr>
            <w:r>
              <w:rPr>
                <w:rFonts w:hint="eastAsia" w:ascii="宋体" w:hAnsi="宋体" w:eastAsia="宋体" w:cs="宋体"/>
                <w:szCs w:val="21"/>
                <w:highlight w:val="none"/>
              </w:rPr>
              <w:t>注：同一事项同时被多个部门通报批评只按最高的扣分计算1次。如果扣完本项分值，可以从总分中扣。</w:t>
            </w:r>
          </w:p>
        </w:tc>
      </w:tr>
    </w:tbl>
    <w:p/>
    <w:p>
      <w:pPr>
        <w:pStyle w:val="2"/>
      </w:pPr>
    </w:p>
    <w:tbl>
      <w:tblPr>
        <w:tblStyle w:val="4"/>
        <w:tblW w:w="924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44"/>
        <w:gridCol w:w="78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9244" w:type="dxa"/>
            <w:gridSpan w:val="2"/>
            <w:noWrap w:val="0"/>
            <w:vAlign w:val="center"/>
          </w:tcPr>
          <w:p>
            <w:pPr>
              <w:pStyle w:val="6"/>
              <w:spacing w:before="1"/>
              <w:ind w:left="107"/>
              <w:jc w:val="both"/>
              <w:rPr>
                <w:highlight w:val="none"/>
              </w:rPr>
            </w:pPr>
            <w:r>
              <w:rPr>
                <w:highlight w:val="none"/>
              </w:rPr>
              <w:t>需要补充的其他内容：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2" w:hRule="atLeast"/>
          <w:jc w:val="center"/>
        </w:trPr>
        <w:tc>
          <w:tcPr>
            <w:tcW w:w="1444" w:type="dxa"/>
            <w:noWrap w:val="0"/>
            <w:vAlign w:val="center"/>
          </w:tcPr>
          <w:p>
            <w:pPr>
              <w:pStyle w:val="6"/>
              <w:spacing w:before="14"/>
              <w:ind w:left="348" w:right="340"/>
              <w:jc w:val="center"/>
              <w:rPr>
                <w:highlight w:val="none"/>
              </w:rPr>
            </w:pPr>
            <w:r>
              <w:rPr>
                <w:highlight w:val="none"/>
              </w:rPr>
              <w:t>条款号</w:t>
            </w:r>
          </w:p>
        </w:tc>
        <w:tc>
          <w:tcPr>
            <w:tcW w:w="7800" w:type="dxa"/>
            <w:noWrap w:val="0"/>
            <w:vAlign w:val="center"/>
          </w:tcPr>
          <w:p>
            <w:pPr>
              <w:pStyle w:val="6"/>
              <w:spacing w:before="14"/>
              <w:ind w:left="2829" w:right="2820"/>
              <w:jc w:val="center"/>
              <w:rPr>
                <w:highlight w:val="none"/>
              </w:rPr>
            </w:pPr>
            <w:r>
              <w:rPr>
                <w:highlight w:val="none"/>
              </w:rPr>
              <w:t>补充或修改的内容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7" w:hRule="atLeast"/>
          <w:jc w:val="center"/>
        </w:trPr>
        <w:tc>
          <w:tcPr>
            <w:tcW w:w="1444" w:type="dxa"/>
            <w:noWrap w:val="0"/>
            <w:vAlign w:val="center"/>
          </w:tcPr>
          <w:p>
            <w:pPr>
              <w:pStyle w:val="6"/>
              <w:spacing w:before="133"/>
              <w:ind w:left="9"/>
              <w:jc w:val="center"/>
              <w:rPr>
                <w:highlight w:val="none"/>
              </w:rPr>
            </w:pPr>
            <w:r>
              <w:rPr>
                <w:highlight w:val="none"/>
              </w:rPr>
              <w:t>1</w:t>
            </w:r>
          </w:p>
        </w:tc>
        <w:tc>
          <w:tcPr>
            <w:tcW w:w="7800" w:type="dxa"/>
            <w:noWrap w:val="0"/>
            <w:vAlign w:val="top"/>
          </w:tcPr>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before="157" w:beforeLines="50" w:line="360" w:lineRule="auto"/>
              <w:ind w:left="96" w:right="96" w:rightChars="0"/>
              <w:textAlignment w:val="auto"/>
              <w:rPr>
                <w:rFonts w:hint="eastAsia"/>
                <w:highlight w:val="none"/>
              </w:rPr>
            </w:pPr>
            <w:r>
              <w:rPr>
                <w:rFonts w:hint="eastAsia"/>
                <w:highlight w:val="none"/>
              </w:rPr>
              <w:t>将评标办法原文第 1 条“评标方法”改为“评标方法、组织及工作程序”，原文内容修改如下：</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96" w:right="96" w:rightChars="0"/>
              <w:textAlignment w:val="auto"/>
              <w:rPr>
                <w:rFonts w:hint="eastAsia"/>
                <w:highlight w:val="none"/>
              </w:rPr>
            </w:pPr>
            <w:r>
              <w:rPr>
                <w:rFonts w:hint="eastAsia" w:eastAsia="宋体"/>
                <w:highlight w:val="none"/>
                <w:lang w:val="en-US" w:eastAsia="zh-CN"/>
              </w:rPr>
              <w:t>1.</w:t>
            </w:r>
            <w:r>
              <w:rPr>
                <w:rFonts w:hint="eastAsia"/>
                <w:highlight w:val="none"/>
              </w:rPr>
              <w:t>评标方法、组织及工作程序</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96" w:right="96" w:rightChars="0"/>
              <w:textAlignment w:val="auto"/>
              <w:rPr>
                <w:rFonts w:hint="eastAsia"/>
                <w:highlight w:val="none"/>
              </w:rPr>
            </w:pPr>
            <w:r>
              <w:rPr>
                <w:rFonts w:hint="eastAsia" w:eastAsia="宋体"/>
                <w:highlight w:val="none"/>
                <w:lang w:val="en-US" w:eastAsia="zh-CN"/>
              </w:rPr>
              <w:t>1.1</w:t>
            </w:r>
            <w:r>
              <w:rPr>
                <w:rFonts w:hint="eastAsia"/>
                <w:highlight w:val="none"/>
              </w:rPr>
              <w:t>评标方法</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highlight w:val="none"/>
              </w:rPr>
              <w:t>本次评标采用双信封的技术评分最低标价法。评标委员会对满足招标文件实质性要求的投标文件，按照本章第 2.2 款规定对通过初步评审的投标人的施工组织设计、主要人员、其他因素等进行评分，按照得分由高到低排序，对排名在招标文件规定数量</w:t>
            </w:r>
            <w:r>
              <w:rPr>
                <w:rFonts w:hint="eastAsia"/>
                <w:highlight w:val="none"/>
                <w:u w:val="single"/>
              </w:rPr>
              <w:t xml:space="preserve">前5 名（不少于 3 名但不足 5 名时，按全部实际数量） </w:t>
            </w:r>
            <w:r>
              <w:rPr>
                <w:rFonts w:hint="eastAsia"/>
                <w:highlight w:val="none"/>
              </w:rPr>
              <w:t>的投标人的报价文件进行评审，按照评标价由低到高的顺序推荐中标候选人的评标方法。但投标报价低于其成本的除外。评标价相等时，评标委员会应按照评标办法前附表规定的优先次序推荐中标候选人或确定中标人。</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96" w:right="96" w:rightChars="0"/>
              <w:textAlignment w:val="auto"/>
              <w:rPr>
                <w:rFonts w:hint="eastAsia"/>
                <w:highlight w:val="none"/>
              </w:rPr>
            </w:pPr>
            <w:r>
              <w:rPr>
                <w:rFonts w:hint="eastAsia" w:eastAsia="宋体"/>
                <w:highlight w:val="none"/>
                <w:lang w:val="en-US" w:eastAsia="zh-CN"/>
              </w:rPr>
              <w:t>1.2</w:t>
            </w:r>
            <w:r>
              <w:rPr>
                <w:rFonts w:hint="eastAsia"/>
                <w:highlight w:val="none"/>
              </w:rPr>
              <w:t>评标组织</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96" w:right="96" w:rightChars="0"/>
              <w:textAlignment w:val="auto"/>
              <w:rPr>
                <w:rFonts w:hint="eastAsia"/>
                <w:highlight w:val="none"/>
              </w:rPr>
            </w:pPr>
            <w:r>
              <w:rPr>
                <w:rFonts w:hint="eastAsia" w:eastAsia="宋体"/>
                <w:highlight w:val="none"/>
                <w:lang w:val="en-US" w:eastAsia="zh-CN"/>
              </w:rPr>
              <w:t>1.2.1</w:t>
            </w:r>
            <w:r>
              <w:rPr>
                <w:rFonts w:hint="eastAsia"/>
                <w:highlight w:val="none"/>
              </w:rPr>
              <w:t>协助工作组</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highlight w:val="none"/>
              </w:rPr>
              <w:t>招标人可在评标工作开始前成立协助工作组，选派熟悉招标工作、政治素质高的人员组成，协助评标委员会工作。协助工作组人员的具体数量由招标人视评标工作量确定。</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highlight w:val="none"/>
              </w:rPr>
              <w:t>招标人可以协助评标委员会开展下列工作并提供相关信息：</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eastAsia="宋体"/>
                <w:highlight w:val="none"/>
                <w:lang w:val="en-US" w:eastAsia="zh-CN"/>
              </w:rPr>
              <w:t>(1)</w:t>
            </w:r>
            <w:r>
              <w:rPr>
                <w:rFonts w:hint="eastAsia"/>
                <w:highlight w:val="none"/>
              </w:rPr>
              <w:t>根据招标文件，编制评标使用的相应表格；</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eastAsia="宋体"/>
                <w:highlight w:val="none"/>
                <w:lang w:val="en-US" w:eastAsia="zh-CN"/>
              </w:rPr>
              <w:t>(2)</w:t>
            </w:r>
            <w:r>
              <w:rPr>
                <w:rFonts w:hint="eastAsia"/>
                <w:highlight w:val="none"/>
              </w:rPr>
              <w:t>对投标报价进行算术性校核（如采用固化工程量清单，本步骤省略）；</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eastAsia="宋体"/>
                <w:highlight w:val="none"/>
                <w:lang w:val="en-US" w:eastAsia="zh-CN"/>
              </w:rPr>
              <w:t>(3)</w:t>
            </w:r>
            <w:r>
              <w:rPr>
                <w:rFonts w:hint="eastAsia"/>
                <w:highlight w:val="none"/>
              </w:rPr>
              <w:t>以评标标准和方法为依据，列出投标文件相对于招标文件的所有偏差，并进行归类汇总；</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eastAsia="宋体"/>
                <w:highlight w:val="none"/>
                <w:lang w:val="en-US" w:eastAsia="zh-CN"/>
              </w:rPr>
              <w:t>(4)</w:t>
            </w:r>
            <w:r>
              <w:rPr>
                <w:rFonts w:hint="eastAsia"/>
                <w:highlight w:val="none"/>
              </w:rPr>
              <w:t>查询公路建设市场信用信息管理系统，对投标人的资质、业绩、主要人员资历和目前在岗情况、信用等级进行核实。</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eastAsia="宋体"/>
                <w:highlight w:val="none"/>
                <w:lang w:val="en-US" w:eastAsia="zh-CN"/>
              </w:rPr>
              <w:t>(5)</w:t>
            </w:r>
            <w:r>
              <w:rPr>
                <w:rFonts w:hint="eastAsia"/>
                <w:highlight w:val="none"/>
              </w:rPr>
              <w:t>招标人不得对投标文件作出任何评价，不得故意遗漏或者片面摘录，不得在评标委员会对所有偏差定性之前透露存有偏差的投标人名称。</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96" w:right="96" w:rightChars="0"/>
              <w:textAlignment w:val="auto"/>
              <w:rPr>
                <w:rFonts w:hint="eastAsia"/>
                <w:highlight w:val="none"/>
              </w:rPr>
            </w:pPr>
            <w:r>
              <w:rPr>
                <w:rFonts w:hint="eastAsia" w:eastAsia="宋体"/>
                <w:highlight w:val="none"/>
                <w:lang w:val="en-US" w:eastAsia="zh-CN"/>
              </w:rPr>
              <w:t>1.2.2</w:t>
            </w:r>
            <w:r>
              <w:rPr>
                <w:rFonts w:hint="eastAsia"/>
                <w:highlight w:val="none"/>
              </w:rPr>
              <w:t>评标委员会</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before="63" w:beforeLines="20" w:line="360" w:lineRule="auto"/>
              <w:ind w:left="108" w:leftChars="0" w:right="96" w:rightChars="0" w:firstLine="420" w:firstLineChars="0"/>
              <w:textAlignment w:val="auto"/>
              <w:rPr>
                <w:rFonts w:hint="eastAsia"/>
                <w:highlight w:val="none"/>
              </w:rPr>
            </w:pPr>
            <w:r>
              <w:rPr>
                <w:rFonts w:hint="eastAsia"/>
                <w:highlight w:val="none"/>
              </w:rPr>
              <w:t>评标委员会由招标人按国家、广东省等的有关规定依法组建。评标委员人数为九人及以上单数。评标委员会的主要工作内容包括：</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eastAsia="宋体"/>
                <w:highlight w:val="none"/>
                <w:lang w:val="en-US" w:eastAsia="zh-CN"/>
              </w:rPr>
              <w:t>(1)</w:t>
            </w:r>
            <w:r>
              <w:rPr>
                <w:rFonts w:hint="eastAsia"/>
                <w:highlight w:val="none"/>
              </w:rPr>
              <w:t>评标委员会开始评标工作之前，首先听取招标人、协助工作组关于工程情况和辅助工作的说明，并认真研读招标文件，获取评标所需的重要信息和数据；</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eastAsia="宋体"/>
                <w:highlight w:val="none"/>
                <w:lang w:val="en-US" w:eastAsia="zh-CN"/>
              </w:rPr>
              <w:t>(2)</w:t>
            </w:r>
            <w:r>
              <w:rPr>
                <w:rFonts w:hint="eastAsia"/>
                <w:highlight w:val="none"/>
              </w:rPr>
              <w:t>对协助工作组提供的评标工作用表和评标内容进行核查。</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eastAsia="宋体"/>
                <w:highlight w:val="none"/>
                <w:lang w:val="en-US" w:eastAsia="zh-CN"/>
              </w:rPr>
              <w:t>(3)</w:t>
            </w:r>
            <w:r>
              <w:rPr>
                <w:rFonts w:hint="eastAsia"/>
                <w:highlight w:val="none"/>
              </w:rPr>
              <w:t>按照以下 1.3 款程序进行各项评审工作。</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96" w:right="96" w:rightChars="0"/>
              <w:textAlignment w:val="auto"/>
              <w:rPr>
                <w:rFonts w:hint="eastAsia"/>
                <w:highlight w:val="none"/>
              </w:rPr>
            </w:pPr>
            <w:r>
              <w:rPr>
                <w:rFonts w:hint="eastAsia"/>
                <w:highlight w:val="none"/>
              </w:rPr>
              <w:t>1.3 评审工作程序</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lang w:eastAsia="zh-CN"/>
              </w:rPr>
            </w:pPr>
            <w:r>
              <w:rPr>
                <w:rFonts w:hint="eastAsia"/>
                <w:highlight w:val="none"/>
              </w:rPr>
              <w:t>（一）第一信封（商务及技术文件）：</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highlight w:val="none"/>
              </w:rPr>
              <w:t>l、初步评审：包括形式评审与响应性评审、资格评审；</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highlight w:val="none"/>
              </w:rPr>
              <w:t>2、详细评审（评审打分</w:t>
            </w:r>
            <w:r>
              <w:rPr>
                <w:rFonts w:hint="eastAsia"/>
                <w:highlight w:val="none"/>
                <w:lang w:val="en-US" w:eastAsia="zh-CN"/>
              </w:rPr>
              <w:t>)</w:t>
            </w:r>
            <w:r>
              <w:rPr>
                <w:rFonts w:hint="eastAsia"/>
                <w:highlight w:val="none"/>
              </w:rPr>
              <w:t>：评标委员会首先对通过第一信封初步评审的投标文件进行详细评审，对投标人的施工组织设计、主要人员、其他因素等分别评审打分，并按照综合得分由高到低排序，排名在招标文件规定数量</w:t>
            </w:r>
            <w:r>
              <w:rPr>
                <w:rFonts w:hint="eastAsia"/>
                <w:highlight w:val="none"/>
                <w:u w:val="single"/>
              </w:rPr>
              <w:t>前 5 名（不少于 3 名但不足 5 名时，按全部实际数量）</w:t>
            </w:r>
            <w:r>
              <w:rPr>
                <w:rFonts w:hint="eastAsia"/>
                <w:highlight w:val="none"/>
              </w:rPr>
              <w:t>的投标人，其投标文件第一信封（商务及技术文件）通过详细评审。</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highlight w:val="none"/>
              </w:rPr>
              <w:t>（二）第二信封（报价文件）：</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highlight w:val="none"/>
              </w:rPr>
              <w:t>1、初步评审：</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highlight w:val="none"/>
              </w:rPr>
              <w:t>（</w:t>
            </w:r>
            <w:r>
              <w:rPr>
                <w:rFonts w:hint="eastAsia" w:eastAsia="宋体"/>
                <w:highlight w:val="none"/>
                <w:lang w:val="en-US" w:eastAsia="zh-CN"/>
              </w:rPr>
              <w:t>一</w:t>
            </w:r>
            <w:r>
              <w:rPr>
                <w:rFonts w:hint="eastAsia"/>
                <w:highlight w:val="none"/>
              </w:rPr>
              <w:t>）只有对投标文件第一个信封通过详细评审的投标人的报价文件才能继续参加第二信封报价文件的形式评审与响应性评审。</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lang w:eastAsia="zh-CN"/>
              </w:rPr>
            </w:pPr>
            <w:r>
              <w:rPr>
                <w:rFonts w:hint="eastAsia"/>
                <w:highlight w:val="none"/>
              </w:rPr>
              <w:t>（</w:t>
            </w:r>
            <w:r>
              <w:rPr>
                <w:rFonts w:hint="eastAsia" w:eastAsia="宋体"/>
                <w:highlight w:val="none"/>
                <w:lang w:val="en-US" w:eastAsia="zh-CN"/>
              </w:rPr>
              <w:t>二</w:t>
            </w:r>
            <w:r>
              <w:rPr>
                <w:rFonts w:hint="eastAsia"/>
                <w:highlight w:val="none"/>
              </w:rPr>
              <w:t>）报价算术性修正（如采用固化工程量清单，本步骤省略</w:t>
            </w:r>
            <w:r>
              <w:rPr>
                <w:rFonts w:hint="eastAsia"/>
                <w:highlight w:val="none"/>
                <w:lang w:eastAsia="zh-CN"/>
              </w:rPr>
              <w:t>）</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highlight w:val="none"/>
              </w:rPr>
              <w:t xml:space="preserve"> 2、详细评审：计算评标价。</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highlight w:val="none"/>
              </w:rPr>
              <w:t>（三）投标文件相关信息的核查。</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rFonts w:hint="eastAsia"/>
                <w:highlight w:val="none"/>
              </w:rPr>
            </w:pPr>
            <w:r>
              <w:rPr>
                <w:rFonts w:hint="eastAsia"/>
                <w:highlight w:val="none"/>
              </w:rPr>
              <w:t>（四）投标文件的澄清和说明(如有)</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rFonts w:hint="eastAsia"/>
                <w:highlight w:val="none"/>
              </w:rPr>
              <w:t>（五）按评标办法规定按照第二信封的评标价由低到高的顺序推荐中标候选人，编写评标报告。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8" w:hRule="atLeast"/>
          <w:jc w:val="center"/>
        </w:trPr>
        <w:tc>
          <w:tcPr>
            <w:tcW w:w="1444" w:type="dxa"/>
            <w:noWrap w:val="0"/>
            <w:vAlign w:val="center"/>
          </w:tcPr>
          <w:p>
            <w:pPr>
              <w:pStyle w:val="6"/>
              <w:keepNext w:val="0"/>
              <w:keepLines w:val="0"/>
              <w:pageBreakBefore w:val="0"/>
              <w:widowControl/>
              <w:kinsoku w:val="0"/>
              <w:wordWrap/>
              <w:overflowPunct/>
              <w:topLinePunct w:val="0"/>
              <w:autoSpaceDE w:val="0"/>
              <w:autoSpaceDN w:val="0"/>
              <w:bidi w:val="0"/>
              <w:adjustRightInd/>
              <w:snapToGrid w:val="0"/>
              <w:ind w:right="0"/>
              <w:jc w:val="center"/>
              <w:textAlignment w:val="auto"/>
              <w:rPr>
                <w:highlight w:val="none"/>
              </w:rPr>
            </w:pPr>
            <w:r>
              <w:rPr>
                <w:highlight w:val="none"/>
              </w:rPr>
              <w:t>3.2.3</w:t>
            </w:r>
          </w:p>
        </w:tc>
        <w:tc>
          <w:tcPr>
            <w:tcW w:w="7800" w:type="dxa"/>
            <w:noWrap w:val="0"/>
            <w:vAlign w:val="top"/>
          </w:tcPr>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before="157" w:beforeLines="50" w:line="360" w:lineRule="auto"/>
              <w:ind w:left="96" w:right="96" w:rightChars="0"/>
              <w:textAlignment w:val="auto"/>
              <w:rPr>
                <w:highlight w:val="none"/>
              </w:rPr>
            </w:pPr>
            <w:r>
              <w:rPr>
                <w:highlight w:val="none"/>
              </w:rPr>
              <w:t xml:space="preserve">将评标办法范本原文第 3.2.3 项细化如下： </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投标人的商务和技术得分=A+B+C。</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除履约信誉、技术能力得分外，投标文件各评分因素细分项得分均不应低于其权重分的60%，评分低于权重分值60%的，评标委员会成员应当在评标报告中作出说明。计算投标人技术得分时</w:t>
            </w:r>
            <w:r>
              <w:rPr>
                <w:rFonts w:hint="eastAsia" w:ascii="宋体" w:hAnsi="宋体" w:eastAsia="宋体" w:cs="宋体"/>
                <w:highlight w:val="none"/>
              </w:rPr>
              <w:t>：</w:t>
            </w:r>
            <w:r>
              <w:rPr>
                <w:highlight w:val="none"/>
              </w:rPr>
              <w:t>首先在评委技术评分中，同一评委对各投标人评分总分的差值最大的评委评分进行取舍（当一位或两位评委评分差值最大时均取消其评委评分，当多于两位评分差值均最大时，不取消任一评委评分），再对各评分因素细分项中取消一个最高、一个最低分后计算算术平均值的和为投标人的最终技术得分，平均值计算四舍五入保留小数点后三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0" w:hRule="atLeast"/>
          <w:jc w:val="center"/>
        </w:trPr>
        <w:tc>
          <w:tcPr>
            <w:tcW w:w="1444" w:type="dxa"/>
            <w:noWrap w:val="0"/>
            <w:vAlign w:val="center"/>
          </w:tcPr>
          <w:p>
            <w:pPr>
              <w:pStyle w:val="6"/>
              <w:keepNext w:val="0"/>
              <w:keepLines w:val="0"/>
              <w:pageBreakBefore w:val="0"/>
              <w:widowControl/>
              <w:kinsoku w:val="0"/>
              <w:wordWrap/>
              <w:overflowPunct/>
              <w:topLinePunct w:val="0"/>
              <w:autoSpaceDE w:val="0"/>
              <w:autoSpaceDN w:val="0"/>
              <w:bidi w:val="0"/>
              <w:adjustRightInd/>
              <w:snapToGrid w:val="0"/>
              <w:ind w:right="0"/>
              <w:jc w:val="center"/>
              <w:textAlignment w:val="auto"/>
              <w:rPr>
                <w:highlight w:val="none"/>
              </w:rPr>
            </w:pPr>
            <w:r>
              <w:rPr>
                <w:highlight w:val="none"/>
              </w:rPr>
              <w:t>3.4.2</w:t>
            </w:r>
          </w:p>
        </w:tc>
        <w:tc>
          <w:tcPr>
            <w:tcW w:w="7800" w:type="dxa"/>
            <w:noWrap w:val="0"/>
            <w:vAlign w:val="top"/>
          </w:tcPr>
          <w:p>
            <w:pPr>
              <w:pStyle w:val="6"/>
              <w:keepNext w:val="0"/>
              <w:keepLines w:val="0"/>
              <w:pageBreakBefore w:val="0"/>
              <w:widowControl/>
              <w:kinsoku w:val="0"/>
              <w:wordWrap/>
              <w:overflowPunct/>
              <w:topLinePunct w:val="0"/>
              <w:autoSpaceDE w:val="0"/>
              <w:autoSpaceDN w:val="0"/>
              <w:bidi w:val="0"/>
              <w:adjustRightInd/>
              <w:snapToGrid w:val="0"/>
              <w:spacing w:before="157" w:beforeLines="50" w:line="365" w:lineRule="auto"/>
              <w:ind w:left="108" w:right="96" w:firstLine="420"/>
              <w:textAlignment w:val="auto"/>
              <w:rPr>
                <w:highlight w:val="none"/>
              </w:rPr>
            </w:pPr>
            <w:r>
              <w:rPr>
                <w:highlight w:val="none"/>
              </w:rPr>
              <w:t>将评标办法范本原文第 3.4.2 项第(2)、(3)、(4)目修改为：</w:t>
            </w:r>
          </w:p>
          <w:p>
            <w:pPr>
              <w:pStyle w:val="6"/>
              <w:numPr>
                <w:ilvl w:val="0"/>
                <w:numId w:val="1"/>
              </w:numPr>
              <w:spacing w:line="364" w:lineRule="auto"/>
              <w:ind w:left="107" w:right="96" w:firstLine="420"/>
              <w:rPr>
                <w:highlight w:val="none"/>
              </w:rPr>
            </w:pPr>
            <w:r>
              <w:rPr>
                <w:highlight w:val="none"/>
              </w:rPr>
              <w:t>总价金额与依据单价计算出的结果不一致的，在保证投标总价不变的前提下予以合理调整单价。</w:t>
            </w:r>
          </w:p>
          <w:p>
            <w:pPr>
              <w:pStyle w:val="6"/>
              <w:numPr>
                <w:ilvl w:val="0"/>
                <w:numId w:val="1"/>
              </w:numPr>
              <w:spacing w:line="364" w:lineRule="auto"/>
              <w:ind w:left="107" w:leftChars="0" w:right="96" w:firstLine="420" w:firstLineChars="0"/>
              <w:rPr>
                <w:highlight w:val="none"/>
              </w:rPr>
            </w:pPr>
            <w:r>
              <w:rPr>
                <w:highlight w:val="none"/>
              </w:rPr>
              <w:t>当单价与数量相乘不等于合价时，应以标出的合价为准，同时对单价予以修正；</w:t>
            </w:r>
          </w:p>
          <w:p>
            <w:pPr>
              <w:pStyle w:val="6"/>
              <w:numPr>
                <w:ilvl w:val="0"/>
                <w:numId w:val="1"/>
              </w:numPr>
              <w:spacing w:line="364" w:lineRule="auto"/>
              <w:ind w:left="107" w:leftChars="0" w:right="96" w:firstLine="420" w:firstLineChars="0"/>
              <w:rPr>
                <w:highlight w:val="none"/>
              </w:rPr>
            </w:pPr>
            <w:r>
              <w:rPr>
                <w:highlight w:val="none"/>
              </w:rPr>
              <w:t>当各子目的合价累计不等于总价时，应以总价不变的前提下，修正各子目合价。</w:t>
            </w:r>
          </w:p>
          <w:p>
            <w:pPr>
              <w:pStyle w:val="6"/>
              <w:spacing w:line="364" w:lineRule="auto"/>
              <w:ind w:left="107" w:right="96" w:firstLine="420"/>
              <w:rPr>
                <w:highlight w:val="none"/>
              </w:rPr>
            </w:pPr>
            <w:r>
              <w:rPr>
                <w:highlight w:val="none"/>
              </w:rPr>
              <w:t>（如采用固化工程量清单，3.4.2~3.4.4 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33" w:hRule="atLeast"/>
          <w:jc w:val="center"/>
        </w:trPr>
        <w:tc>
          <w:tcPr>
            <w:tcW w:w="1444" w:type="dxa"/>
            <w:noWrap w:val="0"/>
            <w:vAlign w:val="center"/>
          </w:tcPr>
          <w:p>
            <w:pPr>
              <w:pStyle w:val="6"/>
              <w:spacing w:before="201"/>
              <w:ind w:left="348" w:right="339"/>
              <w:jc w:val="center"/>
              <w:rPr>
                <w:sz w:val="24"/>
                <w:highlight w:val="none"/>
              </w:rPr>
            </w:pPr>
            <w:r>
              <w:rPr>
                <w:sz w:val="24"/>
                <w:highlight w:val="none"/>
              </w:rPr>
              <w:t>3.6</w:t>
            </w:r>
          </w:p>
        </w:tc>
        <w:tc>
          <w:tcPr>
            <w:tcW w:w="7800" w:type="dxa"/>
            <w:noWrap w:val="0"/>
            <w:vAlign w:val="top"/>
          </w:tcPr>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before="157" w:beforeLines="50" w:line="360" w:lineRule="auto"/>
              <w:ind w:left="108" w:leftChars="0" w:right="96" w:rightChars="0" w:firstLine="420" w:firstLineChars="0"/>
              <w:textAlignment w:val="auto"/>
              <w:rPr>
                <w:highlight w:val="none"/>
              </w:rPr>
            </w:pPr>
            <w:r>
              <w:rPr>
                <w:highlight w:val="none"/>
              </w:rPr>
              <w:t>增加 3.6.3 项：</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3.6.3 依法必须进行招标的项目，除第一中标候选人或者中标人，其他投标人存在串通投标、弄虚作假、行贿情形且在评标过程中未被发现的，视为对中标结果没有造成实质性影响，招标人可以依法继续开展招标活动。投标人的违法行为由行政监督部门依法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8" w:hRule="atLeast"/>
          <w:jc w:val="center"/>
        </w:trPr>
        <w:tc>
          <w:tcPr>
            <w:tcW w:w="1444" w:type="dxa"/>
            <w:noWrap w:val="0"/>
            <w:vAlign w:val="center"/>
          </w:tcPr>
          <w:p>
            <w:pPr>
              <w:pStyle w:val="6"/>
              <w:spacing w:before="161"/>
              <w:ind w:left="348" w:right="339"/>
              <w:jc w:val="center"/>
              <w:rPr>
                <w:highlight w:val="none"/>
              </w:rPr>
            </w:pPr>
            <w:r>
              <w:rPr>
                <w:highlight w:val="none"/>
              </w:rPr>
              <w:t>3.7.1</w:t>
            </w:r>
          </w:p>
        </w:tc>
        <w:tc>
          <w:tcPr>
            <w:tcW w:w="7800" w:type="dxa"/>
            <w:noWrap w:val="0"/>
            <w:vAlign w:val="top"/>
          </w:tcPr>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before="157" w:beforeLines="50" w:line="360" w:lineRule="auto"/>
              <w:ind w:left="96" w:right="96" w:rightChars="0"/>
              <w:textAlignment w:val="auto"/>
              <w:rPr>
                <w:highlight w:val="none"/>
              </w:rPr>
            </w:pPr>
            <w:r>
              <w:rPr>
                <w:highlight w:val="none"/>
              </w:rPr>
              <w:t>将评标办法范本原文第 3.7.1 项修改为：</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3.7.1 在评标过程中，评标委员会可以书面形式要求投标人对所提交投标文件中含义不明确的内容、明显文字或计算错误进行书面澄清或说明。评标委员会不接受投标人主动提出的澄清、说明。投标人不按评标委员会要求澄清或说明的，评标委员会应否决其投标。</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w:t>
            </w:r>
            <w:r>
              <w:rPr>
                <w:rFonts w:hint="eastAsia"/>
                <w:highlight w:val="none"/>
                <w:lang w:val="en-US" w:eastAsia="zh-CN"/>
              </w:rPr>
              <w:t>1</w:t>
            </w:r>
            <w:r>
              <w:rPr>
                <w:highlight w:val="none"/>
              </w:rPr>
              <w:t>）投标文件中的下列计算错误为细微偏差（采用固化工程量清单，则a－d步骤省略）：</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a、在算术性复核中发现的算术性差错：</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b、在招标人给定的工程量清单中漏报了某个工程细目的单价和合价；</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c、在招标人给定的工程量清单中多报了某个工程细目的单价和合价或所报单价增加或减少了报价范围；</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d、在招标人给定的工程量清单中修改了某些支付号的工程数量。</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（2）评标委员会对投标文件中的细微偏差按如下规定处理（采用固化工程量清单，则 a－d 步骤省略）：</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a、按本评标办法的规定对算术性错误予以修正；</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b、对于漏报的工程细目单价和合价或单价和合价减少的报价内容视为已含入其它工程细目的单价和合价之中；</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c、在保证投标总价不变的前提下，对于多报的工程细目报价或工程细目报价中增加的部分报价从投标报价中予以扣除，并对其它细目作相应的平衡性调整；</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d、在保证投标总价不变的前提下，对与给定工程量清单数量不符的工程数</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量进行更正，并对其它细目作相应的平衡性调整；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jc w:val="center"/>
        </w:trPr>
        <w:tc>
          <w:tcPr>
            <w:tcW w:w="1444" w:type="dxa"/>
            <w:noWrap w:val="0"/>
            <w:vAlign w:val="center"/>
          </w:tcPr>
          <w:p>
            <w:pPr>
              <w:pStyle w:val="6"/>
              <w:spacing w:before="139"/>
              <w:ind w:left="348" w:right="339"/>
              <w:jc w:val="center"/>
              <w:rPr>
                <w:highlight w:val="none"/>
              </w:rPr>
            </w:pPr>
            <w:r>
              <w:rPr>
                <w:highlight w:val="none"/>
              </w:rPr>
              <w:t>3.9</w:t>
            </w:r>
          </w:p>
        </w:tc>
        <w:tc>
          <w:tcPr>
            <w:tcW w:w="7800" w:type="dxa"/>
            <w:noWrap w:val="0"/>
            <w:vAlign w:val="top"/>
          </w:tcPr>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增加 3.9.3-3.9.6 项：</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3.9.3 如果同一投标人在所投多个合同段出现都被评为综合排名第一时</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highlight w:val="none"/>
              </w:rPr>
              <w:t>（如此种情况不止一个投标人，则按其所投合同段最高投标限价高低顺序依次进行以下操作），而按招标文件规定允许授予合同的个数不大于所投合同段个数时， 则选择该投标人在所投合同段最高投标限价高的合同段为第一中标候选人的原则，该投标人在本次招标的其它合同段则自动失去中标候选人的资格。</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rFonts w:hint="eastAsia"/>
                <w:highlight w:val="none"/>
                <w:lang w:val="en-US" w:eastAsia="zh-CN"/>
              </w:rPr>
              <w:t xml:space="preserve">3.9.4 </w:t>
            </w:r>
            <w:r>
              <w:rPr>
                <w:highlight w:val="none"/>
              </w:rPr>
              <w:t>通过第一信封商务及技术文件评审的投标人少于 3 个的，评标委员会应否决全部投标。</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rFonts w:hint="eastAsia"/>
                <w:highlight w:val="none"/>
                <w:lang w:val="en-US" w:eastAsia="zh-CN"/>
              </w:rPr>
              <w:t xml:space="preserve">3.9.5 </w:t>
            </w:r>
            <w:r>
              <w:rPr>
                <w:highlight w:val="none"/>
              </w:rPr>
              <w:t>通过第一信封商务及技术文件评审的投标人在 3 个及以上的，招标人应当按照招标文件规定的程序进行第二信封报价文件开标；在对报价文件进行评审后，有效投标不足 3 个的，评标委员会可以否决全部投标。未否决全部投标的，评标委员会应当在评标报告中阐明理由并推荐中标候选人。</w:t>
            </w:r>
          </w:p>
          <w:p>
            <w:pPr>
              <w:pStyle w:val="6"/>
              <w:keepNext w:val="0"/>
              <w:keepLines w:val="0"/>
              <w:pageBreakBefore w:val="0"/>
              <w:widowControl/>
              <w:numPr>
                <w:ilvl w:val="0"/>
                <w:numId w:val="0"/>
              </w:numPr>
              <w:kinsoku w:val="0"/>
              <w:wordWrap/>
              <w:overflowPunct/>
              <w:topLinePunct w:val="0"/>
              <w:autoSpaceDE w:val="0"/>
              <w:autoSpaceDN w:val="0"/>
              <w:bidi w:val="0"/>
              <w:adjustRightInd/>
              <w:snapToGrid w:val="0"/>
              <w:spacing w:line="360" w:lineRule="auto"/>
              <w:ind w:left="108" w:leftChars="0" w:right="96" w:rightChars="0" w:firstLine="420" w:firstLineChars="0"/>
              <w:textAlignment w:val="auto"/>
              <w:rPr>
                <w:highlight w:val="none"/>
              </w:rPr>
            </w:pPr>
            <w:r>
              <w:rPr>
                <w:rFonts w:hint="eastAsia"/>
                <w:highlight w:val="none"/>
                <w:lang w:val="en-US" w:eastAsia="zh-CN"/>
              </w:rPr>
              <w:t xml:space="preserve">3.9.6 </w:t>
            </w:r>
            <w:r>
              <w:rPr>
                <w:highlight w:val="none"/>
              </w:rPr>
              <w:t>如果发生无法确定推荐中标候选人的其它意外情况，评标委员会可建议招标人重新招标。</w:t>
            </w:r>
          </w:p>
        </w:tc>
      </w:tr>
    </w:tbl>
    <w:p>
      <w:pPr>
        <w:pStyle w:val="2"/>
      </w:pPr>
      <w:bookmarkStart w:id="1" w:name="_GoBack"/>
      <w:bookmarkEnd w:id="1"/>
    </w:p>
    <w:sectPr>
      <w:pgSz w:w="11906" w:h="16838"/>
      <w:pgMar w:top="1123" w:right="986" w:bottom="1123" w:left="98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F6E892"/>
    <w:multiLevelType w:val="singleLevel"/>
    <w:tmpl w:val="9FF6E892"/>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5NWY2MDVmM2ZiYjE0MjlmYmU5YTNmNjI3ZThhYjkifQ=="/>
  </w:docVars>
  <w:rsids>
    <w:rsidRoot w:val="5720490F"/>
    <w:rsid w:val="57204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3">
    <w:name w:val="heading 2"/>
    <w:basedOn w:val="1"/>
    <w:next w:val="1"/>
    <w:qFormat/>
    <w:uiPriority w:val="0"/>
    <w:pPr>
      <w:keepNext/>
      <w:keepLines/>
      <w:spacing w:before="260" w:after="260" w:line="412" w:lineRule="auto"/>
      <w:outlineLvl w:val="1"/>
    </w:pPr>
    <w:rPr>
      <w:rFonts w:ascii="Arial" w:hAnsi="Arial" w:eastAsia="黑体"/>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样式 宋体 小四 行距: 1.5 倍行距"/>
    <w:basedOn w:val="1"/>
    <w:qFormat/>
    <w:uiPriority w:val="0"/>
    <w:rPr>
      <w:rFonts w:ascii="宋体" w:hAnsi="宋体" w:cs="宋体"/>
      <w:sz w:val="28"/>
    </w:rPr>
  </w:style>
  <w:style w:type="paragraph" w:customStyle="1" w:styleId="6">
    <w:name w:val="Table Paragraph"/>
    <w:basedOn w:val="1"/>
    <w:qFormat/>
    <w:uiPriority w:val="1"/>
    <w:pPr>
      <w:adjustRightInd/>
      <w:spacing w:line="240" w:lineRule="auto"/>
      <w:textAlignment w:val="auto"/>
    </w:pPr>
    <w:rPr>
      <w:rFonts w:ascii="宋体" w:hAnsi="宋体" w:cs="宋体"/>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2023-03-28T17:06:00Z</dcterms:created>
  <dc:creator>4324</dc:creator>
  <cp:lastModifiedBy>4324</cp:lastModifiedBy>
  <dcterms:modified xsi:type="dcterms:W3CDTF">2023-03-28T17:08:44Z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240CF13E60294707A5B184CC180BE135</vt:lpwstr>
  </property>
</Properties>
</file>